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15754A" w:rsidRPr="00B8292F" w:rsidP="00B8292F" w14:paraId="31E06E89" w14:textId="03312960">
      <w:pPr>
        <w:jc w:val="center"/>
        <w:rPr>
          <w:b/>
          <w:color w:val="000000"/>
          <w:sz w:val="22"/>
          <w:szCs w:val="22"/>
        </w:rPr>
      </w:pPr>
      <w:r w:rsidRPr="00B8292F">
        <w:rPr>
          <w:b/>
          <w:color w:val="000000"/>
          <w:sz w:val="22"/>
          <w:szCs w:val="22"/>
        </w:rPr>
        <w:t>Media Bureau Presentation to Commissioners</w:t>
      </w:r>
    </w:p>
    <w:p w:rsidR="00B8292F" w:rsidRPr="00B8292F" w:rsidP="00B8292F" w14:paraId="100CECAB" w14:textId="18B4F424">
      <w:pPr>
        <w:jc w:val="center"/>
        <w:rPr>
          <w:b/>
          <w:color w:val="000000"/>
          <w:sz w:val="22"/>
          <w:szCs w:val="22"/>
        </w:rPr>
      </w:pPr>
      <w:r w:rsidRPr="00B8292F">
        <w:rPr>
          <w:b/>
          <w:color w:val="000000"/>
          <w:sz w:val="22"/>
          <w:szCs w:val="22"/>
        </w:rPr>
        <w:t>January 2021 Open Meeting</w:t>
      </w:r>
    </w:p>
    <w:p w:rsidR="00B8292F" w:rsidRPr="00B8292F" w:rsidP="00B8292F" w14:paraId="7106C4A5" w14:textId="0B17E9D0">
      <w:pPr>
        <w:jc w:val="center"/>
        <w:rPr>
          <w:b/>
          <w:color w:val="000000"/>
          <w:sz w:val="22"/>
          <w:szCs w:val="22"/>
        </w:rPr>
      </w:pPr>
      <w:r w:rsidRPr="00B8292F">
        <w:rPr>
          <w:b/>
          <w:color w:val="000000"/>
          <w:sz w:val="22"/>
          <w:szCs w:val="22"/>
        </w:rPr>
        <w:t>Michele Carey, Chief</w:t>
      </w:r>
    </w:p>
    <w:p w:rsidR="00B8292F" w:rsidP="0015754A" w14:paraId="2BA58577" w14:textId="12B2B581">
      <w:pPr>
        <w:rPr>
          <w:b/>
          <w:color w:val="000000"/>
          <w:sz w:val="22"/>
          <w:szCs w:val="22"/>
          <w:u w:val="single"/>
        </w:rPr>
      </w:pPr>
    </w:p>
    <w:p w:rsidR="00B8292F" w:rsidRPr="00B8292F" w:rsidP="0015754A" w14:paraId="6CE9D5B3" w14:textId="77777777">
      <w:pPr>
        <w:rPr>
          <w:b/>
          <w:color w:val="000000"/>
          <w:sz w:val="22"/>
          <w:szCs w:val="22"/>
          <w:u w:val="single"/>
        </w:rPr>
      </w:pPr>
    </w:p>
    <w:p w:rsidR="0015754A" w:rsidRPr="00B8292F" w:rsidP="0015754A" w14:paraId="6AE8EEEA" w14:textId="4297ED32">
      <w:pPr>
        <w:pStyle w:val="ListParagraph"/>
        <w:numPr>
          <w:ilvl w:val="0"/>
          <w:numId w:val="2"/>
        </w:numPr>
        <w:rPr>
          <w:b/>
          <w:color w:val="000000"/>
          <w:sz w:val="22"/>
          <w:szCs w:val="22"/>
          <w:u w:val="single"/>
        </w:rPr>
      </w:pPr>
      <w:r w:rsidRPr="00B8292F">
        <w:rPr>
          <w:b/>
          <w:color w:val="000000"/>
          <w:sz w:val="22"/>
          <w:szCs w:val="22"/>
          <w:u w:val="single"/>
        </w:rPr>
        <w:t>Pie Chart of Broadcast Licenses</w:t>
      </w:r>
      <w:bookmarkStart w:id="0" w:name="_GoBack"/>
      <w:bookmarkEnd w:id="0"/>
    </w:p>
    <w:p w:rsidR="003C2608" w:rsidRPr="00B8292F" w:rsidP="00DF1294" w14:paraId="143C6685" w14:textId="77777777">
      <w:pPr>
        <w:rPr>
          <w:sz w:val="22"/>
          <w:szCs w:val="22"/>
        </w:rPr>
      </w:pPr>
    </w:p>
    <w:p w:rsidR="00DF1294" w:rsidRPr="00B8292F" w:rsidP="00DF1294" w14:paraId="3EA1AE7C" w14:textId="1304DA68">
      <w:pPr>
        <w:rPr>
          <w:sz w:val="22"/>
          <w:szCs w:val="22"/>
        </w:rPr>
      </w:pPr>
      <w:r w:rsidRPr="00B8292F">
        <w:rPr>
          <w:sz w:val="22"/>
          <w:szCs w:val="22"/>
        </w:rPr>
        <w:t xml:space="preserve">Good </w:t>
      </w:r>
      <w:r w:rsidRPr="00B8292F" w:rsidR="007A7724">
        <w:rPr>
          <w:sz w:val="22"/>
          <w:szCs w:val="22"/>
        </w:rPr>
        <w:t xml:space="preserve">afternoon </w:t>
      </w:r>
      <w:r w:rsidRPr="00B8292F">
        <w:rPr>
          <w:sz w:val="22"/>
          <w:szCs w:val="22"/>
        </w:rPr>
        <w:t>Mr. Chairman and Commissioners – Thank you for the opportunity to highlight the work of the Media Bureau over the last four years.</w:t>
      </w:r>
      <w:r w:rsidRPr="00B8292F" w:rsidR="008076EB">
        <w:rPr>
          <w:sz w:val="22"/>
          <w:szCs w:val="22"/>
        </w:rPr>
        <w:t xml:space="preserve"> </w:t>
      </w:r>
      <w:r w:rsidRPr="00B8292F" w:rsidR="00ED1A40">
        <w:rPr>
          <w:sz w:val="22"/>
          <w:szCs w:val="22"/>
        </w:rPr>
        <w:t xml:space="preserve"> In addition to rulemakings, our Bureau also handles many types of adjudications and processes thousands </w:t>
      </w:r>
      <w:r w:rsidRPr="00B8292F" w:rsidR="003D7C6D">
        <w:rPr>
          <w:sz w:val="22"/>
          <w:szCs w:val="22"/>
        </w:rPr>
        <w:t>of applications</w:t>
      </w:r>
      <w:r w:rsidRPr="00B8292F" w:rsidR="00ED1A40">
        <w:rPr>
          <w:sz w:val="22"/>
          <w:szCs w:val="22"/>
        </w:rPr>
        <w:t xml:space="preserve"> for the 33,000 broadcast</w:t>
      </w:r>
      <w:r w:rsidRPr="00B8292F" w:rsidR="003D7C6D">
        <w:rPr>
          <w:sz w:val="22"/>
          <w:szCs w:val="22"/>
        </w:rPr>
        <w:t xml:space="preserve"> licenses</w:t>
      </w:r>
      <w:r w:rsidRPr="00B8292F" w:rsidR="00ED1A40">
        <w:rPr>
          <w:sz w:val="22"/>
          <w:szCs w:val="22"/>
        </w:rPr>
        <w:t xml:space="preserve"> that we oversee. </w:t>
      </w:r>
    </w:p>
    <w:p w:rsidR="00901C1F" w:rsidRPr="00B8292F" w:rsidP="00DF1294" w14:paraId="7AEAA7CA" w14:textId="77777777">
      <w:pPr>
        <w:rPr>
          <w:b/>
          <w:color w:val="000000"/>
          <w:sz w:val="22"/>
          <w:szCs w:val="22"/>
          <w:u w:val="single"/>
        </w:rPr>
      </w:pPr>
    </w:p>
    <w:p w:rsidR="00513AFB" w:rsidRPr="00B8292F" w:rsidP="0015754A" w14:paraId="633148AE" w14:textId="03F70304">
      <w:pPr>
        <w:pStyle w:val="ListParagraph"/>
        <w:numPr>
          <w:ilvl w:val="0"/>
          <w:numId w:val="2"/>
        </w:numPr>
        <w:rPr>
          <w:b/>
          <w:color w:val="000000"/>
          <w:sz w:val="22"/>
          <w:szCs w:val="22"/>
          <w:u w:val="single"/>
        </w:rPr>
      </w:pPr>
      <w:r w:rsidRPr="00B8292F">
        <w:rPr>
          <w:b/>
          <w:color w:val="000000"/>
          <w:sz w:val="22"/>
          <w:szCs w:val="22"/>
          <w:u w:val="single"/>
        </w:rPr>
        <w:t>ATSC 3.0</w:t>
      </w:r>
    </w:p>
    <w:p w:rsidR="003C2608" w:rsidRPr="00B8292F" w:rsidP="00DF1294" w14:paraId="105E3480" w14:textId="77777777">
      <w:pPr>
        <w:rPr>
          <w:bCs/>
          <w:color w:val="000000"/>
          <w:sz w:val="22"/>
          <w:szCs w:val="22"/>
        </w:rPr>
      </w:pPr>
    </w:p>
    <w:p w:rsidR="005E78A2" w:rsidRPr="00B8292F" w:rsidP="00DF1294" w14:paraId="3F0230EC" w14:textId="4E559B9C">
      <w:pPr>
        <w:rPr>
          <w:b/>
          <w:color w:val="000000"/>
          <w:sz w:val="22"/>
          <w:szCs w:val="22"/>
          <w:u w:val="single"/>
        </w:rPr>
      </w:pPr>
      <w:r w:rsidRPr="00B8292F">
        <w:rPr>
          <w:bCs/>
          <w:color w:val="000000"/>
          <w:sz w:val="22"/>
          <w:szCs w:val="22"/>
        </w:rPr>
        <w:t xml:space="preserve">First, </w:t>
      </w:r>
      <w:r w:rsidRPr="00B8292F">
        <w:rPr>
          <w:bCs/>
          <w:color w:val="000000"/>
          <w:sz w:val="22"/>
          <w:szCs w:val="22"/>
        </w:rPr>
        <w:t>taking a look</w:t>
      </w:r>
      <w:r w:rsidRPr="00B8292F">
        <w:rPr>
          <w:bCs/>
          <w:color w:val="000000"/>
          <w:sz w:val="22"/>
          <w:szCs w:val="22"/>
        </w:rPr>
        <w:t xml:space="preserve"> at television, </w:t>
      </w:r>
      <w:r w:rsidRPr="00B8292F" w:rsidR="00ED1A40">
        <w:rPr>
          <w:bCs/>
          <w:color w:val="000000"/>
          <w:sz w:val="22"/>
          <w:szCs w:val="22"/>
        </w:rPr>
        <w:t xml:space="preserve">administering </w:t>
      </w:r>
      <w:r w:rsidRPr="00B8292F" w:rsidR="00AA4095">
        <w:rPr>
          <w:bCs/>
          <w:color w:val="000000"/>
          <w:sz w:val="22"/>
          <w:szCs w:val="22"/>
        </w:rPr>
        <w:t>the</w:t>
      </w:r>
      <w:r w:rsidRPr="00B8292F">
        <w:rPr>
          <w:bCs/>
          <w:color w:val="000000"/>
          <w:sz w:val="22"/>
          <w:szCs w:val="22"/>
        </w:rPr>
        <w:t xml:space="preserve"> post-incentive auction television repack </w:t>
      </w:r>
      <w:r w:rsidRPr="00B8292F" w:rsidR="00ED1A40">
        <w:rPr>
          <w:bCs/>
          <w:color w:val="000000"/>
          <w:sz w:val="22"/>
          <w:szCs w:val="22"/>
        </w:rPr>
        <w:t>and 2.5</w:t>
      </w:r>
      <w:r w:rsidRPr="00B8292F" w:rsidR="008F6224">
        <w:rPr>
          <w:bCs/>
          <w:color w:val="000000"/>
          <w:sz w:val="22"/>
          <w:szCs w:val="22"/>
        </w:rPr>
        <w:t xml:space="preserve"> </w:t>
      </w:r>
      <w:r w:rsidRPr="00B8292F" w:rsidR="003C2608">
        <w:rPr>
          <w:bCs/>
          <w:color w:val="000000"/>
          <w:sz w:val="22"/>
          <w:szCs w:val="22"/>
        </w:rPr>
        <w:t>b</w:t>
      </w:r>
      <w:r w:rsidRPr="00B8292F" w:rsidR="008F6224">
        <w:rPr>
          <w:bCs/>
          <w:color w:val="000000"/>
          <w:sz w:val="22"/>
          <w:szCs w:val="22"/>
        </w:rPr>
        <w:t>illion</w:t>
      </w:r>
      <w:r w:rsidRPr="00B8292F" w:rsidR="00A21708">
        <w:rPr>
          <w:bCs/>
          <w:color w:val="000000"/>
          <w:sz w:val="22"/>
          <w:szCs w:val="22"/>
        </w:rPr>
        <w:t>-</w:t>
      </w:r>
      <w:r w:rsidRPr="00B8292F" w:rsidR="008F6224">
        <w:rPr>
          <w:bCs/>
          <w:color w:val="000000"/>
          <w:sz w:val="22"/>
          <w:szCs w:val="22"/>
        </w:rPr>
        <w:t>dollar</w:t>
      </w:r>
      <w:r w:rsidRPr="00B8292F" w:rsidR="00ED1A40">
        <w:rPr>
          <w:bCs/>
          <w:color w:val="000000"/>
          <w:sz w:val="22"/>
          <w:szCs w:val="22"/>
        </w:rPr>
        <w:t xml:space="preserve"> reimbursement program has been a huge priority for us during the past few years.  </w:t>
      </w:r>
      <w:r w:rsidRPr="00B8292F" w:rsidR="00232893">
        <w:rPr>
          <w:bCs/>
          <w:color w:val="000000"/>
          <w:sz w:val="22"/>
          <w:szCs w:val="22"/>
        </w:rPr>
        <w:t>The Incentive Auction Task Force will discuss this in</w:t>
      </w:r>
      <w:r w:rsidRPr="00B8292F" w:rsidR="00ED1A40">
        <w:rPr>
          <w:bCs/>
          <w:color w:val="000000"/>
          <w:sz w:val="22"/>
          <w:szCs w:val="22"/>
        </w:rPr>
        <w:t xml:space="preserve"> more </w:t>
      </w:r>
      <w:r w:rsidRPr="00B8292F" w:rsidR="00232893">
        <w:rPr>
          <w:bCs/>
          <w:color w:val="000000"/>
          <w:sz w:val="22"/>
          <w:szCs w:val="22"/>
        </w:rPr>
        <w:t>detail</w:t>
      </w:r>
      <w:r w:rsidRPr="00B8292F" w:rsidR="00ED1A40">
        <w:rPr>
          <w:bCs/>
          <w:color w:val="000000"/>
          <w:sz w:val="22"/>
          <w:szCs w:val="22"/>
        </w:rPr>
        <w:t xml:space="preserve"> later.</w:t>
      </w:r>
      <w:r w:rsidRPr="00B8292F">
        <w:rPr>
          <w:bCs/>
          <w:color w:val="000000"/>
          <w:sz w:val="22"/>
          <w:szCs w:val="22"/>
        </w:rPr>
        <w:t xml:space="preserve">  </w:t>
      </w:r>
      <w:r w:rsidRPr="00B8292F" w:rsidR="00F27889">
        <w:rPr>
          <w:bCs/>
          <w:color w:val="000000"/>
          <w:sz w:val="22"/>
          <w:szCs w:val="22"/>
        </w:rPr>
        <w:t>Still, a</w:t>
      </w:r>
      <w:r w:rsidRPr="00B8292F" w:rsidR="00513AFB">
        <w:rPr>
          <w:bCs/>
          <w:color w:val="000000"/>
          <w:sz w:val="22"/>
          <w:szCs w:val="22"/>
        </w:rPr>
        <w:t xml:space="preserve">s </w:t>
      </w:r>
      <w:r w:rsidRPr="00B8292F" w:rsidR="00AA78BC">
        <w:rPr>
          <w:bCs/>
          <w:color w:val="000000"/>
          <w:sz w:val="22"/>
          <w:szCs w:val="22"/>
        </w:rPr>
        <w:t xml:space="preserve">broadcast </w:t>
      </w:r>
      <w:r w:rsidRPr="00B8292F" w:rsidR="00513AFB">
        <w:rPr>
          <w:bCs/>
          <w:color w:val="000000"/>
          <w:sz w:val="22"/>
          <w:szCs w:val="22"/>
        </w:rPr>
        <w:t xml:space="preserve">television underwent </w:t>
      </w:r>
      <w:r w:rsidRPr="00B8292F" w:rsidR="002E664A">
        <w:rPr>
          <w:bCs/>
          <w:color w:val="000000"/>
          <w:sz w:val="22"/>
          <w:szCs w:val="22"/>
        </w:rPr>
        <w:t>this</w:t>
      </w:r>
      <w:r w:rsidRPr="00B8292F" w:rsidR="00513AFB">
        <w:rPr>
          <w:bCs/>
          <w:color w:val="000000"/>
          <w:sz w:val="22"/>
          <w:szCs w:val="22"/>
        </w:rPr>
        <w:t xml:space="preserve"> transition, </w:t>
      </w:r>
      <w:r w:rsidRPr="00B8292F" w:rsidR="00ED1A40">
        <w:rPr>
          <w:bCs/>
          <w:color w:val="000000"/>
          <w:sz w:val="22"/>
          <w:szCs w:val="22"/>
        </w:rPr>
        <w:t xml:space="preserve">one of the first actions we undertook was to </w:t>
      </w:r>
      <w:r w:rsidRPr="00B8292F" w:rsidR="00513AFB">
        <w:rPr>
          <w:bCs/>
          <w:color w:val="000000"/>
          <w:sz w:val="22"/>
          <w:szCs w:val="22"/>
        </w:rPr>
        <w:t xml:space="preserve">position </w:t>
      </w:r>
      <w:r w:rsidRPr="00B8292F" w:rsidR="003D7C6D">
        <w:rPr>
          <w:bCs/>
          <w:color w:val="000000"/>
          <w:sz w:val="22"/>
          <w:szCs w:val="22"/>
        </w:rPr>
        <w:t>TV</w:t>
      </w:r>
      <w:r w:rsidRPr="00B8292F" w:rsidR="00ED1A40">
        <w:rPr>
          <w:bCs/>
          <w:color w:val="000000"/>
          <w:sz w:val="22"/>
          <w:szCs w:val="22"/>
        </w:rPr>
        <w:t xml:space="preserve"> stations </w:t>
      </w:r>
      <w:r w:rsidRPr="00B8292F" w:rsidR="00513AFB">
        <w:rPr>
          <w:bCs/>
          <w:color w:val="000000"/>
          <w:sz w:val="22"/>
          <w:szCs w:val="22"/>
        </w:rPr>
        <w:t>for the future by e</w:t>
      </w:r>
      <w:r w:rsidRPr="00B8292F" w:rsidR="007D5EAF">
        <w:rPr>
          <w:sz w:val="22"/>
          <w:szCs w:val="22"/>
        </w:rPr>
        <w:t>nabl</w:t>
      </w:r>
      <w:r w:rsidRPr="00B8292F" w:rsidR="00513AFB">
        <w:rPr>
          <w:sz w:val="22"/>
          <w:szCs w:val="22"/>
        </w:rPr>
        <w:t>ing</w:t>
      </w:r>
      <w:r w:rsidRPr="00B8292F" w:rsidR="007D5EAF">
        <w:rPr>
          <w:sz w:val="22"/>
          <w:szCs w:val="22"/>
        </w:rPr>
        <w:t xml:space="preserve"> </w:t>
      </w:r>
      <w:r w:rsidRPr="00B8292F" w:rsidR="00ED1A40">
        <w:rPr>
          <w:sz w:val="22"/>
          <w:szCs w:val="22"/>
        </w:rPr>
        <w:t>them</w:t>
      </w:r>
      <w:r w:rsidRPr="00B8292F" w:rsidR="004B5D4D">
        <w:rPr>
          <w:sz w:val="22"/>
          <w:szCs w:val="22"/>
        </w:rPr>
        <w:t xml:space="preserve"> to</w:t>
      </w:r>
      <w:r w:rsidRPr="00B8292F" w:rsidR="007D5EAF">
        <w:rPr>
          <w:sz w:val="22"/>
          <w:szCs w:val="22"/>
        </w:rPr>
        <w:t xml:space="preserve"> use the Next-Generation Television standard, also known as ATSC 3.0</w:t>
      </w:r>
      <w:r w:rsidRPr="00B8292F" w:rsidR="00934059">
        <w:rPr>
          <w:sz w:val="22"/>
          <w:szCs w:val="22"/>
        </w:rPr>
        <w:t>, on a voluntary, market-driven basis</w:t>
      </w:r>
      <w:r w:rsidRPr="00B8292F" w:rsidR="005409BA">
        <w:rPr>
          <w:sz w:val="22"/>
          <w:szCs w:val="22"/>
        </w:rPr>
        <w:t xml:space="preserve">.  The technology </w:t>
      </w:r>
      <w:r w:rsidRPr="00B8292F" w:rsidR="00CE2DC2">
        <w:rPr>
          <w:sz w:val="22"/>
          <w:szCs w:val="22"/>
        </w:rPr>
        <w:t>is the world's first Internet-Protocol-based television standard</w:t>
      </w:r>
      <w:r w:rsidRPr="00B8292F" w:rsidR="005409BA">
        <w:rPr>
          <w:sz w:val="22"/>
          <w:szCs w:val="22"/>
        </w:rPr>
        <w:t>, providing stations the ability to deliver many new features and better serve their viewers</w:t>
      </w:r>
      <w:r w:rsidRPr="00B8292F" w:rsidR="007D5EAF">
        <w:rPr>
          <w:sz w:val="22"/>
          <w:szCs w:val="22"/>
        </w:rPr>
        <w:t xml:space="preserve">. </w:t>
      </w:r>
      <w:r w:rsidRPr="00B8292F" w:rsidR="00934059">
        <w:rPr>
          <w:sz w:val="22"/>
          <w:szCs w:val="22"/>
        </w:rPr>
        <w:t xml:space="preserve"> </w:t>
      </w:r>
      <w:r w:rsidRPr="00B8292F" w:rsidR="007D5EAF">
        <w:rPr>
          <w:sz w:val="22"/>
          <w:szCs w:val="22"/>
        </w:rPr>
        <w:t>Stations</w:t>
      </w:r>
      <w:r w:rsidRPr="00B8292F" w:rsidR="00934059">
        <w:rPr>
          <w:sz w:val="22"/>
          <w:szCs w:val="22"/>
        </w:rPr>
        <w:t xml:space="preserve"> in </w:t>
      </w:r>
      <w:r w:rsidRPr="00B8292F" w:rsidR="0058416D">
        <w:rPr>
          <w:sz w:val="22"/>
          <w:szCs w:val="22"/>
        </w:rPr>
        <w:t xml:space="preserve">23 </w:t>
      </w:r>
      <w:r w:rsidRPr="00B8292F" w:rsidR="00934059">
        <w:rPr>
          <w:sz w:val="22"/>
          <w:szCs w:val="22"/>
        </w:rPr>
        <w:t>markets</w:t>
      </w:r>
      <w:r w:rsidRPr="00B8292F" w:rsidR="007D5EAF">
        <w:rPr>
          <w:sz w:val="22"/>
          <w:szCs w:val="22"/>
        </w:rPr>
        <w:t xml:space="preserve"> </w:t>
      </w:r>
      <w:r w:rsidRPr="00B8292F" w:rsidR="00934059">
        <w:rPr>
          <w:sz w:val="22"/>
          <w:szCs w:val="22"/>
        </w:rPr>
        <w:t>are</w:t>
      </w:r>
      <w:r w:rsidRPr="00B8292F" w:rsidR="007D5EAF">
        <w:rPr>
          <w:sz w:val="22"/>
          <w:szCs w:val="22"/>
        </w:rPr>
        <w:t xml:space="preserve"> already </w:t>
      </w:r>
      <w:r w:rsidRPr="00B8292F" w:rsidR="00934059">
        <w:rPr>
          <w:sz w:val="22"/>
          <w:szCs w:val="22"/>
        </w:rPr>
        <w:t xml:space="preserve">broadcasting in </w:t>
      </w:r>
      <w:r w:rsidRPr="00B8292F" w:rsidR="007D5EAF">
        <w:rPr>
          <w:sz w:val="22"/>
          <w:szCs w:val="22"/>
        </w:rPr>
        <w:t xml:space="preserve">ATSC 3.0, </w:t>
      </w:r>
      <w:r w:rsidRPr="00B8292F" w:rsidR="00934059">
        <w:rPr>
          <w:sz w:val="22"/>
          <w:szCs w:val="22"/>
        </w:rPr>
        <w:t>and retailers are carrying</w:t>
      </w:r>
      <w:r w:rsidRPr="00B8292F" w:rsidR="00B22D59">
        <w:rPr>
          <w:sz w:val="22"/>
          <w:szCs w:val="22"/>
        </w:rPr>
        <w:t xml:space="preserve"> 20</w:t>
      </w:r>
      <w:r w:rsidRPr="00B8292F" w:rsidR="007D5EAF">
        <w:rPr>
          <w:sz w:val="22"/>
          <w:szCs w:val="22"/>
        </w:rPr>
        <w:t xml:space="preserve"> </w:t>
      </w:r>
      <w:r w:rsidRPr="00B8292F" w:rsidR="00934059">
        <w:rPr>
          <w:sz w:val="22"/>
          <w:szCs w:val="22"/>
        </w:rPr>
        <w:t>television models with built-in tuners capable of receiving ATSC 3.0 signals</w:t>
      </w:r>
      <w:r w:rsidRPr="00B8292F" w:rsidR="007D5EAF">
        <w:rPr>
          <w:sz w:val="22"/>
          <w:szCs w:val="22"/>
        </w:rPr>
        <w:t>.</w:t>
      </w:r>
    </w:p>
    <w:p w:rsidR="00DA4144" w:rsidRPr="00B8292F" w:rsidP="00DF1294" w14:paraId="0AADBF45" w14:textId="4C5D99E4">
      <w:pPr>
        <w:rPr>
          <w:b/>
          <w:color w:val="000000"/>
          <w:sz w:val="22"/>
          <w:szCs w:val="22"/>
          <w:u w:val="single"/>
        </w:rPr>
      </w:pPr>
    </w:p>
    <w:p w:rsidR="00770A22" w:rsidRPr="00B8292F" w:rsidP="0015754A" w14:paraId="4967D4D0" w14:textId="41E9BD2A">
      <w:pPr>
        <w:pStyle w:val="ListParagraph"/>
        <w:numPr>
          <w:ilvl w:val="0"/>
          <w:numId w:val="2"/>
        </w:numPr>
        <w:rPr>
          <w:b/>
          <w:color w:val="000000"/>
          <w:sz w:val="22"/>
          <w:szCs w:val="22"/>
          <w:u w:val="single"/>
        </w:rPr>
      </w:pPr>
      <w:r w:rsidRPr="00B8292F">
        <w:rPr>
          <w:b/>
          <w:color w:val="000000"/>
          <w:sz w:val="22"/>
          <w:szCs w:val="22"/>
          <w:u w:val="single"/>
        </w:rPr>
        <w:t>Radio</w:t>
      </w:r>
    </w:p>
    <w:p w:rsidR="00C77E0F" w:rsidRPr="00B8292F" w:rsidP="00770A22" w14:paraId="1A7D82E0" w14:textId="77777777">
      <w:pPr>
        <w:rPr>
          <w:bCs/>
          <w:sz w:val="22"/>
          <w:szCs w:val="22"/>
        </w:rPr>
      </w:pPr>
    </w:p>
    <w:p w:rsidR="00770A22" w:rsidRPr="00B8292F" w:rsidP="00770A22" w14:paraId="4DD94EC6" w14:textId="4E68449A">
      <w:pPr>
        <w:rPr>
          <w:sz w:val="22"/>
          <w:szCs w:val="22"/>
        </w:rPr>
      </w:pPr>
      <w:r w:rsidRPr="00B8292F">
        <w:rPr>
          <w:bCs/>
          <w:sz w:val="22"/>
          <w:szCs w:val="22"/>
        </w:rPr>
        <w:t xml:space="preserve">The Bureau also worked hard to support the </w:t>
      </w:r>
      <w:r w:rsidRPr="00B8292F" w:rsidR="0080630E">
        <w:rPr>
          <w:bCs/>
          <w:sz w:val="22"/>
          <w:szCs w:val="22"/>
        </w:rPr>
        <w:t>pioneer</w:t>
      </w:r>
      <w:r w:rsidRPr="00B8292F" w:rsidR="003D7C6D">
        <w:rPr>
          <w:bCs/>
          <w:sz w:val="22"/>
          <w:szCs w:val="22"/>
        </w:rPr>
        <w:t>s</w:t>
      </w:r>
      <w:r w:rsidRPr="00B8292F" w:rsidR="0080630E">
        <w:rPr>
          <w:bCs/>
          <w:sz w:val="22"/>
          <w:szCs w:val="22"/>
        </w:rPr>
        <w:t xml:space="preserve"> of </w:t>
      </w:r>
      <w:r w:rsidRPr="00B8292F" w:rsidR="0080630E">
        <w:rPr>
          <w:rStyle w:val="Emphasis"/>
          <w:i w:val="0"/>
          <w:iCs w:val="0"/>
          <w:sz w:val="22"/>
          <w:szCs w:val="22"/>
        </w:rPr>
        <w:t>electronic mass communications</w:t>
      </w:r>
      <w:r w:rsidRPr="00B8292F">
        <w:rPr>
          <w:rStyle w:val="Emphasis"/>
          <w:i w:val="0"/>
          <w:iCs w:val="0"/>
          <w:sz w:val="22"/>
          <w:szCs w:val="22"/>
        </w:rPr>
        <w:t xml:space="preserve"> - </w:t>
      </w:r>
      <w:r w:rsidRPr="00B8292F" w:rsidR="0080630E">
        <w:rPr>
          <w:rStyle w:val="Emphasis"/>
          <w:i w:val="0"/>
          <w:iCs w:val="0"/>
          <w:sz w:val="22"/>
          <w:szCs w:val="22"/>
        </w:rPr>
        <w:t xml:space="preserve">radio </w:t>
      </w:r>
      <w:r w:rsidRPr="00B8292F">
        <w:rPr>
          <w:rStyle w:val="Emphasis"/>
          <w:i w:val="0"/>
          <w:iCs w:val="0"/>
          <w:sz w:val="22"/>
          <w:szCs w:val="22"/>
        </w:rPr>
        <w:t xml:space="preserve">stations.  </w:t>
      </w:r>
      <w:r w:rsidRPr="00B8292F" w:rsidR="00232893">
        <w:rPr>
          <w:rStyle w:val="Emphasis"/>
          <w:i w:val="0"/>
          <w:iCs w:val="0"/>
          <w:sz w:val="22"/>
          <w:szCs w:val="22"/>
        </w:rPr>
        <w:t>Commercial r</w:t>
      </w:r>
      <w:r w:rsidRPr="00B8292F">
        <w:rPr>
          <w:rStyle w:val="Emphasis"/>
          <w:i w:val="0"/>
          <w:iCs w:val="0"/>
          <w:sz w:val="22"/>
          <w:szCs w:val="22"/>
        </w:rPr>
        <w:t xml:space="preserve">adio </w:t>
      </w:r>
      <w:r w:rsidRPr="00B8292F">
        <w:rPr>
          <w:rStyle w:val="Emphasis"/>
          <w:i w:val="0"/>
          <w:iCs w:val="0"/>
          <w:sz w:val="22"/>
          <w:szCs w:val="22"/>
        </w:rPr>
        <w:t xml:space="preserve">just </w:t>
      </w:r>
      <w:r w:rsidRPr="00B8292F" w:rsidR="0080630E">
        <w:rPr>
          <w:rStyle w:val="Emphasis"/>
          <w:i w:val="0"/>
          <w:iCs w:val="0"/>
          <w:sz w:val="22"/>
          <w:szCs w:val="22"/>
        </w:rPr>
        <w:t>celebrated its 100</w:t>
      </w:r>
      <w:r w:rsidRPr="00B8292F" w:rsidR="00693970">
        <w:rPr>
          <w:rStyle w:val="Emphasis"/>
          <w:i w:val="0"/>
          <w:iCs w:val="0"/>
          <w:sz w:val="22"/>
          <w:szCs w:val="22"/>
        </w:rPr>
        <w:t>th</w:t>
      </w:r>
      <w:r w:rsidRPr="00B8292F" w:rsidR="0080630E">
        <w:rPr>
          <w:rStyle w:val="Emphasis"/>
          <w:i w:val="0"/>
          <w:iCs w:val="0"/>
          <w:sz w:val="22"/>
          <w:szCs w:val="22"/>
        </w:rPr>
        <w:t xml:space="preserve"> anniversary</w:t>
      </w:r>
      <w:r w:rsidRPr="00B8292F">
        <w:rPr>
          <w:rStyle w:val="Emphasis"/>
          <w:i w:val="0"/>
          <w:iCs w:val="0"/>
          <w:sz w:val="22"/>
          <w:szCs w:val="22"/>
        </w:rPr>
        <w:t xml:space="preserve"> last November.</w:t>
      </w:r>
      <w:r w:rsidRPr="00B8292F">
        <w:rPr>
          <w:sz w:val="22"/>
          <w:szCs w:val="22"/>
        </w:rPr>
        <w:t xml:space="preserve"> </w:t>
      </w:r>
      <w:r w:rsidRPr="00B8292F" w:rsidR="00F62342">
        <w:rPr>
          <w:sz w:val="22"/>
          <w:szCs w:val="22"/>
        </w:rPr>
        <w:t xml:space="preserve"> </w:t>
      </w:r>
      <w:r w:rsidRPr="00B8292F" w:rsidR="0015541A">
        <w:rPr>
          <w:sz w:val="22"/>
          <w:szCs w:val="22"/>
        </w:rPr>
        <w:t xml:space="preserve">For the FM Band, we updated </w:t>
      </w:r>
      <w:r w:rsidRPr="00B8292F" w:rsidR="00F62342">
        <w:rPr>
          <w:sz w:val="22"/>
          <w:szCs w:val="22"/>
        </w:rPr>
        <w:t xml:space="preserve">our </w:t>
      </w:r>
      <w:r w:rsidRPr="00B8292F" w:rsidR="0015541A">
        <w:rPr>
          <w:sz w:val="22"/>
          <w:szCs w:val="22"/>
        </w:rPr>
        <w:t xml:space="preserve">rules to improve comparative selection procedures for new </w:t>
      </w:r>
      <w:r w:rsidRPr="00B8292F" w:rsidR="00232893">
        <w:rPr>
          <w:sz w:val="22"/>
          <w:szCs w:val="22"/>
        </w:rPr>
        <w:t xml:space="preserve">noncommercial educational </w:t>
      </w:r>
      <w:r w:rsidRPr="00B8292F" w:rsidR="0015541A">
        <w:rPr>
          <w:sz w:val="22"/>
          <w:szCs w:val="22"/>
        </w:rPr>
        <w:t xml:space="preserve">and </w:t>
      </w:r>
      <w:r w:rsidRPr="00B8292F" w:rsidR="00232893">
        <w:rPr>
          <w:sz w:val="22"/>
          <w:szCs w:val="22"/>
        </w:rPr>
        <w:t xml:space="preserve">low power FM, or LPFM, </w:t>
      </w:r>
      <w:r w:rsidRPr="00B8292F" w:rsidR="0015541A">
        <w:rPr>
          <w:sz w:val="22"/>
          <w:szCs w:val="22"/>
        </w:rPr>
        <w:t xml:space="preserve">stations in order to reduce confusion among future applicants and </w:t>
      </w:r>
      <w:r w:rsidRPr="00B8292F" w:rsidR="00F27889">
        <w:rPr>
          <w:sz w:val="22"/>
          <w:szCs w:val="22"/>
        </w:rPr>
        <w:t>accelerate</w:t>
      </w:r>
      <w:r w:rsidRPr="00B8292F" w:rsidR="0015541A">
        <w:rPr>
          <w:sz w:val="22"/>
          <w:szCs w:val="22"/>
        </w:rPr>
        <w:t xml:space="preserve"> the initiation of new service to the public.  We modernized the LPFM technical rules to provide these stations additional technical flexibility.  And we streamlined FM Translator Interference Rules to expedite the translator complaint resolution process.</w:t>
      </w:r>
    </w:p>
    <w:p w:rsidR="0015541A" w:rsidRPr="00B8292F" w:rsidP="00770A22" w14:paraId="0A3C30E9" w14:textId="422D1F34">
      <w:pPr>
        <w:rPr>
          <w:sz w:val="22"/>
          <w:szCs w:val="22"/>
        </w:rPr>
      </w:pPr>
    </w:p>
    <w:p w:rsidR="00BC7529" w:rsidRPr="00B8292F" w:rsidP="00770A22" w14:paraId="1A8EA304" w14:textId="560C1519">
      <w:pPr>
        <w:rPr>
          <w:sz w:val="22"/>
          <w:szCs w:val="22"/>
        </w:rPr>
      </w:pPr>
      <w:r w:rsidRPr="00B8292F">
        <w:rPr>
          <w:sz w:val="22"/>
          <w:szCs w:val="22"/>
        </w:rPr>
        <w:t xml:space="preserve">On the AM side, </w:t>
      </w:r>
      <w:r w:rsidRPr="00B8292F" w:rsidR="003806DE">
        <w:rPr>
          <w:sz w:val="22"/>
          <w:szCs w:val="22"/>
        </w:rPr>
        <w:t xml:space="preserve">we sought to preserve the AM radio service for future listeners </w:t>
      </w:r>
      <w:r w:rsidRPr="00B8292F">
        <w:rPr>
          <w:sz w:val="22"/>
          <w:szCs w:val="22"/>
        </w:rPr>
        <w:t xml:space="preserve">through </w:t>
      </w:r>
      <w:r w:rsidRPr="00B8292F" w:rsidR="00E3606D">
        <w:rPr>
          <w:sz w:val="22"/>
          <w:szCs w:val="22"/>
        </w:rPr>
        <w:t xml:space="preserve">the </w:t>
      </w:r>
      <w:r w:rsidRPr="00B8292F">
        <w:rPr>
          <w:sz w:val="22"/>
          <w:szCs w:val="22"/>
        </w:rPr>
        <w:t>AM revitalization initiative</w:t>
      </w:r>
      <w:r w:rsidRPr="00B8292F" w:rsidR="003806DE">
        <w:rPr>
          <w:sz w:val="22"/>
          <w:szCs w:val="22"/>
        </w:rPr>
        <w:t>.  In this regard</w:t>
      </w:r>
      <w:r w:rsidRPr="00B8292F" w:rsidR="00F62342">
        <w:rPr>
          <w:sz w:val="22"/>
          <w:szCs w:val="22"/>
        </w:rPr>
        <w:t>,</w:t>
      </w:r>
      <w:r w:rsidRPr="00B8292F">
        <w:rPr>
          <w:sz w:val="22"/>
          <w:szCs w:val="22"/>
        </w:rPr>
        <w:t xml:space="preserve"> the Bureau </w:t>
      </w:r>
      <w:r w:rsidRPr="00B8292F" w:rsidR="006F510D">
        <w:rPr>
          <w:sz w:val="22"/>
          <w:szCs w:val="22"/>
        </w:rPr>
        <w:t>has authorized over 2</w:t>
      </w:r>
      <w:r w:rsidRPr="00B8292F" w:rsidR="00F62342">
        <w:rPr>
          <w:sz w:val="22"/>
          <w:szCs w:val="22"/>
        </w:rPr>
        <w:t>,</w:t>
      </w:r>
      <w:r w:rsidRPr="00B8292F" w:rsidR="006F510D">
        <w:rPr>
          <w:sz w:val="22"/>
          <w:szCs w:val="22"/>
        </w:rPr>
        <w:t>800</w:t>
      </w:r>
      <w:r w:rsidRPr="00B8292F">
        <w:rPr>
          <w:sz w:val="22"/>
          <w:szCs w:val="22"/>
        </w:rPr>
        <w:t xml:space="preserve"> AM stations </w:t>
      </w:r>
      <w:r w:rsidRPr="00B8292F" w:rsidR="006F510D">
        <w:rPr>
          <w:sz w:val="22"/>
          <w:szCs w:val="22"/>
        </w:rPr>
        <w:t>to build</w:t>
      </w:r>
      <w:r w:rsidRPr="00B8292F">
        <w:rPr>
          <w:sz w:val="22"/>
          <w:szCs w:val="22"/>
        </w:rPr>
        <w:t xml:space="preserve"> cross-service FM translators.</w:t>
      </w:r>
      <w:r w:rsidRPr="00B8292F" w:rsidR="00E3606D">
        <w:rPr>
          <w:sz w:val="22"/>
          <w:szCs w:val="22"/>
        </w:rPr>
        <w:t xml:space="preserve"> </w:t>
      </w:r>
      <w:r w:rsidRPr="00B8292F" w:rsidR="00C35472">
        <w:rPr>
          <w:sz w:val="22"/>
          <w:szCs w:val="22"/>
        </w:rPr>
        <w:t xml:space="preserve"> </w:t>
      </w:r>
      <w:r w:rsidRPr="00B8292F" w:rsidR="007B7DD6">
        <w:rPr>
          <w:sz w:val="22"/>
          <w:szCs w:val="22"/>
        </w:rPr>
        <w:t xml:space="preserve">More than 1750 of these stations have been constructed and are currently on the air.  </w:t>
      </w:r>
      <w:r w:rsidRPr="00B8292F" w:rsidR="003806DE">
        <w:rPr>
          <w:sz w:val="22"/>
          <w:szCs w:val="22"/>
        </w:rPr>
        <w:t>We</w:t>
      </w:r>
      <w:r w:rsidRPr="00B8292F">
        <w:rPr>
          <w:sz w:val="22"/>
          <w:szCs w:val="22"/>
        </w:rPr>
        <w:t xml:space="preserve"> </w:t>
      </w:r>
      <w:r w:rsidRPr="00B8292F" w:rsidR="001A3D16">
        <w:rPr>
          <w:sz w:val="22"/>
          <w:szCs w:val="22"/>
        </w:rPr>
        <w:t>also</w:t>
      </w:r>
      <w:r w:rsidRPr="00B8292F">
        <w:rPr>
          <w:sz w:val="22"/>
          <w:szCs w:val="22"/>
        </w:rPr>
        <w:t xml:space="preserve"> updat</w:t>
      </w:r>
      <w:r w:rsidRPr="00B8292F" w:rsidR="003806DE">
        <w:rPr>
          <w:sz w:val="22"/>
          <w:szCs w:val="22"/>
        </w:rPr>
        <w:t>ed our</w:t>
      </w:r>
      <w:r w:rsidRPr="00B8292F" w:rsidR="00770A22">
        <w:rPr>
          <w:sz w:val="22"/>
          <w:szCs w:val="22"/>
        </w:rPr>
        <w:t xml:space="preserve"> AM </w:t>
      </w:r>
      <w:r w:rsidRPr="00B8292F" w:rsidR="00E3606D">
        <w:rPr>
          <w:sz w:val="22"/>
          <w:szCs w:val="22"/>
        </w:rPr>
        <w:t>technical rules</w:t>
      </w:r>
      <w:r w:rsidRPr="00B8292F" w:rsidR="003806DE">
        <w:rPr>
          <w:sz w:val="22"/>
          <w:szCs w:val="22"/>
        </w:rPr>
        <w:t xml:space="preserve"> to </w:t>
      </w:r>
      <w:r w:rsidRPr="00B8292F" w:rsidR="00A252A2">
        <w:rPr>
          <w:sz w:val="22"/>
          <w:szCs w:val="22"/>
        </w:rPr>
        <w:t>simplify compliance</w:t>
      </w:r>
      <w:r w:rsidRPr="00B8292F" w:rsidR="00F62342">
        <w:rPr>
          <w:sz w:val="22"/>
          <w:szCs w:val="22"/>
        </w:rPr>
        <w:t xml:space="preserve"> and reduce unnecessary regulatory burdens</w:t>
      </w:r>
      <w:r w:rsidRPr="00B8292F" w:rsidR="00770A22">
        <w:rPr>
          <w:sz w:val="22"/>
          <w:szCs w:val="22"/>
        </w:rPr>
        <w:t xml:space="preserve">. </w:t>
      </w:r>
      <w:r w:rsidRPr="00B8292F">
        <w:rPr>
          <w:sz w:val="22"/>
          <w:szCs w:val="22"/>
        </w:rPr>
        <w:t xml:space="preserve"> </w:t>
      </w:r>
      <w:r w:rsidRPr="00B8292F" w:rsidR="00F62342">
        <w:rPr>
          <w:sz w:val="22"/>
          <w:szCs w:val="22"/>
        </w:rPr>
        <w:t>And m</w:t>
      </w:r>
      <w:r w:rsidRPr="00B8292F">
        <w:rPr>
          <w:sz w:val="22"/>
          <w:szCs w:val="22"/>
        </w:rPr>
        <w:t xml:space="preserve">ost </w:t>
      </w:r>
      <w:r w:rsidRPr="00B8292F" w:rsidR="003806DE">
        <w:rPr>
          <w:sz w:val="22"/>
          <w:szCs w:val="22"/>
        </w:rPr>
        <w:t>significantly</w:t>
      </w:r>
      <w:r w:rsidRPr="00B8292F">
        <w:rPr>
          <w:sz w:val="22"/>
          <w:szCs w:val="22"/>
        </w:rPr>
        <w:t>,</w:t>
      </w:r>
      <w:r w:rsidRPr="00B8292F" w:rsidR="00770A22">
        <w:rPr>
          <w:sz w:val="22"/>
          <w:szCs w:val="22"/>
        </w:rPr>
        <w:t xml:space="preserve"> </w:t>
      </w:r>
      <w:r w:rsidRPr="00B8292F" w:rsidR="00850CB1">
        <w:rPr>
          <w:sz w:val="22"/>
          <w:szCs w:val="22"/>
        </w:rPr>
        <w:t xml:space="preserve">we authorized </w:t>
      </w:r>
      <w:r w:rsidRPr="00B8292F" w:rsidR="00770A22">
        <w:rPr>
          <w:sz w:val="22"/>
          <w:szCs w:val="22"/>
        </w:rPr>
        <w:t>AM stations</w:t>
      </w:r>
      <w:r w:rsidRPr="00B8292F" w:rsidR="00C67358">
        <w:rPr>
          <w:sz w:val="22"/>
          <w:szCs w:val="22"/>
        </w:rPr>
        <w:t xml:space="preserve"> </w:t>
      </w:r>
      <w:r w:rsidRPr="00B8292F" w:rsidR="00770A22">
        <w:rPr>
          <w:sz w:val="22"/>
          <w:szCs w:val="22"/>
        </w:rPr>
        <w:t>to voluntarily end analog broadcasts and adopt all-digital broadcasting.</w:t>
      </w:r>
      <w:r w:rsidRPr="00B8292F" w:rsidR="004752CE">
        <w:rPr>
          <w:sz w:val="22"/>
          <w:szCs w:val="22"/>
        </w:rPr>
        <w:t xml:space="preserve">  </w:t>
      </w:r>
      <w:r w:rsidRPr="00B8292F" w:rsidR="00770A22">
        <w:rPr>
          <w:sz w:val="22"/>
          <w:szCs w:val="22"/>
        </w:rPr>
        <w:t>This will allow AM stations to offer listeners higher quality audio and new ancillary data services.</w:t>
      </w:r>
    </w:p>
    <w:p w:rsidR="00BC7529" w:rsidRPr="00B8292F" w:rsidP="00770A22" w14:paraId="2DBBF1F8" w14:textId="77777777">
      <w:pPr>
        <w:rPr>
          <w:sz w:val="22"/>
          <w:szCs w:val="22"/>
        </w:rPr>
      </w:pPr>
    </w:p>
    <w:p w:rsidR="005409BA" w:rsidRPr="00B8292F" w:rsidP="00DF1294" w14:paraId="06173ACF" w14:textId="77777777">
      <w:pPr>
        <w:rPr>
          <w:b/>
          <w:color w:val="000000"/>
          <w:sz w:val="22"/>
          <w:szCs w:val="22"/>
          <w:u w:val="single"/>
        </w:rPr>
      </w:pPr>
    </w:p>
    <w:p w:rsidR="008076EB" w:rsidRPr="00B8292F" w:rsidP="00524F19" w14:paraId="7531DAEE" w14:textId="75140FFE">
      <w:pPr>
        <w:pStyle w:val="ListParagraph"/>
        <w:keepNext/>
        <w:numPr>
          <w:ilvl w:val="0"/>
          <w:numId w:val="2"/>
        </w:numPr>
        <w:rPr>
          <w:b/>
          <w:color w:val="000000"/>
          <w:sz w:val="22"/>
          <w:szCs w:val="22"/>
          <w:u w:val="single"/>
        </w:rPr>
      </w:pPr>
      <w:r w:rsidRPr="00B8292F">
        <w:rPr>
          <w:b/>
          <w:color w:val="000000"/>
          <w:sz w:val="22"/>
          <w:szCs w:val="22"/>
          <w:u w:val="single"/>
        </w:rPr>
        <w:t>M</w:t>
      </w:r>
      <w:r w:rsidRPr="00B8292F" w:rsidR="00137AD8">
        <w:rPr>
          <w:b/>
          <w:color w:val="000000"/>
          <w:sz w:val="22"/>
          <w:szCs w:val="22"/>
          <w:u w:val="single"/>
        </w:rPr>
        <w:t xml:space="preserve">edia </w:t>
      </w:r>
      <w:r w:rsidRPr="00B8292F">
        <w:rPr>
          <w:b/>
          <w:color w:val="000000"/>
          <w:sz w:val="22"/>
          <w:szCs w:val="22"/>
          <w:u w:val="single"/>
        </w:rPr>
        <w:t>M</w:t>
      </w:r>
      <w:r w:rsidRPr="00B8292F" w:rsidR="00137AD8">
        <w:rPr>
          <w:b/>
          <w:color w:val="000000"/>
          <w:sz w:val="22"/>
          <w:szCs w:val="22"/>
          <w:u w:val="single"/>
        </w:rPr>
        <w:t>odernization</w:t>
      </w:r>
    </w:p>
    <w:p w:rsidR="00850CB1" w:rsidRPr="00B8292F" w:rsidP="007B7DD6" w14:paraId="1DB675EB" w14:textId="77777777">
      <w:pPr>
        <w:pStyle w:val="ListParagraph"/>
        <w:keepNext/>
        <w:rPr>
          <w:b/>
          <w:color w:val="000000"/>
          <w:sz w:val="22"/>
          <w:szCs w:val="22"/>
          <w:u w:val="single"/>
        </w:rPr>
      </w:pPr>
    </w:p>
    <w:p w:rsidR="00CD7B8A" w:rsidRPr="00B8292F" w:rsidP="00524F19" w14:paraId="5CF638A6" w14:textId="2F839FC4">
      <w:pPr>
        <w:keepLines/>
        <w:rPr>
          <w:sz w:val="22"/>
          <w:szCs w:val="22"/>
        </w:rPr>
      </w:pPr>
      <w:r w:rsidRPr="00B8292F">
        <w:rPr>
          <w:sz w:val="22"/>
          <w:szCs w:val="22"/>
        </w:rPr>
        <w:t xml:space="preserve">Of course, given </w:t>
      </w:r>
      <w:r w:rsidRPr="00B8292F" w:rsidR="00850CB1">
        <w:rPr>
          <w:sz w:val="22"/>
          <w:szCs w:val="22"/>
        </w:rPr>
        <w:t xml:space="preserve">that </w:t>
      </w:r>
      <w:r w:rsidRPr="00B8292F">
        <w:rPr>
          <w:sz w:val="22"/>
          <w:szCs w:val="22"/>
        </w:rPr>
        <w:t xml:space="preserve">the Media Bureau regulates century-old services, </w:t>
      </w:r>
      <w:r w:rsidRPr="00B8292F" w:rsidR="003D3E5D">
        <w:rPr>
          <w:sz w:val="22"/>
          <w:szCs w:val="22"/>
        </w:rPr>
        <w:t>o</w:t>
      </w:r>
      <w:r w:rsidRPr="00B8292F" w:rsidR="006A20FE">
        <w:rPr>
          <w:sz w:val="22"/>
          <w:szCs w:val="22"/>
        </w:rPr>
        <w:t>ne of our challenges</w:t>
      </w:r>
      <w:r w:rsidRPr="00B8292F" w:rsidR="00DA4144">
        <w:rPr>
          <w:sz w:val="22"/>
          <w:szCs w:val="22"/>
        </w:rPr>
        <w:t xml:space="preserve"> </w:t>
      </w:r>
      <w:r w:rsidRPr="00B8292F" w:rsidR="007A5229">
        <w:rPr>
          <w:sz w:val="22"/>
          <w:szCs w:val="22"/>
        </w:rPr>
        <w:t>wa</w:t>
      </w:r>
      <w:r w:rsidRPr="00B8292F" w:rsidR="00770A22">
        <w:rPr>
          <w:sz w:val="22"/>
          <w:szCs w:val="22"/>
        </w:rPr>
        <w:t>s to ensure</w:t>
      </w:r>
      <w:r w:rsidRPr="00B8292F" w:rsidR="00DA4144">
        <w:rPr>
          <w:sz w:val="22"/>
          <w:szCs w:val="22"/>
        </w:rPr>
        <w:t xml:space="preserve"> that our rules </w:t>
      </w:r>
      <w:r w:rsidRPr="00B8292F">
        <w:rPr>
          <w:sz w:val="22"/>
          <w:szCs w:val="22"/>
        </w:rPr>
        <w:t xml:space="preserve">continue to </w:t>
      </w:r>
      <w:r w:rsidRPr="00B8292F" w:rsidR="00DA4144">
        <w:rPr>
          <w:sz w:val="22"/>
          <w:szCs w:val="22"/>
        </w:rPr>
        <w:t>achiev</w:t>
      </w:r>
      <w:r w:rsidRPr="00B8292F" w:rsidR="00770A22">
        <w:rPr>
          <w:sz w:val="22"/>
          <w:szCs w:val="22"/>
        </w:rPr>
        <w:t>e</w:t>
      </w:r>
      <w:r w:rsidRPr="00B8292F" w:rsidR="00DA4144">
        <w:rPr>
          <w:sz w:val="22"/>
          <w:szCs w:val="22"/>
        </w:rPr>
        <w:t xml:space="preserve"> their intended results </w:t>
      </w:r>
      <w:r w:rsidRPr="00B8292F">
        <w:rPr>
          <w:sz w:val="22"/>
          <w:szCs w:val="22"/>
        </w:rPr>
        <w:t>in the current</w:t>
      </w:r>
      <w:r w:rsidRPr="00B8292F" w:rsidR="00CE628D">
        <w:rPr>
          <w:bCs/>
          <w:color w:val="000000"/>
          <w:sz w:val="22"/>
          <w:szCs w:val="22"/>
        </w:rPr>
        <w:t xml:space="preserve"> digital age</w:t>
      </w:r>
      <w:r w:rsidRPr="00B8292F">
        <w:rPr>
          <w:bCs/>
          <w:color w:val="000000"/>
          <w:sz w:val="22"/>
          <w:szCs w:val="22"/>
        </w:rPr>
        <w:t>.</w:t>
      </w:r>
      <w:r w:rsidRPr="00B8292F" w:rsidR="006A20FE">
        <w:rPr>
          <w:bCs/>
          <w:color w:val="000000"/>
          <w:sz w:val="22"/>
          <w:szCs w:val="22"/>
        </w:rPr>
        <w:t xml:space="preserve">  </w:t>
      </w:r>
      <w:r w:rsidRPr="00B8292F" w:rsidR="00607BA8">
        <w:rPr>
          <w:sz w:val="22"/>
          <w:szCs w:val="22"/>
        </w:rPr>
        <w:t>That</w:t>
      </w:r>
      <w:r w:rsidRPr="00B8292F" w:rsidR="00901C1F">
        <w:rPr>
          <w:sz w:val="22"/>
          <w:szCs w:val="22"/>
        </w:rPr>
        <w:t xml:space="preserve"> is why i</w:t>
      </w:r>
      <w:r w:rsidRPr="00B8292F" w:rsidR="002D43E0">
        <w:rPr>
          <w:sz w:val="22"/>
          <w:szCs w:val="22"/>
        </w:rPr>
        <w:t xml:space="preserve">n 2017 the Commission </w:t>
      </w:r>
      <w:r w:rsidRPr="00B8292F" w:rsidR="00CE628D">
        <w:rPr>
          <w:sz w:val="22"/>
          <w:szCs w:val="22"/>
        </w:rPr>
        <w:t>initiat</w:t>
      </w:r>
      <w:r w:rsidRPr="00B8292F" w:rsidR="006A20FE">
        <w:rPr>
          <w:sz w:val="22"/>
          <w:szCs w:val="22"/>
        </w:rPr>
        <w:t>ed</w:t>
      </w:r>
      <w:r w:rsidRPr="00B8292F" w:rsidR="002D43E0">
        <w:rPr>
          <w:sz w:val="22"/>
          <w:szCs w:val="22"/>
        </w:rPr>
        <w:t xml:space="preserve"> </w:t>
      </w:r>
      <w:r w:rsidRPr="00B8292F" w:rsidR="008E290C">
        <w:rPr>
          <w:sz w:val="22"/>
          <w:szCs w:val="22"/>
        </w:rPr>
        <w:t>a review of the rules applicable to</w:t>
      </w:r>
      <w:r w:rsidRPr="00B8292F" w:rsidR="002D43E0">
        <w:rPr>
          <w:sz w:val="22"/>
          <w:szCs w:val="22"/>
        </w:rPr>
        <w:t xml:space="preserve"> media outlets</w:t>
      </w:r>
      <w:r w:rsidRPr="00B8292F" w:rsidR="008E290C">
        <w:rPr>
          <w:sz w:val="22"/>
          <w:szCs w:val="22"/>
        </w:rPr>
        <w:t>.</w:t>
      </w:r>
      <w:r w:rsidRPr="00B8292F" w:rsidR="002D43E0">
        <w:rPr>
          <w:sz w:val="22"/>
          <w:szCs w:val="22"/>
        </w:rPr>
        <w:t xml:space="preserve">  </w:t>
      </w:r>
      <w:r w:rsidRPr="00B8292F" w:rsidR="003E1ECE">
        <w:rPr>
          <w:sz w:val="22"/>
          <w:szCs w:val="22"/>
        </w:rPr>
        <w:t xml:space="preserve">All in all, we ended up commending </w:t>
      </w:r>
      <w:r w:rsidRPr="00B8292F" w:rsidR="00ED1A40">
        <w:rPr>
          <w:sz w:val="22"/>
          <w:szCs w:val="22"/>
        </w:rPr>
        <w:t>22</w:t>
      </w:r>
      <w:r w:rsidRPr="00B8292F" w:rsidR="0015754A">
        <w:rPr>
          <w:sz w:val="22"/>
          <w:szCs w:val="22"/>
        </w:rPr>
        <w:t xml:space="preserve"> proceeding</w:t>
      </w:r>
      <w:r w:rsidRPr="00B8292F" w:rsidR="003E1ECE">
        <w:rPr>
          <w:sz w:val="22"/>
          <w:szCs w:val="22"/>
        </w:rPr>
        <w:t xml:space="preserve">s, which </w:t>
      </w:r>
      <w:r w:rsidRPr="00B8292F" w:rsidR="008E290C">
        <w:rPr>
          <w:sz w:val="22"/>
          <w:szCs w:val="22"/>
        </w:rPr>
        <w:t xml:space="preserve">resulted in </w:t>
      </w:r>
      <w:r w:rsidRPr="00B8292F" w:rsidR="009A2400">
        <w:rPr>
          <w:sz w:val="22"/>
          <w:szCs w:val="22"/>
        </w:rPr>
        <w:t xml:space="preserve">26 orders </w:t>
      </w:r>
      <w:r w:rsidRPr="00B8292F" w:rsidR="008E290C">
        <w:rPr>
          <w:sz w:val="22"/>
          <w:szCs w:val="22"/>
        </w:rPr>
        <w:t>th</w:t>
      </w:r>
      <w:r w:rsidRPr="00B8292F" w:rsidR="009A2400">
        <w:rPr>
          <w:sz w:val="22"/>
          <w:szCs w:val="22"/>
        </w:rPr>
        <w:t>at</w:t>
      </w:r>
      <w:r w:rsidRPr="00B8292F" w:rsidR="008E290C">
        <w:rPr>
          <w:sz w:val="22"/>
          <w:szCs w:val="22"/>
        </w:rPr>
        <w:t xml:space="preserve"> eliminat</w:t>
      </w:r>
      <w:r w:rsidRPr="00B8292F" w:rsidR="009A2400">
        <w:rPr>
          <w:sz w:val="22"/>
          <w:szCs w:val="22"/>
        </w:rPr>
        <w:t>ed</w:t>
      </w:r>
      <w:r w:rsidRPr="00B8292F" w:rsidR="008E290C">
        <w:rPr>
          <w:sz w:val="22"/>
          <w:szCs w:val="22"/>
        </w:rPr>
        <w:t xml:space="preserve"> or </w:t>
      </w:r>
      <w:r w:rsidRPr="00B8292F" w:rsidR="006A20FE">
        <w:rPr>
          <w:sz w:val="22"/>
          <w:szCs w:val="22"/>
        </w:rPr>
        <w:t>updat</w:t>
      </w:r>
      <w:r w:rsidRPr="00B8292F" w:rsidR="009A2400">
        <w:rPr>
          <w:sz w:val="22"/>
          <w:szCs w:val="22"/>
        </w:rPr>
        <w:t>ed</w:t>
      </w:r>
      <w:r w:rsidRPr="00B8292F" w:rsidR="008E290C">
        <w:rPr>
          <w:sz w:val="22"/>
          <w:szCs w:val="22"/>
        </w:rPr>
        <w:t xml:space="preserve"> </w:t>
      </w:r>
      <w:r w:rsidRPr="00B8292F" w:rsidR="008E290C">
        <w:rPr>
          <w:sz w:val="22"/>
          <w:szCs w:val="22"/>
        </w:rPr>
        <w:t>a number of</w:t>
      </w:r>
      <w:r w:rsidRPr="00B8292F" w:rsidR="008E290C">
        <w:rPr>
          <w:sz w:val="22"/>
          <w:szCs w:val="22"/>
        </w:rPr>
        <w:t xml:space="preserve"> obsolete</w:t>
      </w:r>
      <w:r w:rsidRPr="00B8292F" w:rsidR="00524F19">
        <w:rPr>
          <w:sz w:val="22"/>
          <w:szCs w:val="22"/>
        </w:rPr>
        <w:t xml:space="preserve">, </w:t>
      </w:r>
      <w:r w:rsidRPr="00B8292F" w:rsidR="008E290C">
        <w:rPr>
          <w:sz w:val="22"/>
          <w:szCs w:val="22"/>
        </w:rPr>
        <w:t xml:space="preserve">burdensome, or outmoded </w:t>
      </w:r>
      <w:r w:rsidRPr="00B8292F" w:rsidR="003736F1">
        <w:rPr>
          <w:sz w:val="22"/>
          <w:szCs w:val="22"/>
        </w:rPr>
        <w:t>rules</w:t>
      </w:r>
      <w:r w:rsidRPr="00B8292F" w:rsidR="00977378">
        <w:rPr>
          <w:sz w:val="22"/>
          <w:szCs w:val="22"/>
        </w:rPr>
        <w:t xml:space="preserve">.  For example, to better reflect the competitive video marketplace, we revamped TV stations’ </w:t>
      </w:r>
      <w:r w:rsidRPr="00B8292F">
        <w:rPr>
          <w:sz w:val="22"/>
          <w:szCs w:val="22"/>
        </w:rPr>
        <w:t>children's programming requirements</w:t>
      </w:r>
      <w:r w:rsidRPr="00B8292F" w:rsidR="00154A25">
        <w:rPr>
          <w:sz w:val="22"/>
          <w:szCs w:val="22"/>
        </w:rPr>
        <w:t xml:space="preserve"> and </w:t>
      </w:r>
      <w:r w:rsidRPr="00B8292F" w:rsidR="00977378">
        <w:rPr>
          <w:sz w:val="22"/>
          <w:szCs w:val="22"/>
        </w:rPr>
        <w:t xml:space="preserve">eased </w:t>
      </w:r>
      <w:r w:rsidRPr="00B8292F" w:rsidR="006E3748">
        <w:rPr>
          <w:sz w:val="22"/>
          <w:szCs w:val="22"/>
        </w:rPr>
        <w:t>cable operators</w:t>
      </w:r>
      <w:r w:rsidRPr="00B8292F" w:rsidR="00C77E0F">
        <w:rPr>
          <w:sz w:val="22"/>
          <w:szCs w:val="22"/>
        </w:rPr>
        <w:t>’</w:t>
      </w:r>
      <w:r w:rsidRPr="00B8292F" w:rsidR="006E3748">
        <w:rPr>
          <w:sz w:val="22"/>
          <w:szCs w:val="22"/>
        </w:rPr>
        <w:t xml:space="preserve"> </w:t>
      </w:r>
      <w:r w:rsidRPr="00B8292F" w:rsidR="008465A6">
        <w:rPr>
          <w:sz w:val="22"/>
          <w:szCs w:val="22"/>
        </w:rPr>
        <w:t>leased access obligations</w:t>
      </w:r>
      <w:r w:rsidRPr="00B8292F" w:rsidR="00977378">
        <w:rPr>
          <w:sz w:val="22"/>
          <w:szCs w:val="22"/>
        </w:rPr>
        <w:t>.  We also eliminated a variety of ancient, and now unnecessary, recordkeeping requirements.</w:t>
      </w:r>
      <w:r w:rsidRPr="00B8292F" w:rsidR="009114EF">
        <w:rPr>
          <w:sz w:val="22"/>
          <w:szCs w:val="22"/>
        </w:rPr>
        <w:t xml:space="preserve">  </w:t>
      </w:r>
      <w:r w:rsidRPr="00B8292F" w:rsidR="00977378">
        <w:rPr>
          <w:sz w:val="22"/>
          <w:szCs w:val="22"/>
        </w:rPr>
        <w:t xml:space="preserve">Because of these efforts, </w:t>
      </w:r>
      <w:r w:rsidRPr="00B8292F" w:rsidR="00154A25">
        <w:rPr>
          <w:sz w:val="22"/>
          <w:szCs w:val="22"/>
        </w:rPr>
        <w:t>b</w:t>
      </w:r>
      <w:r w:rsidRPr="00B8292F" w:rsidR="00AE23F8">
        <w:rPr>
          <w:sz w:val="22"/>
          <w:szCs w:val="22"/>
        </w:rPr>
        <w:t xml:space="preserve">roadcasters, cable and </w:t>
      </w:r>
      <w:r w:rsidRPr="00B8292F" w:rsidR="00232893">
        <w:rPr>
          <w:sz w:val="22"/>
          <w:szCs w:val="22"/>
        </w:rPr>
        <w:t xml:space="preserve">direct broadcast satellite </w:t>
      </w:r>
      <w:r w:rsidRPr="00B8292F" w:rsidR="00AE23F8">
        <w:rPr>
          <w:sz w:val="22"/>
          <w:szCs w:val="22"/>
        </w:rPr>
        <w:t>operators all</w:t>
      </w:r>
      <w:r w:rsidRPr="00B8292F" w:rsidR="003736F1">
        <w:rPr>
          <w:sz w:val="22"/>
          <w:szCs w:val="22"/>
        </w:rPr>
        <w:t xml:space="preserve"> will save costs, time and paper in complying with their FCC obligations</w:t>
      </w:r>
      <w:r w:rsidRPr="00B8292F" w:rsidR="00693970">
        <w:rPr>
          <w:sz w:val="22"/>
          <w:szCs w:val="22"/>
        </w:rPr>
        <w:t>.</w:t>
      </w:r>
    </w:p>
    <w:p w:rsidR="00197CDB" w:rsidRPr="00B8292F" w:rsidP="008076EB" w14:paraId="30F4AB3B" w14:textId="77777777">
      <w:pPr>
        <w:rPr>
          <w:sz w:val="22"/>
          <w:szCs w:val="22"/>
        </w:rPr>
      </w:pPr>
    </w:p>
    <w:p w:rsidR="008C4F0F" w:rsidRPr="00B8292F" w:rsidP="007B7DD6" w14:paraId="3365A287" w14:textId="2F20E0F7">
      <w:pPr>
        <w:pStyle w:val="ListParagraph"/>
        <w:keepNext/>
        <w:numPr>
          <w:ilvl w:val="0"/>
          <w:numId w:val="2"/>
        </w:numPr>
        <w:rPr>
          <w:sz w:val="22"/>
          <w:szCs w:val="22"/>
        </w:rPr>
      </w:pPr>
      <w:r w:rsidRPr="00B8292F">
        <w:rPr>
          <w:b/>
          <w:color w:val="000000"/>
          <w:sz w:val="22"/>
          <w:szCs w:val="22"/>
          <w:u w:val="single"/>
        </w:rPr>
        <w:t>Leveling the Playing Field</w:t>
      </w:r>
    </w:p>
    <w:p w:rsidR="00510136" w:rsidRPr="00B8292F" w:rsidP="008076EB" w14:paraId="71997D5F" w14:textId="77777777">
      <w:pPr>
        <w:rPr>
          <w:sz w:val="22"/>
          <w:szCs w:val="22"/>
        </w:rPr>
      </w:pPr>
    </w:p>
    <w:p w:rsidR="00593F2F" w:rsidRPr="00B8292F" w:rsidP="008076EB" w14:paraId="4CBBCA47" w14:textId="7B436B24">
      <w:pPr>
        <w:rPr>
          <w:sz w:val="22"/>
          <w:szCs w:val="22"/>
        </w:rPr>
      </w:pPr>
      <w:r w:rsidRPr="00B8292F">
        <w:rPr>
          <w:sz w:val="22"/>
          <w:szCs w:val="22"/>
        </w:rPr>
        <w:t xml:space="preserve">Speaking of </w:t>
      </w:r>
      <w:r w:rsidRPr="00B8292F" w:rsidR="009F5B00">
        <w:rPr>
          <w:sz w:val="22"/>
          <w:szCs w:val="22"/>
        </w:rPr>
        <w:t xml:space="preserve">rule updates, </w:t>
      </w:r>
      <w:r w:rsidRPr="00B8292F" w:rsidR="00977378">
        <w:rPr>
          <w:sz w:val="22"/>
          <w:szCs w:val="22"/>
        </w:rPr>
        <w:t xml:space="preserve">we took action to level the regulatory playing field.  Specifically, </w:t>
      </w:r>
      <w:r w:rsidRPr="00B8292F" w:rsidR="009F5B00">
        <w:rPr>
          <w:sz w:val="22"/>
          <w:szCs w:val="22"/>
        </w:rPr>
        <w:t xml:space="preserve">one of our most notable accomplishments was </w:t>
      </w:r>
      <w:r w:rsidRPr="00B8292F" w:rsidR="000C4209">
        <w:rPr>
          <w:sz w:val="22"/>
          <w:szCs w:val="22"/>
        </w:rPr>
        <w:t>clarifying</w:t>
      </w:r>
      <w:r w:rsidRPr="00B8292F" w:rsidR="009F5B00">
        <w:rPr>
          <w:sz w:val="22"/>
          <w:szCs w:val="22"/>
        </w:rPr>
        <w:t xml:space="preserve"> the regime </w:t>
      </w:r>
      <w:r w:rsidRPr="00B8292F" w:rsidR="00232893">
        <w:rPr>
          <w:sz w:val="22"/>
          <w:szCs w:val="22"/>
        </w:rPr>
        <w:t>established in the Cable Act</w:t>
      </w:r>
      <w:r w:rsidRPr="00B8292F" w:rsidR="000C4209">
        <w:rPr>
          <w:sz w:val="22"/>
          <w:szCs w:val="22"/>
        </w:rPr>
        <w:t xml:space="preserve"> for</w:t>
      </w:r>
      <w:r w:rsidRPr="00B8292F" w:rsidR="009F5B00">
        <w:rPr>
          <w:sz w:val="22"/>
          <w:szCs w:val="22"/>
        </w:rPr>
        <w:t xml:space="preserve"> how franchising authorities may regulate cable operators.  </w:t>
      </w:r>
      <w:r w:rsidRPr="00B8292F" w:rsidR="00BF3339">
        <w:rPr>
          <w:sz w:val="22"/>
          <w:szCs w:val="22"/>
        </w:rPr>
        <w:t>Consistent with the terms of the statute, o</w:t>
      </w:r>
      <w:r w:rsidRPr="00B8292F" w:rsidR="009F5B00">
        <w:rPr>
          <w:sz w:val="22"/>
          <w:szCs w:val="22"/>
        </w:rPr>
        <w:t xml:space="preserve">ur new rules sought to promote broadband investment and deployment by prohibiting excessive franchise fees and preventing </w:t>
      </w:r>
      <w:r w:rsidRPr="00B8292F" w:rsidR="002D47D4">
        <w:rPr>
          <w:sz w:val="22"/>
          <w:szCs w:val="22"/>
        </w:rPr>
        <w:t xml:space="preserve">state and </w:t>
      </w:r>
      <w:r w:rsidRPr="00B8292F" w:rsidR="009F5B00">
        <w:rPr>
          <w:sz w:val="22"/>
          <w:szCs w:val="22"/>
        </w:rPr>
        <w:t xml:space="preserve">local governments from regulating most non-cable services, including broadband Internet access service offered over a cable system.  These </w:t>
      </w:r>
      <w:r w:rsidRPr="00B8292F" w:rsidR="00C94A8E">
        <w:rPr>
          <w:sz w:val="22"/>
          <w:szCs w:val="22"/>
        </w:rPr>
        <w:t xml:space="preserve">revised </w:t>
      </w:r>
      <w:r w:rsidRPr="00B8292F" w:rsidR="009F5B00">
        <w:rPr>
          <w:sz w:val="22"/>
          <w:szCs w:val="22"/>
        </w:rPr>
        <w:t xml:space="preserve">rules responded to a remand by the U.S. Court of Appeals for the Sixth Circuit. </w:t>
      </w:r>
    </w:p>
    <w:p w:rsidR="005455C5" w:rsidRPr="00B8292F" w:rsidP="008076EB" w14:paraId="620AE5DC" w14:textId="0C25F2DD">
      <w:pPr>
        <w:rPr>
          <w:sz w:val="22"/>
          <w:szCs w:val="22"/>
        </w:rPr>
      </w:pPr>
    </w:p>
    <w:p w:rsidR="00CD7B8A" w:rsidRPr="00B8292F" w:rsidP="008076EB" w14:paraId="26E2CB33" w14:textId="5DFFDB51">
      <w:pPr>
        <w:rPr>
          <w:sz w:val="22"/>
          <w:szCs w:val="22"/>
        </w:rPr>
      </w:pPr>
      <w:r w:rsidRPr="00B8292F">
        <w:rPr>
          <w:sz w:val="22"/>
          <w:szCs w:val="22"/>
        </w:rPr>
        <w:t>Likewise</w:t>
      </w:r>
      <w:r w:rsidRPr="00B8292F" w:rsidR="00977378">
        <w:rPr>
          <w:sz w:val="22"/>
          <w:szCs w:val="22"/>
        </w:rPr>
        <w:t xml:space="preserve">, we </w:t>
      </w:r>
      <w:r w:rsidRPr="00B8292F" w:rsidR="00A459DF">
        <w:rPr>
          <w:sz w:val="22"/>
          <w:szCs w:val="22"/>
        </w:rPr>
        <w:t>took into account</w:t>
      </w:r>
      <w:r w:rsidRPr="00B8292F" w:rsidR="00A459DF">
        <w:rPr>
          <w:sz w:val="22"/>
          <w:szCs w:val="22"/>
        </w:rPr>
        <w:t xml:space="preserve"> </w:t>
      </w:r>
      <w:r w:rsidRPr="00B8292F" w:rsidR="00846CE2">
        <w:rPr>
          <w:sz w:val="22"/>
          <w:szCs w:val="22"/>
        </w:rPr>
        <w:t xml:space="preserve">the changing nature of the video market by </w:t>
      </w:r>
      <w:r w:rsidRPr="00B8292F" w:rsidR="00A459DF">
        <w:rPr>
          <w:sz w:val="22"/>
          <w:szCs w:val="22"/>
        </w:rPr>
        <w:t xml:space="preserve">interpreting Section 623 of the Cable Act </w:t>
      </w:r>
      <w:r w:rsidRPr="00B8292F" w:rsidR="002864EB">
        <w:rPr>
          <w:sz w:val="22"/>
          <w:szCs w:val="22"/>
        </w:rPr>
        <w:t>to recognize</w:t>
      </w:r>
      <w:r w:rsidRPr="00B8292F" w:rsidR="00A459DF">
        <w:rPr>
          <w:sz w:val="22"/>
          <w:szCs w:val="22"/>
        </w:rPr>
        <w:t xml:space="preserve"> that streaming video services can provide effective competition to </w:t>
      </w:r>
      <w:r w:rsidRPr="00B8292F" w:rsidR="00584804">
        <w:rPr>
          <w:sz w:val="22"/>
          <w:szCs w:val="22"/>
        </w:rPr>
        <w:t xml:space="preserve">traditional cable services.  This Order </w:t>
      </w:r>
      <w:r w:rsidRPr="00B8292F" w:rsidR="00977378">
        <w:rPr>
          <w:sz w:val="22"/>
          <w:szCs w:val="22"/>
        </w:rPr>
        <w:t xml:space="preserve">was recently affirmed by the </w:t>
      </w:r>
      <w:r w:rsidRPr="00B8292F" w:rsidR="00E10986">
        <w:rPr>
          <w:sz w:val="22"/>
          <w:szCs w:val="22"/>
        </w:rPr>
        <w:t>First</w:t>
      </w:r>
      <w:r w:rsidRPr="00B8292F" w:rsidR="00977378">
        <w:rPr>
          <w:sz w:val="22"/>
          <w:szCs w:val="22"/>
        </w:rPr>
        <w:t xml:space="preserve"> Circuit. </w:t>
      </w:r>
    </w:p>
    <w:p w:rsidR="00FC363E" w:rsidRPr="00B8292F" w:rsidP="008076EB" w14:paraId="72EB5737" w14:textId="77777777">
      <w:pPr>
        <w:rPr>
          <w:b/>
          <w:color w:val="000000"/>
          <w:sz w:val="22"/>
          <w:szCs w:val="22"/>
          <w:u w:val="single"/>
        </w:rPr>
      </w:pPr>
    </w:p>
    <w:p w:rsidR="008076EB" w:rsidRPr="00B8292F" w:rsidP="00197CDB" w14:paraId="2E3FEAD5" w14:textId="7B64A8E5">
      <w:pPr>
        <w:pStyle w:val="ListParagraph"/>
        <w:keepNext/>
        <w:numPr>
          <w:ilvl w:val="0"/>
          <w:numId w:val="2"/>
        </w:numPr>
        <w:rPr>
          <w:b/>
          <w:color w:val="000000"/>
          <w:sz w:val="22"/>
          <w:szCs w:val="22"/>
          <w:u w:val="single"/>
        </w:rPr>
      </w:pPr>
      <w:r w:rsidRPr="00B8292F">
        <w:rPr>
          <w:b/>
          <w:color w:val="000000"/>
          <w:sz w:val="22"/>
          <w:szCs w:val="22"/>
          <w:u w:val="single"/>
        </w:rPr>
        <w:t>Media Ownership</w:t>
      </w:r>
    </w:p>
    <w:p w:rsidR="002864EB" w:rsidRPr="00B8292F" w:rsidP="007B7DD6" w14:paraId="5FB05160" w14:textId="77777777">
      <w:pPr>
        <w:pStyle w:val="ListParagraph"/>
        <w:keepNext/>
        <w:rPr>
          <w:b/>
          <w:color w:val="000000"/>
          <w:sz w:val="22"/>
          <w:szCs w:val="22"/>
          <w:u w:val="single"/>
        </w:rPr>
      </w:pPr>
    </w:p>
    <w:p w:rsidR="00ED2682" w:rsidRPr="00B8292F" w:rsidP="007B5775" w14:paraId="3D674CD3" w14:textId="6D420710">
      <w:pPr>
        <w:spacing w:after="120"/>
        <w:rPr>
          <w:sz w:val="22"/>
          <w:szCs w:val="22"/>
        </w:rPr>
      </w:pPr>
      <w:r w:rsidRPr="00B8292F">
        <w:rPr>
          <w:iCs/>
          <w:sz w:val="22"/>
          <w:szCs w:val="22"/>
        </w:rPr>
        <w:t xml:space="preserve">We </w:t>
      </w:r>
      <w:r w:rsidRPr="00B8292F" w:rsidR="00ED1A40">
        <w:rPr>
          <w:iCs/>
          <w:sz w:val="22"/>
          <w:szCs w:val="22"/>
        </w:rPr>
        <w:t xml:space="preserve">continued our efforts to ensure that our rules reflected </w:t>
      </w:r>
      <w:r w:rsidRPr="00B8292F">
        <w:rPr>
          <w:iCs/>
          <w:sz w:val="22"/>
          <w:szCs w:val="22"/>
        </w:rPr>
        <w:t xml:space="preserve">the </w:t>
      </w:r>
      <w:r w:rsidRPr="00B8292F" w:rsidR="007B5775">
        <w:rPr>
          <w:iCs/>
          <w:sz w:val="22"/>
          <w:szCs w:val="22"/>
        </w:rPr>
        <w:t>fast-changing</w:t>
      </w:r>
      <w:r w:rsidRPr="00B8292F">
        <w:rPr>
          <w:iCs/>
          <w:sz w:val="22"/>
          <w:szCs w:val="22"/>
        </w:rPr>
        <w:t xml:space="preserve"> media landscape</w:t>
      </w:r>
      <w:r w:rsidRPr="00B8292F" w:rsidR="00E04601">
        <w:rPr>
          <w:iCs/>
          <w:sz w:val="22"/>
          <w:szCs w:val="22"/>
        </w:rPr>
        <w:t xml:space="preserve"> </w:t>
      </w:r>
      <w:r w:rsidRPr="00B8292F" w:rsidR="00ED1A40">
        <w:rPr>
          <w:iCs/>
          <w:sz w:val="22"/>
          <w:szCs w:val="22"/>
        </w:rPr>
        <w:t xml:space="preserve">through </w:t>
      </w:r>
      <w:r w:rsidRPr="00B8292F" w:rsidR="00AE23F8">
        <w:rPr>
          <w:iCs/>
          <w:sz w:val="22"/>
          <w:szCs w:val="22"/>
        </w:rPr>
        <w:t>a</w:t>
      </w:r>
      <w:r w:rsidRPr="00B8292F" w:rsidR="00ED1A40">
        <w:rPr>
          <w:iCs/>
          <w:sz w:val="22"/>
          <w:szCs w:val="22"/>
        </w:rPr>
        <w:t xml:space="preserve"> significant update of the Commission’s media ownership rules</w:t>
      </w:r>
      <w:r w:rsidRPr="00B8292F">
        <w:rPr>
          <w:iCs/>
          <w:sz w:val="22"/>
          <w:szCs w:val="22"/>
        </w:rPr>
        <w:t>.</w:t>
      </w:r>
      <w:r w:rsidRPr="00B8292F">
        <w:rPr>
          <w:iCs/>
          <w:sz w:val="22"/>
          <w:szCs w:val="22"/>
        </w:rPr>
        <w:t xml:space="preserve">  </w:t>
      </w:r>
      <w:r w:rsidRPr="00B8292F" w:rsidR="002864EB">
        <w:rPr>
          <w:iCs/>
          <w:sz w:val="22"/>
          <w:szCs w:val="22"/>
        </w:rPr>
        <w:t>Among other things, w</w:t>
      </w:r>
      <w:r w:rsidRPr="00B8292F">
        <w:rPr>
          <w:iCs/>
          <w:sz w:val="22"/>
          <w:szCs w:val="22"/>
        </w:rPr>
        <w:t xml:space="preserve">e eliminated the newspaper-broadcast cross-ownership ban, a rule </w:t>
      </w:r>
      <w:r w:rsidRPr="00B8292F" w:rsidR="004B5D4D">
        <w:rPr>
          <w:iCs/>
          <w:sz w:val="22"/>
          <w:szCs w:val="22"/>
        </w:rPr>
        <w:t>in place</w:t>
      </w:r>
      <w:r w:rsidRPr="00B8292F">
        <w:rPr>
          <w:iCs/>
          <w:sz w:val="22"/>
          <w:szCs w:val="22"/>
        </w:rPr>
        <w:t xml:space="preserve"> since 1975.  </w:t>
      </w:r>
      <w:r w:rsidRPr="00B8292F" w:rsidR="008A77C7">
        <w:rPr>
          <w:iCs/>
          <w:sz w:val="22"/>
          <w:szCs w:val="22"/>
        </w:rPr>
        <w:t>And w</w:t>
      </w:r>
      <w:r w:rsidRPr="00B8292F">
        <w:rPr>
          <w:iCs/>
          <w:sz w:val="22"/>
          <w:szCs w:val="22"/>
        </w:rPr>
        <w:t xml:space="preserve">e </w:t>
      </w:r>
      <w:r w:rsidRPr="00B8292F" w:rsidR="0023559D">
        <w:rPr>
          <w:sz w:val="22"/>
          <w:szCs w:val="22"/>
        </w:rPr>
        <w:t xml:space="preserve">reformed </w:t>
      </w:r>
      <w:r w:rsidRPr="00B8292F">
        <w:rPr>
          <w:sz w:val="22"/>
          <w:szCs w:val="22"/>
        </w:rPr>
        <w:t>the local television ownership rule</w:t>
      </w:r>
      <w:r w:rsidRPr="00B8292F" w:rsidR="0023559D">
        <w:rPr>
          <w:sz w:val="22"/>
          <w:szCs w:val="22"/>
        </w:rPr>
        <w:t xml:space="preserve"> by eliminating the “eight-voices” test</w:t>
      </w:r>
      <w:r w:rsidRPr="00B8292F">
        <w:rPr>
          <w:sz w:val="22"/>
          <w:szCs w:val="22"/>
        </w:rPr>
        <w:t xml:space="preserve">. </w:t>
      </w:r>
      <w:r w:rsidRPr="00B8292F" w:rsidR="00AE23F8">
        <w:rPr>
          <w:sz w:val="22"/>
          <w:szCs w:val="22"/>
        </w:rPr>
        <w:t xml:space="preserve"> </w:t>
      </w:r>
      <w:r w:rsidRPr="00B8292F" w:rsidR="007B5775">
        <w:rPr>
          <w:sz w:val="22"/>
          <w:szCs w:val="22"/>
        </w:rPr>
        <w:t xml:space="preserve">These changes </w:t>
      </w:r>
      <w:r w:rsidRPr="00B8292F" w:rsidR="003806DE">
        <w:rPr>
          <w:sz w:val="22"/>
          <w:szCs w:val="22"/>
        </w:rPr>
        <w:t>were designed to permit</w:t>
      </w:r>
      <w:r w:rsidRPr="00B8292F" w:rsidR="007B5775">
        <w:rPr>
          <w:sz w:val="22"/>
          <w:szCs w:val="22"/>
        </w:rPr>
        <w:t xml:space="preserve"> </w:t>
      </w:r>
      <w:r w:rsidRPr="00B8292F" w:rsidR="007B5775">
        <w:rPr>
          <w:iCs/>
          <w:sz w:val="22"/>
          <w:szCs w:val="22"/>
        </w:rPr>
        <w:t>pro-competitive combinations that</w:t>
      </w:r>
      <w:r w:rsidRPr="00B8292F" w:rsidR="003806DE">
        <w:rPr>
          <w:iCs/>
          <w:sz w:val="22"/>
          <w:szCs w:val="22"/>
        </w:rPr>
        <w:t xml:space="preserve"> promise to</w:t>
      </w:r>
      <w:r w:rsidRPr="00B8292F" w:rsidR="00887C1B">
        <w:rPr>
          <w:iCs/>
          <w:sz w:val="22"/>
          <w:szCs w:val="22"/>
        </w:rPr>
        <w:t xml:space="preserve"> </w:t>
      </w:r>
      <w:r w:rsidRPr="00B8292F" w:rsidR="007B5775">
        <w:rPr>
          <w:iCs/>
          <w:sz w:val="22"/>
          <w:szCs w:val="22"/>
        </w:rPr>
        <w:t>strengthen local voices</w:t>
      </w:r>
      <w:r w:rsidRPr="00B8292F" w:rsidR="00887C1B">
        <w:rPr>
          <w:iCs/>
          <w:sz w:val="22"/>
          <w:szCs w:val="22"/>
        </w:rPr>
        <w:t xml:space="preserve"> </w:t>
      </w:r>
      <w:r w:rsidRPr="00B8292F" w:rsidR="00887C1B">
        <w:rPr>
          <w:rFonts w:eastAsia="Calibri"/>
          <w:sz w:val="22"/>
          <w:szCs w:val="22"/>
        </w:rPr>
        <w:t xml:space="preserve">and </w:t>
      </w:r>
      <w:r w:rsidRPr="00B8292F" w:rsidR="003806DE">
        <w:rPr>
          <w:rFonts w:eastAsia="Calibri"/>
          <w:sz w:val="22"/>
          <w:szCs w:val="22"/>
        </w:rPr>
        <w:t>also</w:t>
      </w:r>
      <w:r w:rsidRPr="00B8292F" w:rsidR="003806DE">
        <w:rPr>
          <w:rFonts w:eastAsia="Calibri"/>
          <w:sz w:val="22"/>
          <w:szCs w:val="22"/>
        </w:rPr>
        <w:t xml:space="preserve"> </w:t>
      </w:r>
      <w:r w:rsidRPr="00B8292F" w:rsidR="00887C1B">
        <w:rPr>
          <w:rFonts w:eastAsia="Calibri"/>
          <w:sz w:val="22"/>
          <w:szCs w:val="22"/>
        </w:rPr>
        <w:t>enable both newspapers and broadcast stations to better serve their communities</w:t>
      </w:r>
      <w:r w:rsidRPr="00B8292F" w:rsidR="007B5775">
        <w:rPr>
          <w:iCs/>
          <w:sz w:val="22"/>
          <w:szCs w:val="22"/>
        </w:rPr>
        <w:t>.</w:t>
      </w:r>
    </w:p>
    <w:p w:rsidR="00804337" w:rsidRPr="00B8292F" w:rsidP="008076EB" w14:paraId="188D0EE3" w14:textId="1CAEA3A5">
      <w:pPr>
        <w:rPr>
          <w:bCs/>
          <w:color w:val="000000"/>
          <w:sz w:val="22"/>
          <w:szCs w:val="22"/>
        </w:rPr>
      </w:pPr>
    </w:p>
    <w:p w:rsidR="007B5775" w:rsidRPr="00B8292F" w:rsidP="007B5775" w14:paraId="549347E2" w14:textId="6FC97ED7">
      <w:pPr>
        <w:rPr>
          <w:iCs/>
          <w:sz w:val="22"/>
          <w:szCs w:val="22"/>
        </w:rPr>
      </w:pPr>
      <w:r w:rsidRPr="00B8292F">
        <w:rPr>
          <w:bCs/>
          <w:color w:val="000000"/>
          <w:sz w:val="22"/>
          <w:szCs w:val="22"/>
        </w:rPr>
        <w:t xml:space="preserve">Importantly, we also sought </w:t>
      </w:r>
      <w:r w:rsidRPr="00B8292F">
        <w:rPr>
          <w:bCs/>
          <w:color w:val="000000"/>
          <w:sz w:val="22"/>
          <w:szCs w:val="22"/>
        </w:rPr>
        <w:t>to promote diversity in medi</w:t>
      </w:r>
      <w:r w:rsidRPr="00B8292F">
        <w:rPr>
          <w:bCs/>
          <w:color w:val="000000"/>
          <w:sz w:val="22"/>
          <w:szCs w:val="22"/>
        </w:rPr>
        <w:t>a by creating</w:t>
      </w:r>
      <w:r w:rsidRPr="00B8292F">
        <w:rPr>
          <w:iCs/>
          <w:sz w:val="22"/>
          <w:szCs w:val="22"/>
        </w:rPr>
        <w:t xml:space="preserve"> </w:t>
      </w:r>
      <w:r w:rsidRPr="00B8292F" w:rsidR="009F5B00">
        <w:rPr>
          <w:iCs/>
          <w:sz w:val="22"/>
          <w:szCs w:val="22"/>
        </w:rPr>
        <w:t xml:space="preserve">the innovative </w:t>
      </w:r>
      <w:r w:rsidRPr="00B8292F">
        <w:rPr>
          <w:iCs/>
          <w:sz w:val="22"/>
          <w:szCs w:val="22"/>
        </w:rPr>
        <w:t xml:space="preserve">broadcaster incubator program to pair small, aspiring </w:t>
      </w:r>
      <w:r w:rsidRPr="00B8292F">
        <w:rPr>
          <w:iCs/>
          <w:sz w:val="22"/>
          <w:szCs w:val="22"/>
        </w:rPr>
        <w:t xml:space="preserve">radio </w:t>
      </w:r>
      <w:r w:rsidRPr="00B8292F">
        <w:rPr>
          <w:iCs/>
          <w:sz w:val="22"/>
          <w:szCs w:val="22"/>
        </w:rPr>
        <w:t>station owners with established broadcasters that would help with training, finances, mentoring, and industry connections.</w:t>
      </w:r>
    </w:p>
    <w:p w:rsidR="00804337" w:rsidRPr="00B8292F" w:rsidP="008076EB" w14:paraId="47E4D727" w14:textId="77777777">
      <w:pPr>
        <w:rPr>
          <w:bCs/>
          <w:color w:val="000000"/>
          <w:sz w:val="22"/>
          <w:szCs w:val="22"/>
        </w:rPr>
      </w:pPr>
    </w:p>
    <w:p w:rsidR="00FE34CD" w:rsidRPr="00B8292F" w:rsidP="008076EB" w14:paraId="7497D7A4" w14:textId="63365D9B">
      <w:pPr>
        <w:rPr>
          <w:b/>
          <w:color w:val="000000"/>
          <w:sz w:val="22"/>
          <w:szCs w:val="22"/>
          <w:u w:val="single"/>
        </w:rPr>
      </w:pPr>
      <w:r w:rsidRPr="00B8292F">
        <w:rPr>
          <w:bCs/>
          <w:color w:val="000000"/>
          <w:sz w:val="22"/>
          <w:szCs w:val="22"/>
        </w:rPr>
        <w:t>While</w:t>
      </w:r>
      <w:r w:rsidRPr="00B8292F" w:rsidR="009B749C">
        <w:rPr>
          <w:bCs/>
          <w:color w:val="000000"/>
          <w:sz w:val="22"/>
          <w:szCs w:val="22"/>
        </w:rPr>
        <w:t xml:space="preserve"> our effort</w:t>
      </w:r>
      <w:r w:rsidRPr="00B8292F" w:rsidR="00464415">
        <w:rPr>
          <w:bCs/>
          <w:color w:val="000000"/>
          <w:sz w:val="22"/>
          <w:szCs w:val="22"/>
        </w:rPr>
        <w:t>s</w:t>
      </w:r>
      <w:r w:rsidRPr="00B8292F" w:rsidR="009B749C">
        <w:rPr>
          <w:bCs/>
          <w:color w:val="000000"/>
          <w:sz w:val="22"/>
          <w:szCs w:val="22"/>
        </w:rPr>
        <w:t xml:space="preserve"> to </w:t>
      </w:r>
      <w:r w:rsidRPr="00B8292F">
        <w:rPr>
          <w:bCs/>
          <w:color w:val="000000"/>
          <w:sz w:val="22"/>
          <w:szCs w:val="22"/>
        </w:rPr>
        <w:t>match</w:t>
      </w:r>
      <w:r w:rsidRPr="00B8292F" w:rsidR="009B749C">
        <w:rPr>
          <w:bCs/>
          <w:color w:val="000000"/>
          <w:sz w:val="22"/>
          <w:szCs w:val="22"/>
        </w:rPr>
        <w:t xml:space="preserve"> our </w:t>
      </w:r>
      <w:r w:rsidRPr="00B8292F" w:rsidR="00804337">
        <w:rPr>
          <w:bCs/>
          <w:color w:val="000000"/>
          <w:sz w:val="22"/>
          <w:szCs w:val="22"/>
        </w:rPr>
        <w:t>media ownership</w:t>
      </w:r>
      <w:r w:rsidRPr="00B8292F" w:rsidR="009B749C">
        <w:rPr>
          <w:bCs/>
          <w:color w:val="000000"/>
          <w:sz w:val="22"/>
          <w:szCs w:val="22"/>
        </w:rPr>
        <w:t xml:space="preserve"> rules</w:t>
      </w:r>
      <w:r w:rsidRPr="00B8292F" w:rsidR="00804337">
        <w:rPr>
          <w:bCs/>
          <w:color w:val="000000"/>
          <w:sz w:val="22"/>
          <w:szCs w:val="22"/>
        </w:rPr>
        <w:t xml:space="preserve"> </w:t>
      </w:r>
      <w:r w:rsidRPr="00B8292F">
        <w:rPr>
          <w:bCs/>
          <w:color w:val="000000"/>
          <w:sz w:val="22"/>
          <w:szCs w:val="22"/>
        </w:rPr>
        <w:t>to</w:t>
      </w:r>
      <w:r w:rsidRPr="00B8292F" w:rsidR="001E4997">
        <w:rPr>
          <w:bCs/>
          <w:color w:val="000000"/>
          <w:sz w:val="22"/>
          <w:szCs w:val="22"/>
        </w:rPr>
        <w:t xml:space="preserve"> reflect marketplace realities </w:t>
      </w:r>
      <w:r w:rsidRPr="00B8292F" w:rsidR="009B749C">
        <w:rPr>
          <w:bCs/>
          <w:color w:val="000000"/>
          <w:sz w:val="22"/>
          <w:szCs w:val="22"/>
        </w:rPr>
        <w:t xml:space="preserve">were rejected </w:t>
      </w:r>
      <w:r w:rsidRPr="00B8292F" w:rsidR="001E4997">
        <w:rPr>
          <w:bCs/>
          <w:color w:val="000000"/>
          <w:sz w:val="22"/>
          <w:szCs w:val="22"/>
        </w:rPr>
        <w:t xml:space="preserve">2-1 </w:t>
      </w:r>
      <w:r w:rsidRPr="00B8292F" w:rsidR="00804337">
        <w:rPr>
          <w:bCs/>
          <w:color w:val="000000"/>
          <w:sz w:val="22"/>
          <w:szCs w:val="22"/>
        </w:rPr>
        <w:t xml:space="preserve">by the </w:t>
      </w:r>
      <w:r w:rsidRPr="00B8292F" w:rsidR="001E4997">
        <w:rPr>
          <w:bCs/>
          <w:color w:val="000000"/>
          <w:sz w:val="22"/>
          <w:szCs w:val="22"/>
        </w:rPr>
        <w:t xml:space="preserve">same divided </w:t>
      </w:r>
      <w:r w:rsidRPr="00B8292F" w:rsidR="00804337">
        <w:rPr>
          <w:bCs/>
          <w:color w:val="000000"/>
          <w:sz w:val="22"/>
          <w:szCs w:val="22"/>
        </w:rPr>
        <w:t>Third Circuit</w:t>
      </w:r>
      <w:r w:rsidRPr="00B8292F" w:rsidR="001E4997">
        <w:rPr>
          <w:bCs/>
          <w:color w:val="000000"/>
          <w:sz w:val="22"/>
          <w:szCs w:val="22"/>
        </w:rPr>
        <w:t xml:space="preserve"> panel that has </w:t>
      </w:r>
      <w:r w:rsidRPr="00B8292F" w:rsidR="004C3E7F">
        <w:rPr>
          <w:bCs/>
          <w:color w:val="000000"/>
          <w:sz w:val="22"/>
          <w:szCs w:val="22"/>
        </w:rPr>
        <w:t>blocked the FCC’s efforts to modernize</w:t>
      </w:r>
      <w:r w:rsidRPr="00B8292F" w:rsidR="001E4997">
        <w:rPr>
          <w:bCs/>
          <w:color w:val="000000"/>
          <w:sz w:val="22"/>
          <w:szCs w:val="22"/>
        </w:rPr>
        <w:t xml:space="preserve"> its media ownership rules for almost 20 years, in</w:t>
      </w:r>
      <w:r w:rsidRPr="00B8292F" w:rsidR="009B749C">
        <w:rPr>
          <w:bCs/>
          <w:color w:val="000000"/>
          <w:sz w:val="22"/>
          <w:szCs w:val="22"/>
        </w:rPr>
        <w:t xml:space="preserve"> a historic turn, </w:t>
      </w:r>
      <w:r w:rsidRPr="00B8292F" w:rsidR="00804337">
        <w:rPr>
          <w:bCs/>
          <w:color w:val="000000"/>
          <w:sz w:val="22"/>
          <w:szCs w:val="22"/>
        </w:rPr>
        <w:t xml:space="preserve">the Supreme Court granted </w:t>
      </w:r>
      <w:r w:rsidRPr="00B8292F" w:rsidR="00804337">
        <w:rPr>
          <w:sz w:val="22"/>
          <w:szCs w:val="22"/>
        </w:rPr>
        <w:t xml:space="preserve">the Commission’s petition for a writ of certiorari </w:t>
      </w:r>
      <w:r w:rsidRPr="00B8292F" w:rsidR="004C3E7F">
        <w:rPr>
          <w:sz w:val="22"/>
          <w:szCs w:val="22"/>
        </w:rPr>
        <w:t xml:space="preserve">to review the Third Circuit’s misguided decision </w:t>
      </w:r>
      <w:r w:rsidRPr="00B8292F" w:rsidR="00804337">
        <w:rPr>
          <w:sz w:val="22"/>
          <w:szCs w:val="22"/>
        </w:rPr>
        <w:t>and is holding oral arguments next Tuesday.</w:t>
      </w:r>
    </w:p>
    <w:p w:rsidR="00AA4095" w:rsidRPr="00B8292F" w:rsidP="008076EB" w14:paraId="709CB6C7" w14:textId="77777777">
      <w:pPr>
        <w:rPr>
          <w:b/>
          <w:color w:val="000000"/>
          <w:sz w:val="22"/>
          <w:szCs w:val="22"/>
          <w:u w:val="single"/>
        </w:rPr>
      </w:pPr>
    </w:p>
    <w:p w:rsidR="008076EB" w:rsidRPr="00B8292F" w:rsidP="007B7DD6" w14:paraId="337978AF" w14:textId="05E41F71">
      <w:pPr>
        <w:pStyle w:val="ListParagraph"/>
        <w:keepNext/>
        <w:numPr>
          <w:ilvl w:val="0"/>
          <w:numId w:val="2"/>
        </w:numPr>
        <w:rPr>
          <w:b/>
          <w:color w:val="000000"/>
          <w:sz w:val="22"/>
          <w:szCs w:val="22"/>
          <w:u w:val="single"/>
        </w:rPr>
      </w:pPr>
      <w:r w:rsidRPr="00B8292F">
        <w:rPr>
          <w:b/>
          <w:color w:val="000000"/>
          <w:sz w:val="22"/>
          <w:szCs w:val="22"/>
          <w:u w:val="single"/>
        </w:rPr>
        <w:t>Diversity</w:t>
      </w:r>
    </w:p>
    <w:p w:rsidR="00FB07E1" w:rsidRPr="00B8292F" w:rsidP="007B7DD6" w14:paraId="1B96D545" w14:textId="77777777">
      <w:pPr>
        <w:pStyle w:val="ListParagraph"/>
        <w:keepNext/>
        <w:rPr>
          <w:b/>
          <w:color w:val="000000"/>
          <w:sz w:val="22"/>
          <w:szCs w:val="22"/>
          <w:u w:val="single"/>
        </w:rPr>
      </w:pPr>
    </w:p>
    <w:p w:rsidR="00A17727" w:rsidRPr="00B8292F" w:rsidP="0058416D" w14:paraId="364517BA" w14:textId="54733576">
      <w:pPr>
        <w:keepLines/>
        <w:rPr>
          <w:bCs/>
          <w:iCs/>
          <w:sz w:val="22"/>
          <w:szCs w:val="22"/>
        </w:rPr>
      </w:pPr>
      <w:r w:rsidRPr="00B8292F">
        <w:rPr>
          <w:sz w:val="22"/>
          <w:szCs w:val="22"/>
        </w:rPr>
        <w:t xml:space="preserve">Although </w:t>
      </w:r>
      <w:r w:rsidRPr="00B8292F" w:rsidR="00FB07E1">
        <w:rPr>
          <w:sz w:val="22"/>
          <w:szCs w:val="22"/>
        </w:rPr>
        <w:t>this court battle has</w:t>
      </w:r>
      <w:r w:rsidRPr="00B8292F" w:rsidR="00046D34">
        <w:rPr>
          <w:sz w:val="22"/>
          <w:szCs w:val="22"/>
        </w:rPr>
        <w:t xml:space="preserve"> created a degree of uncertainty over our media ownership initiatives, that did not stop the </w:t>
      </w:r>
      <w:r w:rsidRPr="00B8292F" w:rsidR="0064716B">
        <w:rPr>
          <w:bCs/>
          <w:iCs/>
          <w:sz w:val="22"/>
          <w:szCs w:val="22"/>
        </w:rPr>
        <w:t xml:space="preserve">Federal Advisory Committee </w:t>
      </w:r>
      <w:r w:rsidRPr="00B8292F" w:rsidR="001A64F0">
        <w:rPr>
          <w:bCs/>
          <w:iCs/>
          <w:sz w:val="22"/>
          <w:szCs w:val="22"/>
        </w:rPr>
        <w:t xml:space="preserve">on </w:t>
      </w:r>
      <w:r w:rsidRPr="00B8292F" w:rsidR="0064716B">
        <w:rPr>
          <w:bCs/>
          <w:iCs/>
          <w:sz w:val="22"/>
          <w:szCs w:val="22"/>
        </w:rPr>
        <w:t>Diversity and Digital Empowerment</w:t>
      </w:r>
      <w:r w:rsidRPr="00B8292F" w:rsidR="001A64F0">
        <w:rPr>
          <w:bCs/>
          <w:iCs/>
          <w:sz w:val="22"/>
          <w:szCs w:val="22"/>
        </w:rPr>
        <w:t xml:space="preserve"> from an active agenda.  </w:t>
      </w:r>
      <w:r w:rsidRPr="00B8292F" w:rsidR="007A7724">
        <w:rPr>
          <w:bCs/>
          <w:iCs/>
          <w:sz w:val="22"/>
          <w:szCs w:val="22"/>
        </w:rPr>
        <w:t>Re-charte</w:t>
      </w:r>
      <w:r w:rsidRPr="00B8292F" w:rsidR="003806DE">
        <w:rPr>
          <w:bCs/>
          <w:iCs/>
          <w:sz w:val="22"/>
          <w:szCs w:val="22"/>
        </w:rPr>
        <w:t>re</w:t>
      </w:r>
      <w:r w:rsidRPr="00B8292F" w:rsidR="007A7724">
        <w:rPr>
          <w:bCs/>
          <w:iCs/>
          <w:sz w:val="22"/>
          <w:szCs w:val="22"/>
        </w:rPr>
        <w:t>d</w:t>
      </w:r>
      <w:r w:rsidRPr="00B8292F" w:rsidR="00AE23F8">
        <w:rPr>
          <w:bCs/>
          <w:iCs/>
          <w:sz w:val="22"/>
          <w:szCs w:val="22"/>
        </w:rPr>
        <w:t xml:space="preserve"> </w:t>
      </w:r>
      <w:r w:rsidRPr="00B8292F" w:rsidR="0000431E">
        <w:rPr>
          <w:bCs/>
          <w:iCs/>
          <w:sz w:val="22"/>
          <w:szCs w:val="22"/>
        </w:rPr>
        <w:t xml:space="preserve">by Chairman Pai </w:t>
      </w:r>
      <w:r w:rsidRPr="00B8292F" w:rsidR="001A64F0">
        <w:rPr>
          <w:bCs/>
          <w:iCs/>
          <w:sz w:val="22"/>
          <w:szCs w:val="22"/>
        </w:rPr>
        <w:t xml:space="preserve">in 2017, and </w:t>
      </w:r>
      <w:r w:rsidRPr="00B8292F" w:rsidR="0023559D">
        <w:rPr>
          <w:bCs/>
          <w:iCs/>
          <w:sz w:val="22"/>
          <w:szCs w:val="22"/>
        </w:rPr>
        <w:t>again</w:t>
      </w:r>
      <w:r w:rsidRPr="00B8292F" w:rsidR="001A64F0">
        <w:rPr>
          <w:bCs/>
          <w:iCs/>
          <w:sz w:val="22"/>
          <w:szCs w:val="22"/>
        </w:rPr>
        <w:t xml:space="preserve"> in 2019, the ACDDE provides advice and recommendations to the Commission on how to empower disadvantaged communities and accelerate the entry of small businesses, including those owned by women and minorities into the media. </w:t>
      </w:r>
      <w:r w:rsidRPr="00B8292F">
        <w:rPr>
          <w:bCs/>
          <w:iCs/>
          <w:sz w:val="22"/>
          <w:szCs w:val="22"/>
        </w:rPr>
        <w:t xml:space="preserve"> </w:t>
      </w:r>
    </w:p>
    <w:p w:rsidR="00A17727" w:rsidRPr="00B8292F" w:rsidP="00A17727" w14:paraId="4AB4BC08" w14:textId="77777777">
      <w:pPr>
        <w:rPr>
          <w:bCs/>
          <w:iCs/>
          <w:sz w:val="22"/>
          <w:szCs w:val="22"/>
        </w:rPr>
      </w:pPr>
    </w:p>
    <w:p w:rsidR="00D06D43" w:rsidRPr="00B8292F" w:rsidP="008076EB" w14:paraId="4241DD15" w14:textId="490F37C8">
      <w:pPr>
        <w:rPr>
          <w:bCs/>
          <w:iCs/>
          <w:sz w:val="22"/>
          <w:szCs w:val="22"/>
        </w:rPr>
      </w:pPr>
      <w:r w:rsidRPr="00B8292F">
        <w:rPr>
          <w:bCs/>
          <w:iCs/>
          <w:sz w:val="22"/>
          <w:szCs w:val="22"/>
        </w:rPr>
        <w:t>The</w:t>
      </w:r>
      <w:r w:rsidRPr="00B8292F">
        <w:rPr>
          <w:sz w:val="22"/>
          <w:szCs w:val="22"/>
        </w:rPr>
        <w:t xml:space="preserve"> </w:t>
      </w:r>
      <w:r w:rsidRPr="00B8292F" w:rsidR="0093253C">
        <w:rPr>
          <w:sz w:val="22"/>
          <w:szCs w:val="22"/>
        </w:rPr>
        <w:t xml:space="preserve">full </w:t>
      </w:r>
      <w:r w:rsidRPr="00B8292F">
        <w:rPr>
          <w:sz w:val="22"/>
          <w:szCs w:val="22"/>
        </w:rPr>
        <w:t xml:space="preserve">committee has </w:t>
      </w:r>
      <w:r w:rsidRPr="00B8292F" w:rsidR="00161662">
        <w:rPr>
          <w:sz w:val="22"/>
          <w:szCs w:val="22"/>
        </w:rPr>
        <w:t xml:space="preserve">been extremely productive – they have </w:t>
      </w:r>
      <w:r w:rsidRPr="00B8292F">
        <w:rPr>
          <w:sz w:val="22"/>
          <w:szCs w:val="22"/>
        </w:rPr>
        <w:t>met seven times, released two reports (including an in-depth assessment of diversity and inclusion efforts of tech firms and a report on universal digital access), and jointly hosted with the FCC five symposia and workshops on broadband adoption and literacy, access to capital, broadcast media ownership, and tech supplier diversity.</w:t>
      </w:r>
    </w:p>
    <w:p w:rsidR="006F309E" w:rsidRPr="00B8292F" w:rsidP="008076EB" w14:paraId="4F932239" w14:textId="5A94CDD5">
      <w:pPr>
        <w:rPr>
          <w:bCs/>
          <w:iCs/>
          <w:sz w:val="22"/>
          <w:szCs w:val="22"/>
        </w:rPr>
      </w:pPr>
    </w:p>
    <w:p w:rsidR="006F309E" w:rsidRPr="00B8292F" w:rsidP="00197CDB" w14:paraId="0BDBE67F" w14:textId="69182842">
      <w:pPr>
        <w:pStyle w:val="ListParagraph"/>
        <w:keepNext/>
        <w:numPr>
          <w:ilvl w:val="0"/>
          <w:numId w:val="2"/>
        </w:numPr>
        <w:rPr>
          <w:b/>
          <w:color w:val="000000"/>
          <w:sz w:val="22"/>
          <w:szCs w:val="22"/>
          <w:u w:val="single"/>
        </w:rPr>
      </w:pPr>
      <w:r w:rsidRPr="00B8292F">
        <w:rPr>
          <w:b/>
          <w:color w:val="000000"/>
          <w:sz w:val="22"/>
          <w:szCs w:val="22"/>
          <w:u w:val="single"/>
        </w:rPr>
        <w:t>Media Transactions</w:t>
      </w:r>
    </w:p>
    <w:p w:rsidR="00086048" w:rsidRPr="00B8292F" w:rsidP="007B7DD6" w14:paraId="5ECD5F5D" w14:textId="77777777">
      <w:pPr>
        <w:pStyle w:val="ListParagraph"/>
        <w:keepNext/>
        <w:rPr>
          <w:b/>
          <w:color w:val="000000"/>
          <w:sz w:val="22"/>
          <w:szCs w:val="22"/>
          <w:u w:val="single"/>
        </w:rPr>
      </w:pPr>
    </w:p>
    <w:p w:rsidR="00AB6C84" w:rsidRPr="00B8292F" w:rsidP="00C35472" w14:paraId="529A8C26" w14:textId="2442595E">
      <w:pPr>
        <w:pStyle w:val="ListParagraph"/>
        <w:keepLines/>
        <w:ind w:left="0"/>
        <w:rPr>
          <w:bCs/>
          <w:color w:val="000000"/>
          <w:sz w:val="22"/>
          <w:szCs w:val="22"/>
        </w:rPr>
      </w:pPr>
      <w:r w:rsidRPr="00B8292F">
        <w:rPr>
          <w:bCs/>
          <w:color w:val="000000"/>
          <w:sz w:val="22"/>
          <w:szCs w:val="22"/>
        </w:rPr>
        <w:t>Another active</w:t>
      </w:r>
      <w:r w:rsidRPr="00B8292F" w:rsidR="006A0EEF">
        <w:rPr>
          <w:bCs/>
          <w:color w:val="000000"/>
          <w:sz w:val="22"/>
          <w:szCs w:val="22"/>
        </w:rPr>
        <w:t xml:space="preserve"> area of Bureau work has been its review of proposed media transactions.  </w:t>
      </w:r>
      <w:r w:rsidRPr="00B8292F" w:rsidR="00BA0058">
        <w:rPr>
          <w:bCs/>
          <w:color w:val="000000"/>
          <w:sz w:val="22"/>
          <w:szCs w:val="22"/>
        </w:rPr>
        <w:t xml:space="preserve">Over the last 4 years, the Bureau reviewed over 15,000 applications to </w:t>
      </w:r>
      <w:r w:rsidRPr="00B8292F" w:rsidR="00BA0058">
        <w:rPr>
          <w:sz w:val="22"/>
          <w:szCs w:val="22"/>
        </w:rPr>
        <w:t>assign or transfer broadcast licenses</w:t>
      </w:r>
      <w:r w:rsidRPr="00B8292F" w:rsidR="00BA0058">
        <w:rPr>
          <w:bCs/>
          <w:color w:val="000000"/>
          <w:sz w:val="22"/>
          <w:szCs w:val="22"/>
        </w:rPr>
        <w:t xml:space="preserve">.  </w:t>
      </w:r>
      <w:r w:rsidRPr="00B8292F" w:rsidR="00161662">
        <w:rPr>
          <w:bCs/>
          <w:color w:val="000000"/>
          <w:sz w:val="22"/>
          <w:szCs w:val="22"/>
        </w:rPr>
        <w:t xml:space="preserve">We </w:t>
      </w:r>
      <w:r w:rsidRPr="00B8292F" w:rsidR="00161662">
        <w:rPr>
          <w:bCs/>
          <w:color w:val="000000"/>
          <w:sz w:val="22"/>
          <w:szCs w:val="22"/>
        </w:rPr>
        <w:t>carefully scrutinize</w:t>
      </w:r>
      <w:r w:rsidRPr="00B8292F" w:rsidR="00161662">
        <w:rPr>
          <w:bCs/>
          <w:color w:val="000000"/>
          <w:sz w:val="22"/>
          <w:szCs w:val="22"/>
        </w:rPr>
        <w:t xml:space="preserve"> each transaction to ensure that it complies with our rules and satisfies </w:t>
      </w:r>
      <w:r w:rsidRPr="00B8292F" w:rsidR="00427F43">
        <w:rPr>
          <w:sz w:val="22"/>
          <w:szCs w:val="22"/>
        </w:rPr>
        <w:t xml:space="preserve">public interest.  </w:t>
      </w:r>
      <w:r w:rsidRPr="00B8292F" w:rsidR="00BA0058">
        <w:rPr>
          <w:bCs/>
          <w:color w:val="000000"/>
          <w:sz w:val="22"/>
          <w:szCs w:val="22"/>
        </w:rPr>
        <w:t>Transactions involving foreign investment additionally require</w:t>
      </w:r>
      <w:r w:rsidRPr="00B8292F" w:rsidR="005E3A9D">
        <w:rPr>
          <w:bCs/>
          <w:color w:val="000000"/>
          <w:sz w:val="22"/>
          <w:szCs w:val="22"/>
        </w:rPr>
        <w:t xml:space="preserve"> an evaluation of</w:t>
      </w:r>
      <w:r w:rsidRPr="00B8292F" w:rsidR="00BA0058">
        <w:rPr>
          <w:bCs/>
          <w:color w:val="000000"/>
          <w:sz w:val="22"/>
          <w:szCs w:val="22"/>
        </w:rPr>
        <w:t xml:space="preserve"> </w:t>
      </w:r>
      <w:r w:rsidRPr="00B8292F" w:rsidR="00BA0058">
        <w:rPr>
          <w:sz w:val="22"/>
          <w:szCs w:val="22"/>
        </w:rPr>
        <w:t>national security, law enforcement, and trade policy</w:t>
      </w:r>
      <w:r w:rsidRPr="00B8292F" w:rsidR="005E3A9D">
        <w:rPr>
          <w:sz w:val="22"/>
          <w:szCs w:val="22"/>
        </w:rPr>
        <w:t xml:space="preserve"> considerations</w:t>
      </w:r>
      <w:r w:rsidRPr="00B8292F" w:rsidR="00BA0058">
        <w:rPr>
          <w:sz w:val="22"/>
          <w:szCs w:val="22"/>
        </w:rPr>
        <w:t xml:space="preserve">.  </w:t>
      </w:r>
    </w:p>
    <w:p w:rsidR="00AB6C84" w:rsidRPr="00B8292F" w:rsidP="0093253C" w14:paraId="1A3DB65B" w14:textId="77777777">
      <w:pPr>
        <w:pStyle w:val="ListParagraph"/>
        <w:ind w:left="0"/>
        <w:rPr>
          <w:bCs/>
          <w:color w:val="000000"/>
          <w:sz w:val="22"/>
          <w:szCs w:val="22"/>
        </w:rPr>
      </w:pPr>
    </w:p>
    <w:p w:rsidR="00136618" w:rsidRPr="00B8292F" w:rsidP="0093253C" w14:paraId="7A675E70" w14:textId="03399AF2">
      <w:pPr>
        <w:pStyle w:val="ListParagraph"/>
        <w:ind w:left="0"/>
        <w:rPr>
          <w:sz w:val="22"/>
          <w:szCs w:val="22"/>
        </w:rPr>
      </w:pPr>
      <w:r w:rsidRPr="00B8292F">
        <w:rPr>
          <w:bCs/>
          <w:color w:val="000000"/>
          <w:sz w:val="22"/>
          <w:szCs w:val="22"/>
        </w:rPr>
        <w:t>Many</w:t>
      </w:r>
      <w:r w:rsidRPr="00B8292F" w:rsidR="00AB6C84">
        <w:rPr>
          <w:bCs/>
          <w:color w:val="000000"/>
          <w:sz w:val="22"/>
          <w:szCs w:val="22"/>
        </w:rPr>
        <w:t xml:space="preserve"> of the </w:t>
      </w:r>
      <w:r w:rsidRPr="00B8292F" w:rsidR="005E3A9D">
        <w:rPr>
          <w:bCs/>
          <w:color w:val="000000"/>
          <w:sz w:val="22"/>
          <w:szCs w:val="22"/>
        </w:rPr>
        <w:t xml:space="preserve">nation’s </w:t>
      </w:r>
      <w:r w:rsidRPr="00B8292F" w:rsidR="00AB6C84">
        <w:rPr>
          <w:bCs/>
          <w:color w:val="000000"/>
          <w:sz w:val="22"/>
          <w:szCs w:val="22"/>
        </w:rPr>
        <w:t>largest broadcast groups presented transaction</w:t>
      </w:r>
      <w:r w:rsidRPr="00B8292F">
        <w:rPr>
          <w:bCs/>
          <w:color w:val="000000"/>
          <w:sz w:val="22"/>
          <w:szCs w:val="22"/>
        </w:rPr>
        <w:t>s</w:t>
      </w:r>
      <w:r w:rsidRPr="00B8292F" w:rsidR="00AB6C84">
        <w:rPr>
          <w:bCs/>
          <w:color w:val="000000"/>
          <w:sz w:val="22"/>
          <w:szCs w:val="22"/>
        </w:rPr>
        <w:t xml:space="preserve"> to the Bureau</w:t>
      </w:r>
      <w:r w:rsidRPr="00B8292F" w:rsidR="005E3A9D">
        <w:rPr>
          <w:bCs/>
          <w:color w:val="000000"/>
          <w:sz w:val="22"/>
          <w:szCs w:val="22"/>
        </w:rPr>
        <w:t>,</w:t>
      </w:r>
      <w:r w:rsidRPr="00B8292F" w:rsidR="00AB6C84">
        <w:rPr>
          <w:bCs/>
          <w:color w:val="000000"/>
          <w:sz w:val="22"/>
          <w:szCs w:val="22"/>
        </w:rPr>
        <w:t xml:space="preserve"> including iHeart Media, Cumulus Radio, Raycom Media, Tribune and Gray Television.  Consistent with a recent trend in the media industry, often </w:t>
      </w:r>
      <w:r w:rsidRPr="00B8292F" w:rsidR="003428D1">
        <w:rPr>
          <w:bCs/>
          <w:color w:val="000000"/>
          <w:sz w:val="22"/>
          <w:szCs w:val="22"/>
        </w:rPr>
        <w:t>these major transactions</w:t>
      </w:r>
      <w:r w:rsidRPr="00B8292F" w:rsidR="00AB6C84">
        <w:rPr>
          <w:bCs/>
          <w:color w:val="000000"/>
          <w:sz w:val="22"/>
          <w:szCs w:val="22"/>
        </w:rPr>
        <w:t xml:space="preserve"> </w:t>
      </w:r>
      <w:r w:rsidRPr="00B8292F" w:rsidR="003428D1">
        <w:rPr>
          <w:bCs/>
          <w:color w:val="000000"/>
          <w:sz w:val="22"/>
          <w:szCs w:val="22"/>
        </w:rPr>
        <w:t>sought ownership approval for</w:t>
      </w:r>
      <w:r w:rsidRPr="00B8292F" w:rsidR="00BA0058">
        <w:rPr>
          <w:bCs/>
          <w:color w:val="000000"/>
          <w:sz w:val="22"/>
          <w:szCs w:val="22"/>
        </w:rPr>
        <w:t xml:space="preserve"> non-traditional </w:t>
      </w:r>
      <w:r w:rsidRPr="00B8292F" w:rsidR="002A0F91">
        <w:rPr>
          <w:bCs/>
          <w:color w:val="000000"/>
          <w:sz w:val="22"/>
          <w:szCs w:val="22"/>
        </w:rPr>
        <w:t>U.S. media participants</w:t>
      </w:r>
      <w:r w:rsidRPr="00B8292F" w:rsidR="005E3A9D">
        <w:rPr>
          <w:bCs/>
          <w:color w:val="000000"/>
          <w:sz w:val="22"/>
          <w:szCs w:val="22"/>
        </w:rPr>
        <w:t>,</w:t>
      </w:r>
      <w:r w:rsidRPr="00B8292F" w:rsidR="002A0F91">
        <w:rPr>
          <w:bCs/>
          <w:color w:val="000000"/>
          <w:sz w:val="22"/>
          <w:szCs w:val="22"/>
        </w:rPr>
        <w:t xml:space="preserve"> </w:t>
      </w:r>
      <w:r w:rsidRPr="00B8292F" w:rsidR="00BA0058">
        <w:rPr>
          <w:bCs/>
          <w:color w:val="000000"/>
          <w:sz w:val="22"/>
          <w:szCs w:val="22"/>
        </w:rPr>
        <w:t>such as private equity firms and foreign entities</w:t>
      </w:r>
      <w:r w:rsidRPr="00B8292F" w:rsidR="003428D1">
        <w:rPr>
          <w:bCs/>
          <w:color w:val="000000"/>
          <w:sz w:val="22"/>
          <w:szCs w:val="22"/>
        </w:rPr>
        <w:t xml:space="preserve">. Although these groups </w:t>
      </w:r>
      <w:r w:rsidRPr="00B8292F" w:rsidR="00BA0058">
        <w:rPr>
          <w:bCs/>
          <w:color w:val="000000"/>
          <w:sz w:val="22"/>
          <w:szCs w:val="22"/>
        </w:rPr>
        <w:t xml:space="preserve">provide broadcasters with </w:t>
      </w:r>
      <w:r w:rsidRPr="00B8292F" w:rsidR="00BC6068">
        <w:rPr>
          <w:bCs/>
          <w:color w:val="000000"/>
          <w:sz w:val="22"/>
          <w:szCs w:val="22"/>
        </w:rPr>
        <w:t xml:space="preserve">new </w:t>
      </w:r>
      <w:r w:rsidRPr="00B8292F" w:rsidR="00BA0058">
        <w:rPr>
          <w:bCs/>
          <w:color w:val="000000"/>
          <w:sz w:val="22"/>
          <w:szCs w:val="22"/>
        </w:rPr>
        <w:t>source</w:t>
      </w:r>
      <w:r w:rsidRPr="00B8292F" w:rsidR="00BC6068">
        <w:rPr>
          <w:bCs/>
          <w:color w:val="000000"/>
          <w:sz w:val="22"/>
          <w:szCs w:val="22"/>
        </w:rPr>
        <w:t xml:space="preserve">s of </w:t>
      </w:r>
      <w:r w:rsidRPr="00B8292F" w:rsidR="00BA0058">
        <w:rPr>
          <w:bCs/>
          <w:color w:val="000000"/>
          <w:sz w:val="22"/>
          <w:szCs w:val="22"/>
        </w:rPr>
        <w:t>capital</w:t>
      </w:r>
      <w:r w:rsidRPr="00B8292F" w:rsidR="003428D1">
        <w:rPr>
          <w:bCs/>
          <w:color w:val="000000"/>
          <w:sz w:val="22"/>
          <w:szCs w:val="22"/>
        </w:rPr>
        <w:t xml:space="preserve">, such transactions </w:t>
      </w:r>
      <w:r w:rsidRPr="00B8292F" w:rsidR="0093253C">
        <w:rPr>
          <w:bCs/>
          <w:color w:val="000000"/>
          <w:sz w:val="22"/>
          <w:szCs w:val="22"/>
        </w:rPr>
        <w:t>often</w:t>
      </w:r>
      <w:r w:rsidRPr="00B8292F" w:rsidR="0045370A">
        <w:rPr>
          <w:bCs/>
          <w:color w:val="000000"/>
          <w:sz w:val="22"/>
          <w:szCs w:val="22"/>
        </w:rPr>
        <w:t xml:space="preserve"> involve financing and ownership structures that require</w:t>
      </w:r>
      <w:r w:rsidRPr="00B8292F" w:rsidR="0093253C">
        <w:rPr>
          <w:bCs/>
          <w:color w:val="000000"/>
          <w:sz w:val="22"/>
          <w:szCs w:val="22"/>
        </w:rPr>
        <w:t>s</w:t>
      </w:r>
      <w:r w:rsidRPr="00B8292F" w:rsidR="0045370A">
        <w:rPr>
          <w:bCs/>
          <w:color w:val="000000"/>
          <w:sz w:val="22"/>
          <w:szCs w:val="22"/>
        </w:rPr>
        <w:t xml:space="preserve"> </w:t>
      </w:r>
      <w:r w:rsidRPr="00B8292F" w:rsidR="0093253C">
        <w:rPr>
          <w:bCs/>
          <w:color w:val="000000"/>
          <w:sz w:val="22"/>
          <w:szCs w:val="22"/>
        </w:rPr>
        <w:t>proficiency</w:t>
      </w:r>
      <w:r w:rsidRPr="00B8292F" w:rsidR="00520000">
        <w:rPr>
          <w:bCs/>
          <w:color w:val="000000"/>
          <w:sz w:val="22"/>
          <w:szCs w:val="22"/>
        </w:rPr>
        <w:t xml:space="preserve"> at</w:t>
      </w:r>
      <w:r w:rsidRPr="00B8292F" w:rsidR="00FC563B">
        <w:rPr>
          <w:bCs/>
          <w:color w:val="000000"/>
          <w:sz w:val="22"/>
          <w:szCs w:val="22"/>
        </w:rPr>
        <w:t xml:space="preserve"> review</w:t>
      </w:r>
      <w:r w:rsidRPr="00B8292F" w:rsidR="00520000">
        <w:rPr>
          <w:bCs/>
          <w:color w:val="000000"/>
          <w:sz w:val="22"/>
          <w:szCs w:val="22"/>
        </w:rPr>
        <w:t>ing</w:t>
      </w:r>
      <w:r w:rsidRPr="00B8292F" w:rsidR="00BC6068">
        <w:rPr>
          <w:bCs/>
          <w:color w:val="000000"/>
          <w:sz w:val="22"/>
          <w:szCs w:val="22"/>
        </w:rPr>
        <w:t xml:space="preserve"> complicated business </w:t>
      </w:r>
      <w:r w:rsidRPr="00B8292F" w:rsidR="00FC563B">
        <w:rPr>
          <w:bCs/>
          <w:color w:val="000000"/>
          <w:sz w:val="22"/>
          <w:szCs w:val="22"/>
        </w:rPr>
        <w:t>arrangements.</w:t>
      </w:r>
      <w:r w:rsidRPr="00B8292F" w:rsidR="008237B7">
        <w:rPr>
          <w:bCs/>
          <w:color w:val="000000"/>
          <w:sz w:val="22"/>
          <w:szCs w:val="22"/>
        </w:rPr>
        <w:t xml:space="preserve"> Our careful review of these transactions—which relies on advice from expert agencies in the Executive Branch—ensure that these transactions </w:t>
      </w:r>
      <w:r w:rsidRPr="00B8292F" w:rsidR="005857FC">
        <w:rPr>
          <w:bCs/>
          <w:color w:val="000000"/>
          <w:sz w:val="22"/>
          <w:szCs w:val="22"/>
        </w:rPr>
        <w:t>will result in stronger broadcasters that are better able to compete in today’s market.</w:t>
      </w:r>
    </w:p>
    <w:p w:rsidR="00F27889" w:rsidRPr="00B8292F" w:rsidP="0093253C" w14:paraId="37716D08" w14:textId="77777777">
      <w:pPr>
        <w:pStyle w:val="ListParagraph"/>
        <w:ind w:left="0"/>
        <w:rPr>
          <w:bCs/>
          <w:color w:val="000000"/>
          <w:sz w:val="22"/>
          <w:szCs w:val="22"/>
        </w:rPr>
      </w:pPr>
    </w:p>
    <w:p w:rsidR="00AA4095" w:rsidRPr="00B8292F" w:rsidP="00197CDB" w14:paraId="37832084" w14:textId="1753E24D">
      <w:pPr>
        <w:pStyle w:val="ListParagraph"/>
        <w:keepNext/>
        <w:numPr>
          <w:ilvl w:val="0"/>
          <w:numId w:val="2"/>
        </w:numPr>
        <w:rPr>
          <w:b/>
          <w:color w:val="000000"/>
          <w:sz w:val="22"/>
          <w:szCs w:val="22"/>
          <w:u w:val="single"/>
        </w:rPr>
      </w:pPr>
      <w:r w:rsidRPr="00B8292F">
        <w:rPr>
          <w:b/>
          <w:color w:val="000000"/>
          <w:sz w:val="22"/>
          <w:szCs w:val="22"/>
          <w:u w:val="single"/>
        </w:rPr>
        <w:t>Enforcement</w:t>
      </w:r>
    </w:p>
    <w:p w:rsidR="00B4674A" w:rsidRPr="00B8292F" w:rsidP="006F309E" w14:paraId="7EEC9B39" w14:textId="77777777">
      <w:pPr>
        <w:rPr>
          <w:bCs/>
          <w:color w:val="000000"/>
          <w:sz w:val="22"/>
          <w:szCs w:val="22"/>
        </w:rPr>
      </w:pPr>
    </w:p>
    <w:p w:rsidR="006F309E" w:rsidRPr="00B8292F" w:rsidP="006F309E" w14:paraId="0E263DB4" w14:textId="1BD3E1E0">
      <w:pPr>
        <w:rPr>
          <w:sz w:val="22"/>
          <w:szCs w:val="22"/>
        </w:rPr>
      </w:pPr>
      <w:r w:rsidRPr="00B8292F">
        <w:rPr>
          <w:bCs/>
          <w:color w:val="000000"/>
          <w:sz w:val="22"/>
          <w:szCs w:val="22"/>
        </w:rPr>
        <w:t xml:space="preserve">While we were able to </w:t>
      </w:r>
      <w:r w:rsidRPr="00B8292F" w:rsidR="00B4674A">
        <w:rPr>
          <w:bCs/>
          <w:color w:val="000000"/>
          <w:sz w:val="22"/>
          <w:szCs w:val="22"/>
        </w:rPr>
        <w:t>modernize</w:t>
      </w:r>
      <w:r w:rsidRPr="00B8292F">
        <w:rPr>
          <w:bCs/>
          <w:color w:val="000000"/>
          <w:sz w:val="22"/>
          <w:szCs w:val="22"/>
        </w:rPr>
        <w:t xml:space="preserve"> regulations</w:t>
      </w:r>
      <w:r w:rsidRPr="00B8292F" w:rsidR="00B4674A">
        <w:rPr>
          <w:bCs/>
          <w:color w:val="000000"/>
          <w:sz w:val="22"/>
          <w:szCs w:val="22"/>
        </w:rPr>
        <w:t xml:space="preserve"> where appropriate</w:t>
      </w:r>
      <w:r w:rsidRPr="00B8292F">
        <w:rPr>
          <w:bCs/>
          <w:color w:val="000000"/>
          <w:sz w:val="22"/>
          <w:szCs w:val="22"/>
        </w:rPr>
        <w:t>, we remained vigilant to ensure compliance with the rules</w:t>
      </w:r>
      <w:r w:rsidRPr="00B8292F" w:rsidR="006379CB">
        <w:rPr>
          <w:bCs/>
          <w:color w:val="000000"/>
          <w:sz w:val="22"/>
          <w:szCs w:val="22"/>
        </w:rPr>
        <w:t xml:space="preserve"> </w:t>
      </w:r>
      <w:r w:rsidRPr="00B8292F" w:rsidR="009B749C">
        <w:rPr>
          <w:bCs/>
          <w:color w:val="000000"/>
          <w:sz w:val="22"/>
          <w:szCs w:val="22"/>
        </w:rPr>
        <w:t>on the books</w:t>
      </w:r>
      <w:r w:rsidRPr="00B8292F">
        <w:rPr>
          <w:bCs/>
          <w:color w:val="000000"/>
          <w:sz w:val="22"/>
          <w:szCs w:val="22"/>
        </w:rPr>
        <w:t xml:space="preserve">.  There were several situations over the last four years which required us to take significant enforcement actions, including </w:t>
      </w:r>
      <w:r w:rsidRPr="00B8292F">
        <w:rPr>
          <w:bCs/>
          <w:color w:val="000000"/>
          <w:sz w:val="22"/>
          <w:szCs w:val="22"/>
        </w:rPr>
        <w:t>entering into</w:t>
      </w:r>
      <w:r w:rsidRPr="00B8292F">
        <w:rPr>
          <w:bCs/>
          <w:color w:val="000000"/>
          <w:sz w:val="22"/>
          <w:szCs w:val="22"/>
        </w:rPr>
        <w:t xml:space="preserve"> a Consent Decree </w:t>
      </w:r>
      <w:r w:rsidRPr="00B8292F">
        <w:rPr>
          <w:sz w:val="22"/>
          <w:szCs w:val="22"/>
        </w:rPr>
        <w:t xml:space="preserve">imposing a $48 million penalty — the </w:t>
      </w:r>
      <w:r w:rsidRPr="00B8292F" w:rsidR="00977378">
        <w:rPr>
          <w:sz w:val="22"/>
          <w:szCs w:val="22"/>
        </w:rPr>
        <w:t>Commission</w:t>
      </w:r>
      <w:r w:rsidRPr="00B8292F">
        <w:rPr>
          <w:sz w:val="22"/>
          <w:szCs w:val="22"/>
        </w:rPr>
        <w:t xml:space="preserve">’s largest civil penalty ever issued to a broadcaster.  We also </w:t>
      </w:r>
      <w:r w:rsidRPr="00B8292F">
        <w:rPr>
          <w:sz w:val="22"/>
          <w:szCs w:val="22"/>
        </w:rPr>
        <w:t>entered into</w:t>
      </w:r>
      <w:r w:rsidRPr="00B8292F">
        <w:rPr>
          <w:sz w:val="22"/>
          <w:szCs w:val="22"/>
        </w:rPr>
        <w:t xml:space="preserve"> Consent Decrees with </w:t>
      </w:r>
      <w:r w:rsidRPr="00B8292F" w:rsidR="004B5D4D">
        <w:rPr>
          <w:sz w:val="22"/>
          <w:szCs w:val="22"/>
        </w:rPr>
        <w:t xml:space="preserve">over </w:t>
      </w:r>
      <w:r w:rsidRPr="00B8292F" w:rsidR="00967A49">
        <w:rPr>
          <w:sz w:val="22"/>
          <w:szCs w:val="22"/>
        </w:rPr>
        <w:t xml:space="preserve">with 100 station owners covering over 2000 stations requiring </w:t>
      </w:r>
      <w:r w:rsidRPr="00B8292F">
        <w:rPr>
          <w:sz w:val="22"/>
          <w:szCs w:val="22"/>
        </w:rPr>
        <w:t>compliance plans to ensure adherence to the political file rules</w:t>
      </w:r>
      <w:r w:rsidRPr="00B8292F" w:rsidR="00464415">
        <w:rPr>
          <w:sz w:val="22"/>
          <w:szCs w:val="22"/>
        </w:rPr>
        <w:t>.</w:t>
      </w:r>
      <w:r w:rsidRPr="00B8292F" w:rsidR="0047437A">
        <w:rPr>
          <w:sz w:val="22"/>
          <w:szCs w:val="22"/>
        </w:rPr>
        <w:t xml:space="preserve"> </w:t>
      </w:r>
      <w:r w:rsidRPr="00B8292F">
        <w:rPr>
          <w:sz w:val="22"/>
          <w:szCs w:val="22"/>
        </w:rPr>
        <w:t xml:space="preserve"> </w:t>
      </w:r>
      <w:r w:rsidRPr="00B8292F" w:rsidR="00B9350C">
        <w:rPr>
          <w:sz w:val="22"/>
          <w:szCs w:val="22"/>
        </w:rPr>
        <w:t>And, f</w:t>
      </w:r>
      <w:r w:rsidRPr="00B8292F" w:rsidR="00464415">
        <w:rPr>
          <w:sz w:val="22"/>
          <w:szCs w:val="22"/>
        </w:rPr>
        <w:t>or the first time</w:t>
      </w:r>
      <w:r w:rsidRPr="00B8292F" w:rsidR="002A0408">
        <w:rPr>
          <w:sz w:val="22"/>
          <w:szCs w:val="22"/>
        </w:rPr>
        <w:t xml:space="preserve"> ever</w:t>
      </w:r>
      <w:r w:rsidRPr="00B8292F" w:rsidR="00464415">
        <w:rPr>
          <w:sz w:val="22"/>
          <w:szCs w:val="22"/>
        </w:rPr>
        <w:t xml:space="preserve">, we issued a </w:t>
      </w:r>
      <w:r w:rsidRPr="00B8292F" w:rsidR="002A0408">
        <w:rPr>
          <w:sz w:val="22"/>
          <w:szCs w:val="22"/>
        </w:rPr>
        <w:t xml:space="preserve">Notice of Apparent Liability </w:t>
      </w:r>
      <w:r w:rsidRPr="00B8292F">
        <w:rPr>
          <w:sz w:val="22"/>
          <w:szCs w:val="22"/>
        </w:rPr>
        <w:t xml:space="preserve">for violation of the Retransmission Consent Good Faith Negotiation Rules.  </w:t>
      </w:r>
      <w:r w:rsidRPr="00B8292F" w:rsidR="00B9350C">
        <w:rPr>
          <w:sz w:val="22"/>
          <w:szCs w:val="22"/>
        </w:rPr>
        <w:t>In this NAL, we</w:t>
      </w:r>
      <w:r w:rsidRPr="00B8292F" w:rsidR="00A21708">
        <w:rPr>
          <w:sz w:val="22"/>
          <w:szCs w:val="22"/>
        </w:rPr>
        <w:t xml:space="preserve"> proposed the maximum statutory forfeitures against eight broadcaster TV station groups</w:t>
      </w:r>
      <w:r w:rsidRPr="00B8292F" w:rsidR="00B9350C">
        <w:rPr>
          <w:sz w:val="22"/>
          <w:szCs w:val="22"/>
        </w:rPr>
        <w:t>.</w:t>
      </w:r>
    </w:p>
    <w:p w:rsidR="00D06D43" w:rsidRPr="00B8292F" w:rsidP="008076EB" w14:paraId="571E26FB" w14:textId="77777777">
      <w:pPr>
        <w:rPr>
          <w:b/>
          <w:color w:val="000000"/>
          <w:sz w:val="22"/>
          <w:szCs w:val="22"/>
          <w:u w:val="single"/>
        </w:rPr>
      </w:pPr>
    </w:p>
    <w:p w:rsidR="008076EB" w:rsidRPr="00B8292F" w:rsidP="0058416D" w14:paraId="630F8A96" w14:textId="7E2E4C8F">
      <w:pPr>
        <w:pStyle w:val="ListParagraph"/>
        <w:keepNext/>
        <w:numPr>
          <w:ilvl w:val="0"/>
          <w:numId w:val="2"/>
        </w:numPr>
        <w:rPr>
          <w:b/>
          <w:color w:val="000000"/>
          <w:sz w:val="22"/>
          <w:szCs w:val="22"/>
          <w:u w:val="single"/>
        </w:rPr>
      </w:pPr>
      <w:r w:rsidRPr="00B8292F">
        <w:rPr>
          <w:b/>
          <w:color w:val="000000"/>
          <w:sz w:val="22"/>
          <w:szCs w:val="22"/>
          <w:u w:val="single"/>
        </w:rPr>
        <w:t>Workload</w:t>
      </w:r>
    </w:p>
    <w:p w:rsidR="002A0408" w:rsidRPr="00B8292F" w:rsidP="00D04777" w14:paraId="513C0C53" w14:textId="77777777">
      <w:pPr>
        <w:pStyle w:val="ListParagraph"/>
        <w:keepNext/>
        <w:rPr>
          <w:b/>
          <w:color w:val="000000"/>
          <w:sz w:val="22"/>
          <w:szCs w:val="22"/>
          <w:u w:val="single"/>
        </w:rPr>
      </w:pPr>
    </w:p>
    <w:p w:rsidR="008076EB" w:rsidRPr="00B8292F" w:rsidP="0058416D" w14:paraId="5226A073" w14:textId="3CB92BB6">
      <w:pPr>
        <w:keepLines/>
        <w:rPr>
          <w:bCs/>
          <w:color w:val="000000"/>
          <w:sz w:val="22"/>
          <w:szCs w:val="22"/>
        </w:rPr>
      </w:pPr>
      <w:r w:rsidRPr="00B8292F">
        <w:rPr>
          <w:bCs/>
          <w:color w:val="000000"/>
          <w:sz w:val="22"/>
          <w:szCs w:val="22"/>
        </w:rPr>
        <w:t>To close</w:t>
      </w:r>
      <w:r w:rsidRPr="00B8292F" w:rsidR="009A4FCE">
        <w:rPr>
          <w:bCs/>
          <w:color w:val="000000"/>
          <w:sz w:val="22"/>
          <w:szCs w:val="22"/>
        </w:rPr>
        <w:t>, I want to thank the</w:t>
      </w:r>
      <w:r w:rsidRPr="00B8292F" w:rsidR="00464415">
        <w:rPr>
          <w:bCs/>
          <w:color w:val="000000"/>
          <w:sz w:val="22"/>
          <w:szCs w:val="22"/>
        </w:rPr>
        <w:t xml:space="preserve"> extremely talented and</w:t>
      </w:r>
      <w:r w:rsidRPr="00B8292F" w:rsidR="009A4FCE">
        <w:rPr>
          <w:bCs/>
          <w:color w:val="000000"/>
          <w:sz w:val="22"/>
          <w:szCs w:val="22"/>
        </w:rPr>
        <w:t xml:space="preserve"> dedicated staff of the Media Bureau</w:t>
      </w:r>
      <w:r w:rsidRPr="00B8292F" w:rsidR="003217C7">
        <w:rPr>
          <w:bCs/>
          <w:color w:val="000000"/>
          <w:sz w:val="22"/>
          <w:szCs w:val="22"/>
        </w:rPr>
        <w:t xml:space="preserve">.  </w:t>
      </w:r>
      <w:r w:rsidRPr="00B8292F" w:rsidR="009A4FCE">
        <w:rPr>
          <w:bCs/>
          <w:color w:val="000000"/>
          <w:sz w:val="22"/>
          <w:szCs w:val="22"/>
        </w:rPr>
        <w:t xml:space="preserve"> </w:t>
      </w:r>
      <w:r w:rsidRPr="00B8292F">
        <w:rPr>
          <w:bCs/>
          <w:color w:val="000000"/>
          <w:sz w:val="22"/>
          <w:szCs w:val="22"/>
        </w:rPr>
        <w:t>As this slide highlights, on</w:t>
      </w:r>
      <w:r w:rsidRPr="00B8292F" w:rsidR="003217C7">
        <w:rPr>
          <w:bCs/>
          <w:color w:val="000000"/>
          <w:sz w:val="22"/>
          <w:szCs w:val="22"/>
        </w:rPr>
        <w:t xml:space="preserve"> top of the many noteworthy items </w:t>
      </w:r>
      <w:r w:rsidRPr="00B8292F" w:rsidR="00517B95">
        <w:rPr>
          <w:bCs/>
          <w:color w:val="000000"/>
          <w:sz w:val="22"/>
          <w:szCs w:val="22"/>
        </w:rPr>
        <w:t xml:space="preserve">they </w:t>
      </w:r>
      <w:r w:rsidRPr="00B8292F" w:rsidR="003217C7">
        <w:rPr>
          <w:bCs/>
          <w:color w:val="000000"/>
          <w:sz w:val="22"/>
          <w:szCs w:val="22"/>
        </w:rPr>
        <w:t xml:space="preserve">produced </w:t>
      </w:r>
      <w:r w:rsidRPr="00B8292F">
        <w:rPr>
          <w:bCs/>
          <w:color w:val="000000"/>
          <w:sz w:val="22"/>
          <w:szCs w:val="22"/>
        </w:rPr>
        <w:t xml:space="preserve">over the last four years </w:t>
      </w:r>
      <w:r w:rsidRPr="00B8292F" w:rsidR="003217C7">
        <w:rPr>
          <w:bCs/>
          <w:color w:val="000000"/>
          <w:sz w:val="22"/>
          <w:szCs w:val="22"/>
        </w:rPr>
        <w:t xml:space="preserve">is a tremendous volume of work completed </w:t>
      </w:r>
      <w:r w:rsidRPr="00B8292F" w:rsidR="003217C7">
        <w:rPr>
          <w:bCs/>
          <w:color w:val="000000"/>
          <w:sz w:val="22"/>
          <w:szCs w:val="22"/>
        </w:rPr>
        <w:t>on a daily basis</w:t>
      </w:r>
      <w:r w:rsidRPr="00B8292F" w:rsidR="003217C7">
        <w:rPr>
          <w:bCs/>
          <w:color w:val="000000"/>
          <w:sz w:val="22"/>
          <w:szCs w:val="22"/>
        </w:rPr>
        <w:t xml:space="preserve">.  </w:t>
      </w:r>
      <w:r w:rsidRPr="00B8292F" w:rsidR="00A86547">
        <w:rPr>
          <w:bCs/>
          <w:color w:val="000000"/>
          <w:sz w:val="22"/>
          <w:szCs w:val="22"/>
        </w:rPr>
        <w:t>It has been an honor to work with such a great team</w:t>
      </w:r>
      <w:r w:rsidRPr="00B8292F" w:rsidR="00D06D43">
        <w:rPr>
          <w:bCs/>
          <w:color w:val="000000"/>
          <w:sz w:val="22"/>
          <w:szCs w:val="22"/>
        </w:rPr>
        <w:t xml:space="preserve"> over so many important and interesting issues</w:t>
      </w:r>
      <w:r w:rsidRPr="00B8292F" w:rsidR="007415A7">
        <w:rPr>
          <w:bCs/>
          <w:color w:val="000000"/>
          <w:sz w:val="22"/>
          <w:szCs w:val="22"/>
        </w:rPr>
        <w:t>.</w:t>
      </w:r>
    </w:p>
    <w:p w:rsidR="008E290C" w:rsidRPr="00B8292F" w:rsidP="008076EB" w14:paraId="1B66721A" w14:textId="77777777">
      <w:pPr>
        <w:rPr>
          <w:b/>
          <w:color w:val="000000"/>
          <w:sz w:val="22"/>
          <w:szCs w:val="22"/>
        </w:rPr>
      </w:pPr>
    </w:p>
    <w:p w:rsidR="00A86547" w:rsidRPr="00B8292F" w:rsidP="00524F19" w14:paraId="7E39D5F9" w14:textId="72B30CEE">
      <w:pPr>
        <w:pStyle w:val="ListParagraph"/>
        <w:keepNext/>
        <w:numPr>
          <w:ilvl w:val="0"/>
          <w:numId w:val="2"/>
        </w:numPr>
        <w:rPr>
          <w:bCs/>
          <w:color w:val="000000"/>
          <w:sz w:val="22"/>
          <w:szCs w:val="22"/>
        </w:rPr>
      </w:pPr>
      <w:r w:rsidRPr="00B8292F">
        <w:rPr>
          <w:b/>
          <w:color w:val="000000"/>
          <w:sz w:val="22"/>
          <w:szCs w:val="22"/>
          <w:u w:val="single"/>
        </w:rPr>
        <w:t>Thank You</w:t>
      </w:r>
    </w:p>
    <w:p w:rsidR="00D04777" w:rsidRPr="00B8292F" w:rsidP="00D04777" w14:paraId="5A03FE58" w14:textId="77777777">
      <w:pPr>
        <w:pStyle w:val="ListParagraph"/>
        <w:keepNext/>
        <w:rPr>
          <w:bCs/>
          <w:color w:val="000000"/>
          <w:sz w:val="22"/>
          <w:szCs w:val="22"/>
        </w:rPr>
      </w:pPr>
    </w:p>
    <w:p w:rsidR="00B62A6E" w:rsidRPr="00B8292F" w:rsidP="00DF1294" w14:paraId="67C80D35" w14:textId="11F80C18">
      <w:pPr>
        <w:rPr>
          <w:bCs/>
          <w:color w:val="000000"/>
          <w:sz w:val="22"/>
          <w:szCs w:val="22"/>
        </w:rPr>
      </w:pPr>
      <w:r w:rsidRPr="00B8292F">
        <w:rPr>
          <w:bCs/>
          <w:color w:val="000000"/>
          <w:sz w:val="22"/>
          <w:szCs w:val="22"/>
        </w:rPr>
        <w:t xml:space="preserve">And finally, thank you </w:t>
      </w:r>
      <w:r w:rsidRPr="00B8292F">
        <w:rPr>
          <w:bCs/>
          <w:color w:val="000000"/>
          <w:sz w:val="22"/>
          <w:szCs w:val="22"/>
        </w:rPr>
        <w:t>Chairman Pai for your leadership these past 4 years.  The Bureau could not have accomplished so much without your support and guidance.  We wish you success wherever you go.</w:t>
      </w:r>
    </w:p>
    <w:p w:rsidR="00B62A6E" w:rsidRPr="00B8292F" w:rsidP="00DF1294" w14:paraId="4F3FBF71" w14:textId="77777777">
      <w:pPr>
        <w:rPr>
          <w:bCs/>
          <w:color w:val="000000"/>
          <w:sz w:val="22"/>
          <w:szCs w:val="22"/>
        </w:rPr>
      </w:pPr>
    </w:p>
    <w:p w:rsidR="00B62A6E" w:rsidRPr="00B8292F" w:rsidP="00DF1294" w14:paraId="66FFA0F4" w14:textId="2BE6F324">
      <w:pPr>
        <w:rPr>
          <w:bCs/>
          <w:color w:val="000000"/>
          <w:sz w:val="22"/>
          <w:szCs w:val="22"/>
        </w:rPr>
      </w:pPr>
      <w:r w:rsidRPr="00B8292F">
        <w:rPr>
          <w:bCs/>
          <w:color w:val="000000"/>
          <w:sz w:val="22"/>
          <w:szCs w:val="22"/>
        </w:rPr>
        <w:t>Good luck, and farewell!</w:t>
      </w:r>
    </w:p>
    <w:p w:rsidR="00B62A6E" w:rsidRPr="00B8292F" w:rsidP="00DF1294" w14:paraId="71CD25C6" w14:textId="77777777">
      <w:pPr>
        <w:rPr>
          <w:bCs/>
          <w:color w:val="000000"/>
          <w:sz w:val="22"/>
          <w:szCs w:val="22"/>
        </w:rPr>
      </w:pPr>
    </w:p>
    <w:p w:rsidR="00520000" w:rsidRPr="00B8292F" w:rsidP="00DF1294" w14:paraId="1428CC82" w14:textId="4D038408">
      <w:pPr>
        <w:rPr>
          <w:bCs/>
          <w:color w:val="000000"/>
          <w:sz w:val="22"/>
          <w:szCs w:val="22"/>
        </w:rPr>
      </w:pPr>
      <w:r w:rsidRPr="00B8292F">
        <w:rPr>
          <w:bCs/>
          <w:color w:val="000000"/>
          <w:sz w:val="22"/>
          <w:szCs w:val="22"/>
        </w:rPr>
        <w:t xml:space="preserve">Next, </w:t>
      </w:r>
      <w:r w:rsidRPr="00B8292F" w:rsidR="00FF16EF">
        <w:rPr>
          <w:bCs/>
          <w:color w:val="000000"/>
          <w:sz w:val="22"/>
          <w:szCs w:val="22"/>
        </w:rPr>
        <w:t>Jean Kidoo</w:t>
      </w:r>
      <w:r w:rsidRPr="00B8292F" w:rsidR="00524F19">
        <w:rPr>
          <w:bCs/>
          <w:color w:val="000000"/>
          <w:sz w:val="22"/>
          <w:szCs w:val="22"/>
        </w:rPr>
        <w:t xml:space="preserve">, </w:t>
      </w:r>
      <w:r w:rsidRPr="00B8292F" w:rsidR="00A94F36">
        <w:rPr>
          <w:bCs/>
          <w:color w:val="000000"/>
          <w:sz w:val="22"/>
          <w:szCs w:val="22"/>
        </w:rPr>
        <w:t xml:space="preserve">from </w:t>
      </w:r>
      <w:r w:rsidRPr="00B8292F" w:rsidR="00DE7836">
        <w:rPr>
          <w:bCs/>
          <w:color w:val="000000"/>
          <w:sz w:val="22"/>
          <w:szCs w:val="22"/>
        </w:rPr>
        <w:t xml:space="preserve">the Incentive Auction Task Force </w:t>
      </w:r>
      <w:r w:rsidRPr="00B8292F">
        <w:rPr>
          <w:bCs/>
          <w:color w:val="000000"/>
          <w:sz w:val="22"/>
          <w:szCs w:val="22"/>
        </w:rPr>
        <w:t xml:space="preserve">will </w:t>
      </w:r>
      <w:r w:rsidRPr="00B8292F" w:rsidR="00B01FE9">
        <w:rPr>
          <w:bCs/>
          <w:color w:val="000000"/>
          <w:sz w:val="22"/>
          <w:szCs w:val="22"/>
        </w:rPr>
        <w:t xml:space="preserve">present </w:t>
      </w:r>
      <w:r w:rsidRPr="00B8292F" w:rsidR="00464415">
        <w:rPr>
          <w:bCs/>
          <w:color w:val="000000"/>
          <w:sz w:val="22"/>
          <w:szCs w:val="22"/>
        </w:rPr>
        <w:t xml:space="preserve">more detail on the critical role that the Media Bureau has played in the success of the television post-incentive repack and reimbursement program. </w:t>
      </w:r>
    </w:p>
    <w:sectPr w:rsidSect="00714767">
      <w:headerReference w:type="default" r:id="rId4"/>
      <w:footerReference w:type="default" r:id="rId5"/>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5409BA" w14:paraId="1188C6E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524F19" w:rsidP="00D04777" w14:paraId="27C38132" w14:textId="2DC8FD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2703174"/>
    <w:multiLevelType w:val="hybridMultilevel"/>
    <w:tmpl w:val="5C2C92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3E1D18"/>
    <w:multiLevelType w:val="hybridMultilevel"/>
    <w:tmpl w:val="CDBC38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91F6079"/>
    <w:multiLevelType w:val="hybridMultilevel"/>
    <w:tmpl w:val="BF3631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D73FCE"/>
    <w:multiLevelType w:val="hybridMultilevel"/>
    <w:tmpl w:val="280219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ED671B"/>
    <w:multiLevelType w:val="hybridMultilevel"/>
    <w:tmpl w:val="534C0C4A"/>
    <w:lvl w:ilvl="0">
      <w:start w:val="1"/>
      <w:numFmt w:val="decimal"/>
      <w:lvlText w:val="%1."/>
      <w:lvlJc w:val="left"/>
      <w:pPr>
        <w:ind w:left="1080" w:hanging="360"/>
      </w:pPr>
      <w:rPr>
        <w:rFonts w:hint="default"/>
        <w:b w:val="0"/>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D625522"/>
    <w:multiLevelType w:val="hybridMultilevel"/>
    <w:tmpl w:val="8A681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94"/>
    <w:rsid w:val="0000431E"/>
    <w:rsid w:val="00004994"/>
    <w:rsid w:val="00006138"/>
    <w:rsid w:val="00026CEF"/>
    <w:rsid w:val="000332D4"/>
    <w:rsid w:val="00046D34"/>
    <w:rsid w:val="00047E3E"/>
    <w:rsid w:val="0006202F"/>
    <w:rsid w:val="000637DA"/>
    <w:rsid w:val="000739E7"/>
    <w:rsid w:val="00086048"/>
    <w:rsid w:val="00087677"/>
    <w:rsid w:val="000C4209"/>
    <w:rsid w:val="000C482F"/>
    <w:rsid w:val="000D344A"/>
    <w:rsid w:val="000D7D8B"/>
    <w:rsid w:val="000E6956"/>
    <w:rsid w:val="000F15B6"/>
    <w:rsid w:val="001120EA"/>
    <w:rsid w:val="00136618"/>
    <w:rsid w:val="00137AD8"/>
    <w:rsid w:val="00150D3C"/>
    <w:rsid w:val="00154A25"/>
    <w:rsid w:val="0015541A"/>
    <w:rsid w:val="0015754A"/>
    <w:rsid w:val="00161662"/>
    <w:rsid w:val="001772CE"/>
    <w:rsid w:val="00197CDB"/>
    <w:rsid w:val="001A3D16"/>
    <w:rsid w:val="001A64F0"/>
    <w:rsid w:val="001D337B"/>
    <w:rsid w:val="001E4997"/>
    <w:rsid w:val="00230EA2"/>
    <w:rsid w:val="00231FE9"/>
    <w:rsid w:val="00232893"/>
    <w:rsid w:val="0023559D"/>
    <w:rsid w:val="002864EB"/>
    <w:rsid w:val="002969AE"/>
    <w:rsid w:val="002A0408"/>
    <w:rsid w:val="002A0F91"/>
    <w:rsid w:val="002C129B"/>
    <w:rsid w:val="002C171A"/>
    <w:rsid w:val="002D43E0"/>
    <w:rsid w:val="002D47D4"/>
    <w:rsid w:val="002E664A"/>
    <w:rsid w:val="003217C7"/>
    <w:rsid w:val="00337CE5"/>
    <w:rsid w:val="003428D1"/>
    <w:rsid w:val="0034743B"/>
    <w:rsid w:val="00352F30"/>
    <w:rsid w:val="0037325C"/>
    <w:rsid w:val="003736F1"/>
    <w:rsid w:val="003806DE"/>
    <w:rsid w:val="003A732B"/>
    <w:rsid w:val="003C2608"/>
    <w:rsid w:val="003D218A"/>
    <w:rsid w:val="003D3E5D"/>
    <w:rsid w:val="003D7C6D"/>
    <w:rsid w:val="003E1ECE"/>
    <w:rsid w:val="00400211"/>
    <w:rsid w:val="00427F43"/>
    <w:rsid w:val="0045370A"/>
    <w:rsid w:val="00454BBD"/>
    <w:rsid w:val="00456D6B"/>
    <w:rsid w:val="00464415"/>
    <w:rsid w:val="0047437A"/>
    <w:rsid w:val="004752CE"/>
    <w:rsid w:val="00486BB6"/>
    <w:rsid w:val="004A3371"/>
    <w:rsid w:val="004B3774"/>
    <w:rsid w:val="004B5D4D"/>
    <w:rsid w:val="004C3E7F"/>
    <w:rsid w:val="004D2B51"/>
    <w:rsid w:val="004F6B7A"/>
    <w:rsid w:val="00510136"/>
    <w:rsid w:val="00511A78"/>
    <w:rsid w:val="00513AFB"/>
    <w:rsid w:val="00517B95"/>
    <w:rsid w:val="00520000"/>
    <w:rsid w:val="00524F19"/>
    <w:rsid w:val="005409BA"/>
    <w:rsid w:val="005455C5"/>
    <w:rsid w:val="00551A6B"/>
    <w:rsid w:val="00581D42"/>
    <w:rsid w:val="0058416D"/>
    <w:rsid w:val="00584804"/>
    <w:rsid w:val="005857FC"/>
    <w:rsid w:val="00593F2F"/>
    <w:rsid w:val="005C1228"/>
    <w:rsid w:val="005D651F"/>
    <w:rsid w:val="005D66EB"/>
    <w:rsid w:val="005E3A9D"/>
    <w:rsid w:val="005E6D35"/>
    <w:rsid w:val="005E78A2"/>
    <w:rsid w:val="005F4BE2"/>
    <w:rsid w:val="00607BA8"/>
    <w:rsid w:val="00612CED"/>
    <w:rsid w:val="00622330"/>
    <w:rsid w:val="006379CB"/>
    <w:rsid w:val="0064716B"/>
    <w:rsid w:val="006566E8"/>
    <w:rsid w:val="0066778A"/>
    <w:rsid w:val="00693970"/>
    <w:rsid w:val="00693E0B"/>
    <w:rsid w:val="006A04F3"/>
    <w:rsid w:val="006A0EEF"/>
    <w:rsid w:val="006A20FE"/>
    <w:rsid w:val="006A5A83"/>
    <w:rsid w:val="006D5204"/>
    <w:rsid w:val="006E3748"/>
    <w:rsid w:val="006F309E"/>
    <w:rsid w:val="006F510D"/>
    <w:rsid w:val="0070615F"/>
    <w:rsid w:val="00714767"/>
    <w:rsid w:val="00726DCF"/>
    <w:rsid w:val="00735147"/>
    <w:rsid w:val="007415A7"/>
    <w:rsid w:val="00770587"/>
    <w:rsid w:val="00770A22"/>
    <w:rsid w:val="007712F0"/>
    <w:rsid w:val="007752AB"/>
    <w:rsid w:val="007A5229"/>
    <w:rsid w:val="007A7724"/>
    <w:rsid w:val="007B5775"/>
    <w:rsid w:val="007B7DD6"/>
    <w:rsid w:val="007D5EAF"/>
    <w:rsid w:val="007D6571"/>
    <w:rsid w:val="00804337"/>
    <w:rsid w:val="008043E8"/>
    <w:rsid w:val="0080630E"/>
    <w:rsid w:val="008076EB"/>
    <w:rsid w:val="008237B7"/>
    <w:rsid w:val="008465A6"/>
    <w:rsid w:val="00846CE2"/>
    <w:rsid w:val="00850CB1"/>
    <w:rsid w:val="00860E71"/>
    <w:rsid w:val="00870456"/>
    <w:rsid w:val="00874DF3"/>
    <w:rsid w:val="00887C1B"/>
    <w:rsid w:val="00897E0C"/>
    <w:rsid w:val="008A77C7"/>
    <w:rsid w:val="008C4F0F"/>
    <w:rsid w:val="008E290C"/>
    <w:rsid w:val="008F6224"/>
    <w:rsid w:val="00901C1F"/>
    <w:rsid w:val="009114EF"/>
    <w:rsid w:val="0091270E"/>
    <w:rsid w:val="00930FF7"/>
    <w:rsid w:val="0093253C"/>
    <w:rsid w:val="00934059"/>
    <w:rsid w:val="00954F95"/>
    <w:rsid w:val="00967A49"/>
    <w:rsid w:val="00977378"/>
    <w:rsid w:val="009A2400"/>
    <w:rsid w:val="009A4FCE"/>
    <w:rsid w:val="009B749C"/>
    <w:rsid w:val="009E4774"/>
    <w:rsid w:val="009F5B00"/>
    <w:rsid w:val="009F5CE4"/>
    <w:rsid w:val="00A17727"/>
    <w:rsid w:val="00A21708"/>
    <w:rsid w:val="00A252A2"/>
    <w:rsid w:val="00A459DF"/>
    <w:rsid w:val="00A617DD"/>
    <w:rsid w:val="00A70391"/>
    <w:rsid w:val="00A74639"/>
    <w:rsid w:val="00A86547"/>
    <w:rsid w:val="00A94F36"/>
    <w:rsid w:val="00AA4095"/>
    <w:rsid w:val="00AA78BC"/>
    <w:rsid w:val="00AB6C84"/>
    <w:rsid w:val="00AB6E69"/>
    <w:rsid w:val="00AB7F6C"/>
    <w:rsid w:val="00AC28E9"/>
    <w:rsid w:val="00AE23F8"/>
    <w:rsid w:val="00AE7DC7"/>
    <w:rsid w:val="00B01FE9"/>
    <w:rsid w:val="00B22D59"/>
    <w:rsid w:val="00B27E5E"/>
    <w:rsid w:val="00B4674A"/>
    <w:rsid w:val="00B62A6E"/>
    <w:rsid w:val="00B62BD9"/>
    <w:rsid w:val="00B81E1A"/>
    <w:rsid w:val="00B8292F"/>
    <w:rsid w:val="00B92A89"/>
    <w:rsid w:val="00B9350C"/>
    <w:rsid w:val="00BA0058"/>
    <w:rsid w:val="00BA6591"/>
    <w:rsid w:val="00BC6068"/>
    <w:rsid w:val="00BC7529"/>
    <w:rsid w:val="00BD1638"/>
    <w:rsid w:val="00BF26FC"/>
    <w:rsid w:val="00BF3339"/>
    <w:rsid w:val="00BF7FB8"/>
    <w:rsid w:val="00C35472"/>
    <w:rsid w:val="00C5175B"/>
    <w:rsid w:val="00C54986"/>
    <w:rsid w:val="00C610CA"/>
    <w:rsid w:val="00C67358"/>
    <w:rsid w:val="00C700E3"/>
    <w:rsid w:val="00C72809"/>
    <w:rsid w:val="00C77E0F"/>
    <w:rsid w:val="00C94A8E"/>
    <w:rsid w:val="00CA4953"/>
    <w:rsid w:val="00CA5597"/>
    <w:rsid w:val="00CC505A"/>
    <w:rsid w:val="00CD7B8A"/>
    <w:rsid w:val="00CE0E85"/>
    <w:rsid w:val="00CE2687"/>
    <w:rsid w:val="00CE2DC2"/>
    <w:rsid w:val="00CE4372"/>
    <w:rsid w:val="00CE4FF3"/>
    <w:rsid w:val="00CE628D"/>
    <w:rsid w:val="00D04777"/>
    <w:rsid w:val="00D06D43"/>
    <w:rsid w:val="00D23B00"/>
    <w:rsid w:val="00D256FE"/>
    <w:rsid w:val="00D26D0C"/>
    <w:rsid w:val="00DA4144"/>
    <w:rsid w:val="00DD248F"/>
    <w:rsid w:val="00DE7836"/>
    <w:rsid w:val="00DF1294"/>
    <w:rsid w:val="00E01BD5"/>
    <w:rsid w:val="00E04601"/>
    <w:rsid w:val="00E10986"/>
    <w:rsid w:val="00E3606D"/>
    <w:rsid w:val="00E37441"/>
    <w:rsid w:val="00E82180"/>
    <w:rsid w:val="00E838A2"/>
    <w:rsid w:val="00E97C46"/>
    <w:rsid w:val="00EA0B5A"/>
    <w:rsid w:val="00EB4489"/>
    <w:rsid w:val="00EC3487"/>
    <w:rsid w:val="00ED1A40"/>
    <w:rsid w:val="00ED2682"/>
    <w:rsid w:val="00ED38F2"/>
    <w:rsid w:val="00F27889"/>
    <w:rsid w:val="00F31FEC"/>
    <w:rsid w:val="00F37EBC"/>
    <w:rsid w:val="00F51740"/>
    <w:rsid w:val="00F62342"/>
    <w:rsid w:val="00F63C7B"/>
    <w:rsid w:val="00F87312"/>
    <w:rsid w:val="00F91E9C"/>
    <w:rsid w:val="00F97BB3"/>
    <w:rsid w:val="00FB07E1"/>
    <w:rsid w:val="00FC363E"/>
    <w:rsid w:val="00FC563B"/>
    <w:rsid w:val="00FE34CD"/>
    <w:rsid w:val="00FF16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7C6C2D2-AF7E-45A7-ACD5-6214D319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9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94"/>
    <w:rPr>
      <w:rFonts w:ascii="Segoe UI" w:eastAsia="Times New Roman" w:hAnsi="Segoe UI" w:cs="Segoe UI"/>
      <w:sz w:val="18"/>
      <w:szCs w:val="18"/>
    </w:rPr>
  </w:style>
  <w:style w:type="paragraph" w:styleId="Header">
    <w:name w:val="header"/>
    <w:basedOn w:val="Normal"/>
    <w:link w:val="HeaderChar"/>
    <w:uiPriority w:val="99"/>
    <w:unhideWhenUsed/>
    <w:rsid w:val="005409BA"/>
    <w:pPr>
      <w:tabs>
        <w:tab w:val="center" w:pos="4680"/>
        <w:tab w:val="right" w:pos="9360"/>
      </w:tabs>
    </w:pPr>
  </w:style>
  <w:style w:type="character" w:customStyle="1" w:styleId="HeaderChar">
    <w:name w:val="Header Char"/>
    <w:basedOn w:val="DefaultParagraphFont"/>
    <w:link w:val="Header"/>
    <w:uiPriority w:val="99"/>
    <w:rsid w:val="005409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9BA"/>
    <w:pPr>
      <w:tabs>
        <w:tab w:val="center" w:pos="4680"/>
        <w:tab w:val="right" w:pos="9360"/>
      </w:tabs>
    </w:pPr>
  </w:style>
  <w:style w:type="character" w:customStyle="1" w:styleId="FooterChar">
    <w:name w:val="Footer Char"/>
    <w:basedOn w:val="DefaultParagraphFont"/>
    <w:link w:val="Footer"/>
    <w:uiPriority w:val="99"/>
    <w:rsid w:val="005409BA"/>
    <w:rPr>
      <w:rFonts w:ascii="Times New Roman" w:eastAsia="Times New Roman" w:hAnsi="Times New Roman" w:cs="Times New Roman"/>
      <w:sz w:val="24"/>
      <w:szCs w:val="20"/>
    </w:rPr>
  </w:style>
  <w:style w:type="character" w:styleId="Emphasis">
    <w:name w:val="Emphasis"/>
    <w:basedOn w:val="DefaultParagraphFont"/>
    <w:uiPriority w:val="20"/>
    <w:qFormat/>
    <w:rsid w:val="0080630E"/>
    <w:rPr>
      <w:i/>
      <w:iCs/>
    </w:rPr>
  </w:style>
  <w:style w:type="paragraph" w:styleId="NormalWeb">
    <w:name w:val="Normal (Web)"/>
    <w:basedOn w:val="Normal"/>
    <w:uiPriority w:val="99"/>
    <w:semiHidden/>
    <w:unhideWhenUsed/>
    <w:rsid w:val="00770A22"/>
    <w:pPr>
      <w:spacing w:before="100" w:beforeAutospacing="1" w:after="100" w:afterAutospacing="1"/>
    </w:pPr>
    <w:rPr>
      <w:szCs w:val="24"/>
    </w:rPr>
  </w:style>
  <w:style w:type="paragraph" w:styleId="ListParagraph">
    <w:name w:val="List Paragraph"/>
    <w:basedOn w:val="Normal"/>
    <w:uiPriority w:val="34"/>
    <w:qFormat/>
    <w:rsid w:val="0064716B"/>
    <w:pPr>
      <w:suppressAutoHyphens/>
      <w:ind w:left="720"/>
    </w:pPr>
    <w:rPr>
      <w:szCs w:val="24"/>
      <w:lang w:eastAsia="ar-SA"/>
    </w:rPr>
  </w:style>
  <w:style w:type="character" w:styleId="CommentReference">
    <w:name w:val="annotation reference"/>
    <w:basedOn w:val="DefaultParagraphFont"/>
    <w:uiPriority w:val="99"/>
    <w:semiHidden/>
    <w:unhideWhenUsed/>
    <w:rsid w:val="003736F1"/>
    <w:rPr>
      <w:sz w:val="16"/>
      <w:szCs w:val="16"/>
    </w:rPr>
  </w:style>
  <w:style w:type="paragraph" w:styleId="CommentText">
    <w:name w:val="annotation text"/>
    <w:basedOn w:val="Normal"/>
    <w:link w:val="CommentTextChar"/>
    <w:uiPriority w:val="99"/>
    <w:semiHidden/>
    <w:unhideWhenUsed/>
    <w:rsid w:val="003736F1"/>
    <w:rPr>
      <w:sz w:val="20"/>
    </w:rPr>
  </w:style>
  <w:style w:type="character" w:customStyle="1" w:styleId="CommentTextChar">
    <w:name w:val="Comment Text Char"/>
    <w:basedOn w:val="DefaultParagraphFont"/>
    <w:link w:val="CommentText"/>
    <w:uiPriority w:val="99"/>
    <w:semiHidden/>
    <w:rsid w:val="003736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36F1"/>
    <w:rPr>
      <w:b/>
      <w:bCs/>
    </w:rPr>
  </w:style>
  <w:style w:type="character" w:customStyle="1" w:styleId="CommentSubjectChar">
    <w:name w:val="Comment Subject Char"/>
    <w:basedOn w:val="CommentTextChar"/>
    <w:link w:val="CommentSubject"/>
    <w:uiPriority w:val="99"/>
    <w:semiHidden/>
    <w:rsid w:val="003736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