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A19C0" w:rsidP="00BA19C0" w14:paraId="14DBC482" w14:textId="77777777">
      <w:pPr>
        <w:rPr>
          <w:b/>
          <w:bCs/>
          <w:sz w:val="22"/>
          <w:szCs w:val="22"/>
          <w:u w:val="single"/>
        </w:rPr>
      </w:pPr>
      <w:bookmarkStart w:id="0" w:name="_GoBack"/>
      <w:bookmarkEnd w:id="0"/>
    </w:p>
    <w:p w:rsidR="00BA19C0" w:rsidRPr="00BA19C0" w:rsidP="00BA19C0" w14:paraId="4E0E7EBA" w14:textId="3B45A8DB">
      <w:pPr>
        <w:rPr>
          <w:b/>
          <w:bCs/>
          <w:sz w:val="22"/>
          <w:szCs w:val="22"/>
          <w:u w:val="single"/>
        </w:rPr>
      </w:pPr>
      <w:r w:rsidRPr="00BA19C0">
        <w:rPr>
          <w:b/>
          <w:bCs/>
          <w:sz w:val="22"/>
          <w:szCs w:val="22"/>
          <w:u w:val="single"/>
        </w:rPr>
        <w:t xml:space="preserve">Via Email:  </w:t>
      </w:r>
      <w:hyperlink r:id="rId5" w:history="1">
        <w:r w:rsidRPr="00BA19C0">
          <w:rPr>
            <w:rStyle w:val="Hyperlink"/>
            <w:b/>
            <w:bCs/>
            <w:sz w:val="23"/>
            <w:szCs w:val="23"/>
          </w:rPr>
          <w:t>bkoppel@fcclaw.com</w:t>
        </w:r>
      </w:hyperlink>
      <w:r w:rsidRPr="00BA19C0">
        <w:rPr>
          <w:b/>
          <w:bCs/>
          <w:sz w:val="23"/>
          <w:szCs w:val="23"/>
        </w:rPr>
        <w:t xml:space="preserve"> </w:t>
      </w:r>
    </w:p>
    <w:p w:rsidR="00BA19C0" w:rsidP="00BA19C0" w14:paraId="1D2074B2" w14:textId="77777777">
      <w:pPr>
        <w:rPr>
          <w:sz w:val="22"/>
          <w:szCs w:val="22"/>
        </w:rPr>
      </w:pPr>
    </w:p>
    <w:p w:rsidR="00BA19C0" w:rsidP="00BA19C0" w14:paraId="0129A350" w14:textId="2D416DF0">
      <w:pPr>
        <w:rPr>
          <w:sz w:val="22"/>
          <w:szCs w:val="22"/>
        </w:rPr>
      </w:pPr>
      <w:r>
        <w:rPr>
          <w:sz w:val="22"/>
          <w:szCs w:val="22"/>
        </w:rPr>
        <w:t>Mr. Robert S. Koppel</w:t>
      </w:r>
    </w:p>
    <w:p w:rsidR="00BA19C0" w:rsidP="00BA19C0" w14:paraId="356AF4F4" w14:textId="0435C94E">
      <w:pPr>
        <w:rPr>
          <w:sz w:val="22"/>
          <w:szCs w:val="22"/>
        </w:rPr>
      </w:pPr>
      <w:r>
        <w:rPr>
          <w:sz w:val="22"/>
          <w:szCs w:val="22"/>
        </w:rPr>
        <w:t xml:space="preserve">Lukas, </w:t>
      </w:r>
      <w:r>
        <w:rPr>
          <w:sz w:val="22"/>
          <w:szCs w:val="22"/>
        </w:rPr>
        <w:t>LaFuria</w:t>
      </w:r>
      <w:r>
        <w:rPr>
          <w:sz w:val="22"/>
          <w:szCs w:val="22"/>
        </w:rPr>
        <w:t>, Gutierrez &amp; Sachs, LLP</w:t>
      </w:r>
    </w:p>
    <w:p w:rsidR="00BA19C0" w:rsidP="00BA19C0" w14:paraId="6343F3A8" w14:textId="51AC1811">
      <w:pPr>
        <w:rPr>
          <w:sz w:val="22"/>
          <w:szCs w:val="22"/>
        </w:rPr>
      </w:pPr>
      <w:r>
        <w:rPr>
          <w:sz w:val="22"/>
          <w:szCs w:val="22"/>
        </w:rPr>
        <w:t>8300 Greensboro Dr., Ste. 1200</w:t>
      </w:r>
    </w:p>
    <w:p w:rsidR="00BA19C0" w:rsidP="00BA19C0" w14:paraId="40E7501E" w14:textId="5D5D8D80">
      <w:pPr>
        <w:rPr>
          <w:sz w:val="22"/>
          <w:szCs w:val="22"/>
        </w:rPr>
      </w:pPr>
      <w:r>
        <w:rPr>
          <w:sz w:val="22"/>
          <w:szCs w:val="22"/>
        </w:rPr>
        <w:t>Tysons, VA  22102</w:t>
      </w:r>
    </w:p>
    <w:p w:rsidR="00BA19C0" w:rsidP="00BA19C0" w14:paraId="04F971CF" w14:textId="77777777">
      <w:pPr>
        <w:rPr>
          <w:sz w:val="22"/>
          <w:szCs w:val="22"/>
        </w:rPr>
      </w:pPr>
    </w:p>
    <w:p w:rsidR="00BA19C0" w:rsidRPr="00DF3E5C" w:rsidP="00BA19C0" w14:paraId="708FBCAE" w14:textId="653B635A">
      <w:pPr>
        <w:ind w:left="1440" w:hanging="720"/>
        <w:rPr>
          <w:b/>
          <w:bCs/>
          <w:sz w:val="22"/>
          <w:szCs w:val="22"/>
        </w:rPr>
      </w:pPr>
      <w:r w:rsidRPr="00DF3E5C">
        <w:rPr>
          <w:b/>
          <w:bCs/>
          <w:sz w:val="22"/>
          <w:szCs w:val="22"/>
        </w:rPr>
        <w:t>Re:</w:t>
      </w:r>
      <w:r w:rsidRPr="00DF3E5C">
        <w:rPr>
          <w:b/>
          <w:bCs/>
          <w:sz w:val="22"/>
          <w:szCs w:val="22"/>
        </w:rPr>
        <w:tab/>
      </w:r>
      <w:r w:rsidR="00036A54">
        <w:rPr>
          <w:b/>
          <w:bCs/>
          <w:sz w:val="22"/>
          <w:szCs w:val="22"/>
        </w:rPr>
        <w:t>East Kentucky Network d/b/a Appalachian Wireless</w:t>
      </w:r>
      <w:r w:rsidRPr="00DF3E5C">
        <w:rPr>
          <w:b/>
          <w:bCs/>
          <w:sz w:val="22"/>
          <w:szCs w:val="22"/>
        </w:rPr>
        <w:t xml:space="preserve"> Motion for Extension of Time, CG Docket No. 16-145 and GN Docket No. 15-178</w:t>
      </w:r>
    </w:p>
    <w:p w:rsidR="00BA19C0" w:rsidP="00BA19C0" w14:paraId="55465F0A" w14:textId="77777777">
      <w:pPr>
        <w:ind w:left="720" w:hanging="720"/>
        <w:rPr>
          <w:sz w:val="22"/>
          <w:szCs w:val="22"/>
        </w:rPr>
      </w:pPr>
    </w:p>
    <w:p w:rsidR="00BA19C0" w:rsidP="00BA19C0" w14:paraId="07B8D7FB" w14:textId="04C9826A">
      <w:pPr>
        <w:ind w:left="720" w:hanging="720"/>
        <w:rPr>
          <w:sz w:val="22"/>
          <w:szCs w:val="22"/>
        </w:rPr>
      </w:pPr>
      <w:r>
        <w:rPr>
          <w:sz w:val="22"/>
          <w:szCs w:val="22"/>
        </w:rPr>
        <w:t xml:space="preserve">Dear Mr. </w:t>
      </w:r>
      <w:r w:rsidR="00036A54">
        <w:rPr>
          <w:sz w:val="22"/>
          <w:szCs w:val="22"/>
        </w:rPr>
        <w:t>Koppel</w:t>
      </w:r>
      <w:r>
        <w:rPr>
          <w:sz w:val="22"/>
          <w:szCs w:val="22"/>
        </w:rPr>
        <w:t xml:space="preserve">: </w:t>
      </w:r>
    </w:p>
    <w:p w:rsidR="00BA19C0" w:rsidP="00BA19C0" w14:paraId="59426763" w14:textId="77777777">
      <w:pPr>
        <w:ind w:left="720" w:hanging="720"/>
        <w:rPr>
          <w:sz w:val="22"/>
          <w:szCs w:val="22"/>
        </w:rPr>
      </w:pPr>
    </w:p>
    <w:p w:rsidR="00BA19C0" w:rsidP="00BA19C0" w14:paraId="63852B70" w14:textId="02125D9E">
      <w:pPr>
        <w:spacing w:after="120"/>
        <w:ind w:firstLine="720"/>
        <w:rPr>
          <w:sz w:val="22"/>
          <w:szCs w:val="22"/>
        </w:rPr>
      </w:pPr>
      <w:bookmarkStart w:id="1" w:name="_Hlk61616054"/>
      <w:r>
        <w:rPr>
          <w:sz w:val="22"/>
          <w:szCs w:val="22"/>
        </w:rPr>
        <w:t xml:space="preserve">In response to a motion by </w:t>
      </w:r>
      <w:r w:rsidR="00036A54">
        <w:rPr>
          <w:sz w:val="22"/>
          <w:szCs w:val="22"/>
        </w:rPr>
        <w:t>East Kentucky Network d/b/a Appalachian Wireless (Appalachian Wireless)</w:t>
      </w:r>
      <w:r>
        <w:rPr>
          <w:sz w:val="22"/>
          <w:szCs w:val="22"/>
        </w:rPr>
        <w:t>,</w:t>
      </w:r>
      <w:r>
        <w:rPr>
          <w:rStyle w:val="FootnoteReference"/>
          <w:sz w:val="22"/>
          <w:szCs w:val="22"/>
        </w:rPr>
        <w:footnoteReference w:id="2"/>
      </w:r>
      <w:r w:rsidRPr="00A22C0A">
        <w:rPr>
          <w:sz w:val="22"/>
          <w:szCs w:val="22"/>
        </w:rPr>
        <w:t xml:space="preserve"> </w:t>
      </w:r>
      <w:r>
        <w:rPr>
          <w:sz w:val="22"/>
          <w:szCs w:val="22"/>
        </w:rPr>
        <w:t xml:space="preserve">the Consumer and Governmental Affairs Bureau (Bureau) of the Federal Communications Commission (FCC or Commission) grants </w:t>
      </w:r>
      <w:bookmarkEnd w:id="1"/>
      <w:r w:rsidR="00036A54">
        <w:rPr>
          <w:sz w:val="22"/>
          <w:szCs w:val="22"/>
        </w:rPr>
        <w:t>Appalachian</w:t>
      </w:r>
      <w:r>
        <w:rPr>
          <w:sz w:val="22"/>
          <w:szCs w:val="22"/>
        </w:rPr>
        <w:t xml:space="preserve"> </w:t>
      </w:r>
      <w:r w:rsidRPr="00B81342" w:rsidR="00036A54">
        <w:rPr>
          <w:sz w:val="22"/>
          <w:szCs w:val="22"/>
        </w:rPr>
        <w:t xml:space="preserve">Wireless </w:t>
      </w:r>
      <w:r w:rsidRPr="00B81342">
        <w:rPr>
          <w:sz w:val="22"/>
          <w:szCs w:val="22"/>
        </w:rPr>
        <w:t xml:space="preserve">a 14-day extension of time to respond to the questions posed in the Bureau’s </w:t>
      </w:r>
      <w:r w:rsidR="00F66195">
        <w:rPr>
          <w:sz w:val="22"/>
          <w:szCs w:val="22"/>
        </w:rPr>
        <w:t>l</w:t>
      </w:r>
      <w:r w:rsidRPr="00B81342">
        <w:rPr>
          <w:sz w:val="22"/>
          <w:szCs w:val="22"/>
        </w:rPr>
        <w:t>etter of December 21, 2020.</w:t>
      </w:r>
      <w:r>
        <w:rPr>
          <w:rStyle w:val="FootnoteReference"/>
          <w:sz w:val="22"/>
          <w:szCs w:val="22"/>
        </w:rPr>
        <w:footnoteReference w:id="3"/>
      </w:r>
      <w:r w:rsidRPr="00B81342">
        <w:rPr>
          <w:sz w:val="22"/>
          <w:szCs w:val="22"/>
        </w:rPr>
        <w:t xml:space="preserve">  The Bureau’s questions relate to </w:t>
      </w:r>
      <w:r w:rsidRPr="00B81342" w:rsidR="00036A54">
        <w:rPr>
          <w:sz w:val="22"/>
          <w:szCs w:val="22"/>
        </w:rPr>
        <w:t>Appalachian</w:t>
      </w:r>
      <w:r w:rsidRPr="00B81342" w:rsidR="009140E8">
        <w:rPr>
          <w:sz w:val="22"/>
          <w:szCs w:val="22"/>
        </w:rPr>
        <w:t xml:space="preserve"> Wireless</w:t>
      </w:r>
      <w:r w:rsidRPr="00B81342" w:rsidR="00036A54">
        <w:rPr>
          <w:sz w:val="22"/>
          <w:szCs w:val="22"/>
        </w:rPr>
        <w:t>’ request</w:t>
      </w:r>
      <w:r w:rsidRPr="00B81342">
        <w:rPr>
          <w:sz w:val="22"/>
          <w:szCs w:val="22"/>
        </w:rPr>
        <w:t xml:space="preserve"> for an extension of previously granted waivers of certain Commission accessibility rules, pending the provider</w:t>
      </w:r>
      <w:r w:rsidRPr="00B81342" w:rsidR="009140E8">
        <w:rPr>
          <w:sz w:val="22"/>
          <w:szCs w:val="22"/>
        </w:rPr>
        <w:t>’</w:t>
      </w:r>
      <w:r w:rsidRPr="00B81342">
        <w:rPr>
          <w:sz w:val="22"/>
          <w:szCs w:val="22"/>
        </w:rPr>
        <w:t>s implementation of real-time text technology.</w:t>
      </w:r>
      <w:r>
        <w:rPr>
          <w:rStyle w:val="FootnoteReference"/>
          <w:sz w:val="22"/>
          <w:szCs w:val="22"/>
        </w:rPr>
        <w:footnoteReference w:id="4"/>
      </w:r>
      <w:r w:rsidRPr="00B81342">
        <w:rPr>
          <w:sz w:val="22"/>
          <w:szCs w:val="22"/>
        </w:rPr>
        <w:t xml:space="preserve">  The due date for the provider</w:t>
      </w:r>
      <w:r w:rsidRPr="00B81342" w:rsidR="009140E8">
        <w:rPr>
          <w:sz w:val="22"/>
          <w:szCs w:val="22"/>
        </w:rPr>
        <w:t>’</w:t>
      </w:r>
      <w:r w:rsidRPr="00B81342">
        <w:rPr>
          <w:sz w:val="22"/>
          <w:szCs w:val="22"/>
        </w:rPr>
        <w:t>s response is extended from January 20, 2021,</w:t>
      </w:r>
      <w:r>
        <w:rPr>
          <w:rStyle w:val="FootnoteReference"/>
          <w:sz w:val="22"/>
          <w:szCs w:val="22"/>
        </w:rPr>
        <w:footnoteReference w:id="5"/>
      </w:r>
      <w:r w:rsidRPr="00B81342">
        <w:rPr>
          <w:sz w:val="22"/>
          <w:szCs w:val="22"/>
        </w:rPr>
        <w:t xml:space="preserve"> to February 3, 2021.</w:t>
      </w:r>
      <w:r>
        <w:rPr>
          <w:rStyle w:val="FootnoteReference"/>
          <w:sz w:val="22"/>
          <w:szCs w:val="22"/>
        </w:rPr>
        <w:footnoteReference w:id="6"/>
      </w:r>
    </w:p>
    <w:p w:rsidR="00BA19C0" w:rsidP="00BA19C0" w14:paraId="06E045CD" w14:textId="01AF3F1C">
      <w:pPr>
        <w:spacing w:after="120"/>
        <w:ind w:firstLine="720"/>
        <w:rPr>
          <w:sz w:val="22"/>
          <w:szCs w:val="22"/>
        </w:rPr>
      </w:pPr>
      <w:r>
        <w:rPr>
          <w:sz w:val="22"/>
          <w:szCs w:val="22"/>
        </w:rPr>
        <w:t>It is the policy of the Commission that extensions of time shall not be routinely granted.</w:t>
      </w:r>
      <w:r>
        <w:rPr>
          <w:rStyle w:val="FootnoteReference"/>
          <w:sz w:val="22"/>
          <w:szCs w:val="22"/>
        </w:rPr>
        <w:footnoteReference w:id="7"/>
      </w:r>
      <w:r>
        <w:rPr>
          <w:sz w:val="22"/>
          <w:szCs w:val="22"/>
        </w:rPr>
        <w:t xml:space="preserve">  We find, however, that </w:t>
      </w:r>
      <w:r w:rsidR="00036A54">
        <w:rPr>
          <w:sz w:val="22"/>
          <w:szCs w:val="22"/>
        </w:rPr>
        <w:t>Appalachian Wireless</w:t>
      </w:r>
      <w:r>
        <w:rPr>
          <w:sz w:val="22"/>
          <w:szCs w:val="22"/>
        </w:rPr>
        <w:t xml:space="preserve"> has shown good cause for the requested extension.  </w:t>
      </w:r>
      <w:r w:rsidR="009140E8">
        <w:rPr>
          <w:sz w:val="22"/>
          <w:szCs w:val="22"/>
        </w:rPr>
        <w:t>Appalachian Wireless</w:t>
      </w:r>
      <w:r>
        <w:rPr>
          <w:sz w:val="22"/>
          <w:szCs w:val="22"/>
        </w:rPr>
        <w:t xml:space="preserve"> points out that gathering information and compiling </w:t>
      </w:r>
      <w:r w:rsidR="00F66195">
        <w:rPr>
          <w:sz w:val="22"/>
          <w:szCs w:val="22"/>
        </w:rPr>
        <w:t>responses</w:t>
      </w:r>
      <w:r>
        <w:rPr>
          <w:sz w:val="22"/>
          <w:szCs w:val="22"/>
        </w:rPr>
        <w:t xml:space="preserve"> to the Letter has proven difficult due to many </w:t>
      </w:r>
      <w:r w:rsidR="009140E8">
        <w:rPr>
          <w:sz w:val="22"/>
          <w:szCs w:val="22"/>
        </w:rPr>
        <w:t>of Appalachian Wireless’</w:t>
      </w:r>
      <w:r>
        <w:rPr>
          <w:sz w:val="22"/>
          <w:szCs w:val="22"/>
        </w:rPr>
        <w:t xml:space="preserve"> employees and vendors having been unavailable during the December holidays.</w:t>
      </w:r>
      <w:r>
        <w:rPr>
          <w:rStyle w:val="FootnoteReference"/>
          <w:sz w:val="22"/>
          <w:szCs w:val="22"/>
        </w:rPr>
        <w:footnoteReference w:id="8"/>
      </w:r>
      <w:r>
        <w:rPr>
          <w:sz w:val="22"/>
          <w:szCs w:val="22"/>
        </w:rPr>
        <w:t xml:space="preserve">  </w:t>
      </w:r>
      <w:r w:rsidR="009140E8">
        <w:rPr>
          <w:sz w:val="22"/>
          <w:szCs w:val="22"/>
        </w:rPr>
        <w:t>Appalachian Wireless</w:t>
      </w:r>
      <w:r>
        <w:rPr>
          <w:sz w:val="22"/>
          <w:szCs w:val="22"/>
        </w:rPr>
        <w:t xml:space="preserve"> adds that the upcoming federal holidays further </w:t>
      </w:r>
      <w:r>
        <w:rPr>
          <w:sz w:val="22"/>
          <w:szCs w:val="22"/>
        </w:rPr>
        <w:t xml:space="preserve">challenge </w:t>
      </w:r>
      <w:r w:rsidR="009140E8">
        <w:rPr>
          <w:sz w:val="22"/>
          <w:szCs w:val="22"/>
        </w:rPr>
        <w:t>Appalachian Wireless’</w:t>
      </w:r>
      <w:r>
        <w:rPr>
          <w:sz w:val="22"/>
          <w:szCs w:val="22"/>
        </w:rPr>
        <w:t xml:space="preserve"> efforts to compile the necessary information before the deadline.</w:t>
      </w:r>
      <w:r>
        <w:rPr>
          <w:rStyle w:val="FootnoteReference"/>
          <w:sz w:val="22"/>
          <w:szCs w:val="22"/>
        </w:rPr>
        <w:footnoteReference w:id="9"/>
      </w:r>
      <w:r>
        <w:rPr>
          <w:sz w:val="22"/>
          <w:szCs w:val="22"/>
        </w:rPr>
        <w:t xml:space="preserve">  We therefore grant an extension of time through February 3, 2021, for </w:t>
      </w:r>
      <w:r w:rsidR="00C87E72">
        <w:rPr>
          <w:sz w:val="22"/>
          <w:szCs w:val="22"/>
        </w:rPr>
        <w:t xml:space="preserve">Appalachian Wireless </w:t>
      </w:r>
      <w:r>
        <w:rPr>
          <w:sz w:val="22"/>
          <w:szCs w:val="22"/>
        </w:rPr>
        <w:t xml:space="preserve">to file </w:t>
      </w:r>
      <w:r w:rsidR="00C87E72">
        <w:rPr>
          <w:sz w:val="22"/>
          <w:szCs w:val="22"/>
        </w:rPr>
        <w:t>its</w:t>
      </w:r>
      <w:r>
        <w:rPr>
          <w:sz w:val="22"/>
          <w:szCs w:val="22"/>
        </w:rPr>
        <w:t xml:space="preserve"> response. </w:t>
      </w:r>
    </w:p>
    <w:p w:rsidR="00BA19C0" w:rsidP="00BA19C0" w14:paraId="64E28257" w14:textId="318EC238">
      <w:pPr>
        <w:spacing w:after="120"/>
        <w:ind w:firstLine="720"/>
        <w:rPr>
          <w:sz w:val="22"/>
          <w:szCs w:val="22"/>
        </w:rPr>
      </w:pPr>
      <w:r w:rsidRPr="00D07059">
        <w:rPr>
          <w:sz w:val="22"/>
          <w:szCs w:val="22"/>
        </w:rPr>
        <w:t>Accordingly, pursuant to the authority contained in sections 4(i), 4(j), 225, 255, and 617 of the Communications Act of 1934, as amended, 47 U.S.C. §§ 154(i), 154(j), 225, 255, 716, and sections 0.141, 0.361</w:t>
      </w:r>
      <w:r>
        <w:rPr>
          <w:sz w:val="22"/>
          <w:szCs w:val="22"/>
        </w:rPr>
        <w:t>, and 1.3</w:t>
      </w:r>
      <w:r w:rsidRPr="00D07059">
        <w:rPr>
          <w:sz w:val="22"/>
          <w:szCs w:val="22"/>
        </w:rPr>
        <w:t xml:space="preserve"> of the Commission’s rules, 47 CFR §§ 0.141, 0.361,</w:t>
      </w:r>
      <w:r>
        <w:rPr>
          <w:sz w:val="22"/>
          <w:szCs w:val="22"/>
        </w:rPr>
        <w:t xml:space="preserve"> 1.3, the motion for extension of time filed by </w:t>
      </w:r>
      <w:r w:rsidR="00F66195">
        <w:rPr>
          <w:sz w:val="22"/>
          <w:szCs w:val="22"/>
        </w:rPr>
        <w:t>Appalachian Wireless</w:t>
      </w:r>
      <w:r>
        <w:rPr>
          <w:sz w:val="22"/>
          <w:szCs w:val="22"/>
        </w:rPr>
        <w:t xml:space="preserve"> on January 1</w:t>
      </w:r>
      <w:r w:rsidR="00F66195">
        <w:rPr>
          <w:sz w:val="22"/>
          <w:szCs w:val="22"/>
        </w:rPr>
        <w:t>5</w:t>
      </w:r>
      <w:r>
        <w:rPr>
          <w:sz w:val="22"/>
          <w:szCs w:val="22"/>
        </w:rPr>
        <w:t xml:space="preserve">, 2021, IS GRANTED. </w:t>
      </w:r>
    </w:p>
    <w:p w:rsidR="00BA19C0" w:rsidRPr="00076A8F" w:rsidP="00BA19C0" w14:paraId="60AF3EA3" w14:textId="77777777">
      <w:pPr>
        <w:tabs>
          <w:tab w:val="left" w:pos="720"/>
        </w:tabs>
        <w:spacing w:after="120"/>
        <w:ind w:firstLine="720"/>
        <w:rPr>
          <w:sz w:val="22"/>
          <w:szCs w:val="22"/>
        </w:rPr>
      </w:pPr>
      <w:r w:rsidRPr="007E6A51">
        <w:rPr>
          <w:sz w:val="22"/>
          <w:szCs w:val="22"/>
        </w:rPr>
        <w:t>To request materials in accessible formats for people with disabilities (Braille, large print, electronic files, audio format), send an e-mail to fcc504@fcc.gov or call the Consumer and Governmental Affairs Bureau at (202) 418-0530 (voice).</w:t>
      </w:r>
    </w:p>
    <w:p w:rsidR="00BA19C0" w:rsidP="00BA19C0" w14:paraId="3E02D6CC" w14:textId="77777777">
      <w:pPr>
        <w:rPr>
          <w:sz w:val="22"/>
          <w:szCs w:val="22"/>
        </w:rPr>
      </w:pPr>
    </w:p>
    <w:p w:rsidR="00BA19C0" w:rsidP="00BA19C0" w14:paraId="0DF712F3" w14:textId="77777777">
      <w:pPr>
        <w:rPr>
          <w:sz w:val="22"/>
          <w:szCs w:val="22"/>
        </w:rPr>
      </w:pPr>
    </w:p>
    <w:p w:rsidR="00BA19C0" w:rsidP="00BA19C0" w14:paraId="5A9EA8A7" w14:textId="77777777">
      <w:pPr>
        <w:ind w:left="720"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Sincerely, </w:t>
      </w:r>
    </w:p>
    <w:p w:rsidR="00BA19C0" w:rsidP="00BA19C0" w14:paraId="13B8E73C" w14:textId="77777777">
      <w:pPr>
        <w:ind w:left="720" w:hanging="720"/>
        <w:rPr>
          <w:sz w:val="22"/>
          <w:szCs w:val="22"/>
        </w:rPr>
      </w:pPr>
    </w:p>
    <w:p w:rsidR="00BA19C0" w:rsidP="00BA19C0" w14:paraId="378BB719" w14:textId="77777777">
      <w:pPr>
        <w:ind w:left="720" w:hanging="720"/>
        <w:rPr>
          <w:sz w:val="22"/>
          <w:szCs w:val="22"/>
        </w:rPr>
      </w:pPr>
    </w:p>
    <w:p w:rsidR="00BA19C0" w:rsidP="00BA19C0" w14:paraId="05FC0CCF" w14:textId="77777777">
      <w:pPr>
        <w:ind w:left="720" w:hanging="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Suzy Rosen Singleton</w:t>
      </w:r>
    </w:p>
    <w:p w:rsidR="00BA19C0" w:rsidP="00BA19C0" w14:paraId="318402B2" w14:textId="77777777">
      <w:pPr>
        <w:ind w:left="3600" w:firstLine="720"/>
        <w:rPr>
          <w:sz w:val="22"/>
          <w:szCs w:val="22"/>
        </w:rPr>
      </w:pPr>
      <w:r>
        <w:rPr>
          <w:sz w:val="22"/>
          <w:szCs w:val="22"/>
        </w:rPr>
        <w:t>Chief, Disability Rights Office</w:t>
      </w:r>
    </w:p>
    <w:p w:rsidR="00BA19C0" w:rsidRPr="005E3BD8" w:rsidP="00BA19C0" w14:paraId="3068218F" w14:textId="77777777">
      <w:pPr>
        <w:ind w:left="3600" w:firstLine="720"/>
        <w:rPr>
          <w:sz w:val="22"/>
          <w:szCs w:val="22"/>
        </w:rPr>
      </w:pPr>
      <w:r>
        <w:rPr>
          <w:sz w:val="22"/>
          <w:szCs w:val="22"/>
        </w:rPr>
        <w:t>Consumer and Governmental Affairs Bureau</w:t>
      </w:r>
    </w:p>
    <w:p w:rsidR="00204CE3" w:rsidRPr="00204CE3" w14:paraId="25DC3BF3" w14:textId="77777777">
      <w:pPr>
        <w:rPr>
          <w:sz w:val="22"/>
          <w:szCs w:val="22"/>
        </w:rPr>
      </w:pPr>
    </w:p>
    <w:sectPr>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22BFDE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3B7BE9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5DAE3B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2E5" w14:paraId="2CA3E4E7" w14:textId="77777777">
      <w:r>
        <w:separator/>
      </w:r>
    </w:p>
  </w:footnote>
  <w:footnote w:type="continuationSeparator" w:id="1">
    <w:p w:rsidR="004002E5" w14:paraId="2CF212BA" w14:textId="77777777">
      <w:r>
        <w:continuationSeparator/>
      </w:r>
    </w:p>
  </w:footnote>
  <w:footnote w:id="2">
    <w:p w:rsidR="00BA19C0" w:rsidP="00BA19C0" w14:paraId="080767D0" w14:textId="39D5D543">
      <w:pPr>
        <w:pStyle w:val="FootnoteText"/>
      </w:pPr>
      <w:r w:rsidRPr="00790F45">
        <w:rPr>
          <w:rStyle w:val="FootnoteReference"/>
        </w:rPr>
        <w:footnoteRef/>
      </w:r>
      <w:r w:rsidRPr="00790F45">
        <w:t xml:space="preserve"> Motion for Extension of Time, CG Docket No. 16-145 and GN Docket No. 15-178, (filed Jan. 1</w:t>
      </w:r>
      <w:r w:rsidRPr="00790F45" w:rsidR="00790F45">
        <w:t>5</w:t>
      </w:r>
      <w:r w:rsidRPr="00790F45">
        <w:t xml:space="preserve">, 2021), </w:t>
      </w:r>
      <w:hyperlink r:id="rId1" w:history="1">
        <w:r w:rsidRPr="00790F45" w:rsidR="00790F45">
          <w:rPr>
            <w:rStyle w:val="Hyperlink"/>
          </w:rPr>
          <w:t>https://ecfsapi.fcc.gov/file/101152740602607/Appalachian%20Wireless%20--%20RTT%20Response%20-%20Request%20for%20Extension%20of%20Time%20--%2001.15.21.pdf</w:t>
        </w:r>
      </w:hyperlink>
      <w:r w:rsidRPr="00790F45" w:rsidR="00790F45">
        <w:t xml:space="preserve"> </w:t>
      </w:r>
      <w:r w:rsidRPr="00790F45">
        <w:t>(Motion).</w:t>
      </w:r>
      <w:r>
        <w:t xml:space="preserve">  </w:t>
      </w:r>
    </w:p>
    <w:p w:rsidR="00BA19C0" w:rsidP="00BA19C0" w14:paraId="1F2644A5" w14:textId="77777777">
      <w:pPr>
        <w:pStyle w:val="FootnoteText"/>
      </w:pPr>
    </w:p>
  </w:footnote>
  <w:footnote w:id="3">
    <w:p w:rsidR="00BA19C0" w:rsidP="00BA19C0" w14:paraId="1A243C9E" w14:textId="45B91296">
      <w:pPr>
        <w:pStyle w:val="FootnoteText"/>
        <w:spacing w:after="120"/>
      </w:pPr>
      <w:r w:rsidRPr="00B2644F">
        <w:rPr>
          <w:rStyle w:val="FootnoteReference"/>
        </w:rPr>
        <w:footnoteRef/>
      </w:r>
      <w:r w:rsidRPr="00B2644F">
        <w:t xml:space="preserve"> Letter from Suzy Rosen Singleton, Chief, Disability Rights Office, Consumer and Governmental Affairs Bureau, to </w:t>
      </w:r>
      <w:r w:rsidRPr="00B2644F" w:rsidR="00B2644F">
        <w:t>Cindy D. McCarty</w:t>
      </w:r>
      <w:r w:rsidRPr="00B2644F">
        <w:t xml:space="preserve">, </w:t>
      </w:r>
      <w:r w:rsidRPr="00B2644F" w:rsidR="00B2644F">
        <w:t>In-House Counsel</w:t>
      </w:r>
      <w:r w:rsidRPr="00B2644F">
        <w:t xml:space="preserve">, </w:t>
      </w:r>
      <w:r w:rsidRPr="00B2644F" w:rsidR="00B2644F">
        <w:t>East Kentucky Network d/b/a Appalachian Wireless</w:t>
      </w:r>
      <w:r w:rsidRPr="00B2644F">
        <w:t xml:space="preserve"> (Dec. 21, 2020) (Letter).</w:t>
      </w:r>
    </w:p>
  </w:footnote>
  <w:footnote w:id="4">
    <w:p w:rsidR="00BA19C0" w:rsidRPr="00EF35DF" w:rsidP="00BA19C0" w14:paraId="7B364898" w14:textId="560B725C">
      <w:pPr>
        <w:pStyle w:val="FootnoteText"/>
        <w:spacing w:after="120"/>
      </w:pPr>
      <w:r w:rsidRPr="00EF35DF">
        <w:rPr>
          <w:rStyle w:val="FootnoteReference"/>
        </w:rPr>
        <w:footnoteRef/>
      </w:r>
      <w:r w:rsidRPr="00EF35DF">
        <w:t xml:space="preserve"> </w:t>
      </w:r>
      <w:r>
        <w:rPr>
          <w:i/>
          <w:iCs/>
        </w:rPr>
        <w:t>See</w:t>
      </w:r>
      <w:r w:rsidRPr="00EF35DF">
        <w:t xml:space="preserve"> </w:t>
      </w:r>
      <w:r w:rsidRPr="00B81342">
        <w:t xml:space="preserve">Petition of </w:t>
      </w:r>
      <w:r w:rsidRPr="00B81342" w:rsidR="00B2644F">
        <w:t xml:space="preserve">Appalachian Wireless for Temporary Waiver of TTY/RTT Transition Rules and Comments </w:t>
      </w:r>
      <w:r w:rsidRPr="00B81342" w:rsidR="00B81342">
        <w:t>in Support of Competitive Carriers Association Request for Declaratory Ruling</w:t>
      </w:r>
      <w:r w:rsidRPr="00B81342">
        <w:t xml:space="preserve">, CG Docket No. 16-145 and GN Docket No. 15-178, at </w:t>
      </w:r>
      <w:r w:rsidRPr="00B81342" w:rsidR="00B81342">
        <w:t>2-4</w:t>
      </w:r>
      <w:r w:rsidRPr="00B81342">
        <w:t xml:space="preserve"> (filed June </w:t>
      </w:r>
      <w:r w:rsidRPr="00B81342" w:rsidR="00B81342">
        <w:t>29</w:t>
      </w:r>
      <w:r w:rsidRPr="00B81342">
        <w:t>, 2020) (Petition for Waiver);</w:t>
      </w:r>
      <w:r w:rsidRPr="00EF35DF">
        <w:t xml:space="preserve"> </w:t>
      </w:r>
      <w:r w:rsidRPr="00EF35DF">
        <w:rPr>
          <w:i/>
          <w:iCs/>
        </w:rPr>
        <w:t>see also Transition from TTY to Real-Time Text Technology; Petition for Rulemaking to Update the Commission’s Rules for Access to Support the Transition from TTY to Real-Time Text Technology, and Petition for Waiver of Rules Requiring Support of TTY Technology</w:t>
      </w:r>
      <w:r w:rsidRPr="00EF35DF">
        <w:t>,</w:t>
      </w:r>
      <w:r w:rsidRPr="00EF35DF">
        <w:rPr>
          <w:i/>
          <w:iCs/>
        </w:rPr>
        <w:t xml:space="preserve"> </w:t>
      </w:r>
      <w:r w:rsidRPr="00EF35DF">
        <w:rPr>
          <w:iCs/>
        </w:rPr>
        <w:t>CG Docket No. 16-145 and GN Docket No.15-178, Report and Order and Further Notice of Proposed Rulemaking, 31 FCC Rcd 13568, 13602-03, para</w:t>
      </w:r>
      <w:r>
        <w:rPr>
          <w:iCs/>
        </w:rPr>
        <w:t>s</w:t>
      </w:r>
      <w:r w:rsidRPr="00EF35DF">
        <w:rPr>
          <w:iCs/>
        </w:rPr>
        <w:t>. 65-68 (2016) (</w:t>
      </w:r>
      <w:r w:rsidRPr="00EF35DF">
        <w:rPr>
          <w:i/>
          <w:iCs/>
        </w:rPr>
        <w:t>TTY-RTT Transition Order</w:t>
      </w:r>
      <w:r w:rsidRPr="00EF35DF">
        <w:rPr>
          <w:iCs/>
        </w:rPr>
        <w:t>)</w:t>
      </w:r>
      <w:r>
        <w:rPr>
          <w:iCs/>
        </w:rPr>
        <w:t>.</w:t>
      </w:r>
    </w:p>
  </w:footnote>
  <w:footnote w:id="5">
    <w:p w:rsidR="00BA19C0" w:rsidRPr="00C0310F" w:rsidP="00BA19C0" w14:paraId="6C8BEF32" w14:textId="318AA9FD">
      <w:pPr>
        <w:pStyle w:val="FootnoteText"/>
        <w:spacing w:after="120"/>
      </w:pPr>
      <w:r>
        <w:rPr>
          <w:rStyle w:val="FootnoteReference"/>
        </w:rPr>
        <w:footnoteRef/>
      </w:r>
      <w:r>
        <w:t xml:space="preserve"> </w:t>
      </w:r>
      <w:r w:rsidR="00F66195">
        <w:t>A response was</w:t>
      </w:r>
      <w:r>
        <w:t xml:space="preserve"> requested within 30 days of the date of the</w:t>
      </w:r>
      <w:r w:rsidR="00F66195">
        <w:t xml:space="preserve"> l</w:t>
      </w:r>
      <w:r>
        <w:t xml:space="preserve">etter, which was December 21, 2020.  Because January 20, 2021 is a federal holiday, the response </w:t>
      </w:r>
      <w:r w:rsidR="00F66195">
        <w:t>was</w:t>
      </w:r>
      <w:r>
        <w:t xml:space="preserve"> due on the next business day, January 21, 2021.  </w:t>
      </w:r>
      <w:r>
        <w:rPr>
          <w:i/>
          <w:iCs/>
        </w:rPr>
        <w:t>See</w:t>
      </w:r>
      <w:r>
        <w:t xml:space="preserve"> 47 CFR § 1.4(j).</w:t>
      </w:r>
    </w:p>
  </w:footnote>
  <w:footnote w:id="6">
    <w:p w:rsidR="00BA19C0" w:rsidP="00BA19C0" w14:paraId="4F64344B" w14:textId="77777777">
      <w:pPr>
        <w:pStyle w:val="FootnoteText"/>
        <w:spacing w:after="120"/>
      </w:pPr>
      <w:r>
        <w:rPr>
          <w:rStyle w:val="FootnoteReference"/>
        </w:rPr>
        <w:footnoteRef/>
      </w:r>
      <w:r>
        <w:t xml:space="preserve"> Motion at 2.</w:t>
      </w:r>
    </w:p>
  </w:footnote>
  <w:footnote w:id="7">
    <w:p w:rsidR="00BA19C0" w:rsidP="00BA19C0" w14:paraId="52370713" w14:textId="77777777">
      <w:pPr>
        <w:pStyle w:val="FootnoteText"/>
        <w:spacing w:after="120"/>
      </w:pPr>
      <w:r>
        <w:rPr>
          <w:rStyle w:val="FootnoteReference"/>
        </w:rPr>
        <w:footnoteRef/>
      </w:r>
      <w:r>
        <w:t xml:space="preserve"> 47 CFR § 1.46.</w:t>
      </w:r>
    </w:p>
  </w:footnote>
  <w:footnote w:id="8">
    <w:p w:rsidR="00BA19C0" w:rsidP="00BA19C0" w14:paraId="241737F9" w14:textId="77777777">
      <w:pPr>
        <w:pStyle w:val="FootnoteText"/>
        <w:spacing w:after="120"/>
      </w:pPr>
      <w:r>
        <w:rPr>
          <w:rStyle w:val="FootnoteReference"/>
        </w:rPr>
        <w:footnoteRef/>
      </w:r>
      <w:r>
        <w:t xml:space="preserve"> Motion at 1-2.</w:t>
      </w:r>
    </w:p>
  </w:footnote>
  <w:footnote w:id="9">
    <w:p w:rsidR="00BA19C0" w:rsidP="00BA19C0" w14:paraId="29CB1DA8" w14:textId="76FBEF0F">
      <w:pPr>
        <w:pStyle w:val="FootnoteText"/>
        <w:spacing w:after="120"/>
      </w:pPr>
      <w:r>
        <w:rPr>
          <w:rStyle w:val="FootnoteReference"/>
        </w:rPr>
        <w:footnoteRef/>
      </w:r>
      <w:r>
        <w:t xml:space="preserve"> </w:t>
      </w:r>
      <w:r w:rsidRPr="00FE7F58">
        <w:rPr>
          <w:i/>
          <w:iCs/>
        </w:rPr>
        <w:t>Id.</w:t>
      </w:r>
      <w:r>
        <w:t xml:space="preserve"> at 1-2.  Martin Luther King, Jr. Day </w:t>
      </w:r>
      <w:r w:rsidR="00F66195">
        <w:t>fell</w:t>
      </w:r>
      <w:r>
        <w:t xml:space="preserve"> on Monday, January 18, 2021, and Inauguration Day, which is a holiday within the Washington, DC metropolitan area, falls on Wednesday, January 20,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9033B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6DDDEA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60EE95D"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651B779D"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9C8B247" w14:textId="77777777">
    <w:pPr>
      <w:pStyle w:val="Header"/>
      <w:tabs>
        <w:tab w:val="clear" w:pos="4320"/>
      </w:tabs>
      <w:jc w:val="center"/>
      <w:rPr>
        <w:sz w:val="22"/>
      </w:rPr>
    </w:pPr>
  </w:p>
  <w:p w:rsidR="002B54DB" w14:paraId="536C2B61" w14:textId="77777777">
    <w:pPr>
      <w:pStyle w:val="Header"/>
      <w:tabs>
        <w:tab w:val="clear" w:pos="4320"/>
      </w:tabs>
      <w:jc w:val="center"/>
      <w:rPr>
        <w:sz w:val="22"/>
      </w:rPr>
    </w:pPr>
  </w:p>
  <w:p w:rsidR="002B54DB" w14:paraId="77C8FD0E" w14:textId="2F53416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1C4EE9">
      <w:rPr>
        <w:noProof/>
        <w:sz w:val="24"/>
      </w:rPr>
      <w:t>January 19,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11"/>
    <w:rsid w:val="00035EA3"/>
    <w:rsid w:val="00036A54"/>
    <w:rsid w:val="00076A8F"/>
    <w:rsid w:val="001333F1"/>
    <w:rsid w:val="00141611"/>
    <w:rsid w:val="001C4EE9"/>
    <w:rsid w:val="00204CE3"/>
    <w:rsid w:val="002B54DB"/>
    <w:rsid w:val="004002E5"/>
    <w:rsid w:val="004D3B53"/>
    <w:rsid w:val="005E3BD8"/>
    <w:rsid w:val="00781287"/>
    <w:rsid w:val="00790F45"/>
    <w:rsid w:val="007E6A51"/>
    <w:rsid w:val="00866B5F"/>
    <w:rsid w:val="009140E8"/>
    <w:rsid w:val="0094034C"/>
    <w:rsid w:val="00A22C0A"/>
    <w:rsid w:val="00B2644F"/>
    <w:rsid w:val="00B81342"/>
    <w:rsid w:val="00BA19C0"/>
    <w:rsid w:val="00BA66B8"/>
    <w:rsid w:val="00C0310F"/>
    <w:rsid w:val="00C87E72"/>
    <w:rsid w:val="00D07059"/>
    <w:rsid w:val="00DF3E5C"/>
    <w:rsid w:val="00EF35DF"/>
    <w:rsid w:val="00F66195"/>
    <w:rsid w:val="00FA0419"/>
    <w:rsid w:val="00FE7F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E7E461-3770-4C71-A29F-7331811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BA19C0"/>
    <w:rPr>
      <w:color w:val="0563C1"/>
      <w:u w:val="single"/>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basedOn w:val="Normal"/>
    <w:link w:val="FootnoteTextChar"/>
    <w:unhideWhenUsed/>
    <w:rsid w:val="00BA19C0"/>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basedOn w:val="DefaultParagraphFont"/>
    <w:link w:val="FootnoteText"/>
    <w:rsid w:val="00BA19C0"/>
  </w:style>
  <w:style w:type="character" w:styleId="FootnoteReference">
    <w:name w:val="footnote reference"/>
    <w:aliases w:val="(NECG) Footnote Reference,Appel note de bas de p,FR,Footnote Reference/,Style 12,Style 124,Style 13,Style 17,Style 3,Style 6,fr,o"/>
    <w:unhideWhenUsed/>
    <w:rsid w:val="00BA19C0"/>
    <w:rPr>
      <w:vertAlign w:val="superscript"/>
    </w:rPr>
  </w:style>
  <w:style w:type="character" w:customStyle="1" w:styleId="UnresolvedMention">
    <w:name w:val="Unresolved Mention"/>
    <w:uiPriority w:val="99"/>
    <w:semiHidden/>
    <w:unhideWhenUsed/>
    <w:rsid w:val="00BA19C0"/>
    <w:rPr>
      <w:color w:val="605E5C"/>
      <w:shd w:val="clear" w:color="auto" w:fill="E1DFDD"/>
    </w:rPr>
  </w:style>
  <w:style w:type="character" w:styleId="CommentReference">
    <w:name w:val="annotation reference"/>
    <w:uiPriority w:val="99"/>
    <w:semiHidden/>
    <w:unhideWhenUsed/>
    <w:rsid w:val="00F66195"/>
    <w:rPr>
      <w:sz w:val="16"/>
      <w:szCs w:val="16"/>
    </w:rPr>
  </w:style>
  <w:style w:type="paragraph" w:styleId="CommentText">
    <w:name w:val="annotation text"/>
    <w:basedOn w:val="Normal"/>
    <w:link w:val="CommentTextChar"/>
    <w:uiPriority w:val="99"/>
    <w:semiHidden/>
    <w:unhideWhenUsed/>
    <w:rsid w:val="00F66195"/>
  </w:style>
  <w:style w:type="character" w:customStyle="1" w:styleId="CommentTextChar">
    <w:name w:val="Comment Text Char"/>
    <w:basedOn w:val="DefaultParagraphFont"/>
    <w:link w:val="CommentText"/>
    <w:uiPriority w:val="99"/>
    <w:semiHidden/>
    <w:rsid w:val="00F66195"/>
  </w:style>
  <w:style w:type="paragraph" w:styleId="CommentSubject">
    <w:name w:val="annotation subject"/>
    <w:basedOn w:val="CommentText"/>
    <w:next w:val="CommentText"/>
    <w:link w:val="CommentSubjectChar"/>
    <w:uiPriority w:val="99"/>
    <w:semiHidden/>
    <w:unhideWhenUsed/>
    <w:rsid w:val="00F66195"/>
    <w:rPr>
      <w:b/>
      <w:bCs/>
    </w:rPr>
  </w:style>
  <w:style w:type="character" w:customStyle="1" w:styleId="CommentSubjectChar">
    <w:name w:val="Comment Subject Char"/>
    <w:link w:val="CommentSubject"/>
    <w:uiPriority w:val="99"/>
    <w:semiHidden/>
    <w:rsid w:val="00F66195"/>
    <w:rPr>
      <w:b/>
      <w:bCs/>
    </w:rPr>
  </w:style>
  <w:style w:type="paragraph" w:styleId="BalloonText">
    <w:name w:val="Balloon Text"/>
    <w:basedOn w:val="Normal"/>
    <w:link w:val="BalloonTextChar"/>
    <w:uiPriority w:val="99"/>
    <w:semiHidden/>
    <w:unhideWhenUsed/>
    <w:rsid w:val="00F66195"/>
    <w:rPr>
      <w:rFonts w:ascii="Segoe UI" w:hAnsi="Segoe UI" w:cs="Segoe UI"/>
      <w:sz w:val="18"/>
      <w:szCs w:val="18"/>
    </w:rPr>
  </w:style>
  <w:style w:type="character" w:customStyle="1" w:styleId="BalloonTextChar">
    <w:name w:val="Balloon Text Char"/>
    <w:link w:val="BalloonText"/>
    <w:uiPriority w:val="99"/>
    <w:semiHidden/>
    <w:rsid w:val="00F6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koppel@fcclaw.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152740602607/Appalachian%20Wireless%20--%20RTT%20Response%20-%20Request%20for%20Extension%20of%20Time%20--%2001.15.21.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