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7A72A0" w:rsidP="007A72A0" w14:paraId="6D2F270C" w14:textId="34FF99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Winter Storm Uri</w:t>
      </w:r>
      <w:r w:rsidR="006615FE">
        <w:rPr>
          <w:rFonts w:ascii="Times New Roman" w:hAnsi="Times New Roman" w:cs="Times New Roman"/>
          <w:b/>
          <w:bCs/>
        </w:rPr>
        <w:t xml:space="preserve"> Update</w:t>
      </w:r>
    </w:p>
    <w:p w:rsidR="007A72A0" w:rsidRPr="003C2AF4" w:rsidP="007A72A0" w14:paraId="44F9F61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2AF4">
        <w:rPr>
          <w:rFonts w:ascii="Times New Roman" w:hAnsi="Times New Roman" w:cs="Times New Roman"/>
          <w:b/>
          <w:bCs/>
        </w:rPr>
        <w:t>Public Safety and Homeland Security Bureau, Federal Communications Commission</w:t>
      </w:r>
    </w:p>
    <w:p w:rsidR="007A72A0" w:rsidRPr="003C2AF4" w:rsidP="007A72A0" w14:paraId="4461A3A5" w14:textId="2FF550C6">
      <w:pPr>
        <w:spacing w:after="220" w:line="240" w:lineRule="auto"/>
        <w:jc w:val="center"/>
        <w:rPr>
          <w:rFonts w:ascii="Times New Roman" w:hAnsi="Times New Roman" w:cs="Times New Roman"/>
          <w:b/>
          <w:bCs/>
        </w:rPr>
      </w:pPr>
      <w:r w:rsidRPr="003C2AF4">
        <w:rPr>
          <w:rFonts w:ascii="Times New Roman" w:hAnsi="Times New Roman" w:cs="Times New Roman"/>
          <w:b/>
          <w:bCs/>
        </w:rPr>
        <w:t>February 1</w:t>
      </w:r>
      <w:r w:rsidR="00BB3C28">
        <w:rPr>
          <w:rFonts w:ascii="Times New Roman" w:hAnsi="Times New Roman" w:cs="Times New Roman"/>
          <w:b/>
          <w:bCs/>
        </w:rPr>
        <w:t>8</w:t>
      </w:r>
      <w:r w:rsidRPr="003C2AF4">
        <w:rPr>
          <w:rFonts w:ascii="Times New Roman" w:hAnsi="Times New Roman" w:cs="Times New Roman"/>
          <w:b/>
          <w:bCs/>
        </w:rPr>
        <w:t>, 2021</w:t>
      </w:r>
    </w:p>
    <w:p w:rsidR="00F07AD6" w:rsidP="6A650B07" w14:paraId="2F997470" w14:textId="570C0E21">
      <w:pPr>
        <w:rPr>
          <w:rFonts w:ascii="Times New Roman" w:hAnsi="Times New Roman" w:cs="Times New Roman"/>
        </w:rPr>
      </w:pPr>
      <w:r w:rsidRPr="6A650B07">
        <w:rPr>
          <w:rFonts w:ascii="Times New Roman" w:hAnsi="Times New Roman" w:cs="Times New Roman"/>
        </w:rPr>
        <w:t>T</w:t>
      </w:r>
      <w:r w:rsidRPr="6A650B07" w:rsidR="00822C7A">
        <w:rPr>
          <w:rFonts w:ascii="Times New Roman" w:hAnsi="Times New Roman" w:cs="Times New Roman"/>
        </w:rPr>
        <w:t xml:space="preserve">he Federal Communications Commission </w:t>
      </w:r>
      <w:r w:rsidRPr="6A650B07">
        <w:rPr>
          <w:rFonts w:ascii="Times New Roman" w:hAnsi="Times New Roman" w:cs="Times New Roman"/>
        </w:rPr>
        <w:t>continues to coordinate with FEMA and CISA</w:t>
      </w:r>
      <w:r w:rsidRPr="6A650B07" w:rsidR="00313447">
        <w:rPr>
          <w:rFonts w:ascii="Times New Roman" w:hAnsi="Times New Roman" w:cs="Times New Roman"/>
        </w:rPr>
        <w:t xml:space="preserve"> on any information or regulatory needs in support of </w:t>
      </w:r>
      <w:r w:rsidRPr="6A650B07" w:rsidR="00FC484F">
        <w:rPr>
          <w:rFonts w:ascii="Times New Roman" w:hAnsi="Times New Roman" w:cs="Times New Roman"/>
        </w:rPr>
        <w:t>winter</w:t>
      </w:r>
      <w:r w:rsidRPr="6A650B07" w:rsidR="00313447">
        <w:rPr>
          <w:rFonts w:ascii="Times New Roman" w:hAnsi="Times New Roman" w:cs="Times New Roman"/>
        </w:rPr>
        <w:t xml:space="preserve"> storm response initiatives.  Win</w:t>
      </w:r>
      <w:r w:rsidRPr="6A650B07" w:rsidR="00090E8D">
        <w:rPr>
          <w:rFonts w:ascii="Times New Roman" w:hAnsi="Times New Roman" w:cs="Times New Roman"/>
        </w:rPr>
        <w:t>t</w:t>
      </w:r>
      <w:r w:rsidRPr="6A650B07" w:rsidR="00313447">
        <w:rPr>
          <w:rFonts w:ascii="Times New Roman" w:hAnsi="Times New Roman" w:cs="Times New Roman"/>
        </w:rPr>
        <w:t>er Storm Uri had significant impacts on power g</w:t>
      </w:r>
      <w:r w:rsidRPr="6A650B07" w:rsidR="009D7FAC">
        <w:rPr>
          <w:rFonts w:ascii="Times New Roman" w:hAnsi="Times New Roman" w:cs="Times New Roman"/>
        </w:rPr>
        <w:t>rids across the U.S</w:t>
      </w:r>
      <w:r w:rsidRPr="6A650B07" w:rsidR="5D180D76">
        <w:rPr>
          <w:rFonts w:ascii="Times New Roman" w:hAnsi="Times New Roman" w:cs="Times New Roman"/>
        </w:rPr>
        <w:t>.</w:t>
      </w:r>
      <w:r w:rsidRPr="6A650B07" w:rsidR="009D7FAC">
        <w:rPr>
          <w:rFonts w:ascii="Times New Roman" w:hAnsi="Times New Roman" w:cs="Times New Roman"/>
        </w:rPr>
        <w:t xml:space="preserve"> </w:t>
      </w:r>
      <w:r w:rsidRPr="6A650B07" w:rsidR="4E95AD99">
        <w:rPr>
          <w:rFonts w:ascii="Times New Roman" w:hAnsi="Times New Roman" w:cs="Times New Roman"/>
        </w:rPr>
        <w:t>m</w:t>
      </w:r>
      <w:r w:rsidRPr="6A650B07" w:rsidR="009D7FAC">
        <w:rPr>
          <w:rFonts w:ascii="Times New Roman" w:hAnsi="Times New Roman" w:cs="Times New Roman"/>
        </w:rPr>
        <w:t>idwest</w:t>
      </w:r>
      <w:r w:rsidRPr="6A650B07" w:rsidR="009D7FAC">
        <w:rPr>
          <w:rFonts w:ascii="Times New Roman" w:hAnsi="Times New Roman" w:cs="Times New Roman"/>
        </w:rPr>
        <w:t xml:space="preserve"> and southeast, causing </w:t>
      </w:r>
      <w:r w:rsidRPr="6A650B07" w:rsidR="1BDFD639">
        <w:rPr>
          <w:rFonts w:ascii="Times New Roman" w:hAnsi="Times New Roman" w:cs="Times New Roman"/>
        </w:rPr>
        <w:t>widespread</w:t>
      </w:r>
      <w:r w:rsidRPr="6A650B07" w:rsidR="009D7FAC">
        <w:rPr>
          <w:rFonts w:ascii="Times New Roman" w:hAnsi="Times New Roman" w:cs="Times New Roman"/>
        </w:rPr>
        <w:t xml:space="preserve"> </w:t>
      </w:r>
      <w:r w:rsidRPr="6A650B07" w:rsidR="32EB9EBE">
        <w:rPr>
          <w:rFonts w:ascii="Times New Roman" w:hAnsi="Times New Roman" w:cs="Times New Roman"/>
        </w:rPr>
        <w:t>power</w:t>
      </w:r>
      <w:r w:rsidRPr="6A650B07" w:rsidR="009D7FAC">
        <w:rPr>
          <w:rFonts w:ascii="Times New Roman" w:hAnsi="Times New Roman" w:cs="Times New Roman"/>
        </w:rPr>
        <w:t xml:space="preserve"> outages that ha</w:t>
      </w:r>
      <w:r w:rsidRPr="6A650B07" w:rsidR="009E48F3">
        <w:rPr>
          <w:rFonts w:ascii="Times New Roman" w:hAnsi="Times New Roman" w:cs="Times New Roman"/>
        </w:rPr>
        <w:t xml:space="preserve">ve </w:t>
      </w:r>
      <w:r w:rsidRPr="6A650B07" w:rsidR="23719E9A">
        <w:rPr>
          <w:rFonts w:ascii="Times New Roman" w:hAnsi="Times New Roman" w:cs="Times New Roman"/>
        </w:rPr>
        <w:t xml:space="preserve">affected </w:t>
      </w:r>
      <w:r w:rsidRPr="6A650B07" w:rsidR="177C7B37">
        <w:rPr>
          <w:rFonts w:ascii="Times New Roman" w:hAnsi="Times New Roman" w:cs="Times New Roman"/>
        </w:rPr>
        <w:t xml:space="preserve"> </w:t>
      </w:r>
      <w:r w:rsidRPr="6A650B07" w:rsidR="0F4151F2">
        <w:rPr>
          <w:rFonts w:ascii="Times New Roman" w:hAnsi="Times New Roman" w:cs="Times New Roman"/>
        </w:rPr>
        <w:t>communications services</w:t>
      </w:r>
      <w:r w:rsidRPr="6A650B07" w:rsidR="2FF625A3">
        <w:rPr>
          <w:rFonts w:ascii="Times New Roman" w:hAnsi="Times New Roman" w:cs="Times New Roman"/>
        </w:rPr>
        <w:t xml:space="preserve">, resulting in reliance on generator power. </w:t>
      </w:r>
      <w:r w:rsidRPr="6A650B07" w:rsidR="0F4151F2">
        <w:rPr>
          <w:rFonts w:ascii="Times New Roman" w:hAnsi="Times New Roman" w:cs="Times New Roman"/>
        </w:rPr>
        <w:t xml:space="preserve"> </w:t>
      </w:r>
      <w:r w:rsidRPr="6A650B07" w:rsidR="177C7B37">
        <w:rPr>
          <w:rFonts w:ascii="Times New Roman" w:hAnsi="Times New Roman" w:cs="Times New Roman"/>
        </w:rPr>
        <w:t xml:space="preserve"> </w:t>
      </w:r>
    </w:p>
    <w:p w:rsidR="00222DC8" w:rsidRPr="00E720BF" w:rsidP="3E007DD4" w14:paraId="22B358E5" w14:textId="1985C0A3">
      <w:pPr>
        <w:rPr>
          <w:rFonts w:ascii="Times New Roman" w:hAnsi="Times New Roman" w:cs="Times New Roman"/>
          <w:color w:val="FF0000"/>
        </w:rPr>
      </w:pPr>
      <w:r w:rsidRPr="3E007DD4">
        <w:rPr>
          <w:rFonts w:ascii="Times New Roman" w:hAnsi="Times New Roman" w:cs="Times New Roman"/>
        </w:rPr>
        <w:t xml:space="preserve">Texas and Oklahoma have declared states of emergency and have activated emergency support function </w:t>
      </w:r>
      <w:r w:rsidRPr="3E007DD4" w:rsidR="7780C26D">
        <w:rPr>
          <w:rFonts w:ascii="Times New Roman" w:hAnsi="Times New Roman" w:cs="Times New Roman"/>
        </w:rPr>
        <w:t>(ESF)</w:t>
      </w:r>
      <w:r w:rsidRPr="3E007DD4">
        <w:rPr>
          <w:rFonts w:ascii="Times New Roman" w:hAnsi="Times New Roman" w:cs="Times New Roman"/>
        </w:rPr>
        <w:t xml:space="preserve"> #2</w:t>
      </w:r>
      <w:r w:rsidRPr="3E007DD4" w:rsidR="7780C26D">
        <w:rPr>
          <w:rFonts w:ascii="Times New Roman" w:hAnsi="Times New Roman" w:cs="Times New Roman"/>
        </w:rPr>
        <w:t xml:space="preserve"> (Communications)</w:t>
      </w:r>
      <w:r w:rsidRPr="3E007DD4">
        <w:rPr>
          <w:rFonts w:ascii="Times New Roman" w:hAnsi="Times New Roman" w:cs="Times New Roman"/>
        </w:rPr>
        <w:t xml:space="preserve"> at the state level.  </w:t>
      </w:r>
      <w:r w:rsidRPr="3E007DD4" w:rsidR="271C40E5">
        <w:rPr>
          <w:rFonts w:ascii="Times New Roman" w:hAnsi="Times New Roman" w:cs="Times New Roman"/>
        </w:rPr>
        <w:t xml:space="preserve">President Biden </w:t>
      </w:r>
      <w:r w:rsidRPr="3E007DD4" w:rsidR="3F8DCB33">
        <w:rPr>
          <w:rFonts w:ascii="Times New Roman" w:hAnsi="Times New Roman" w:cs="Times New Roman"/>
        </w:rPr>
        <w:t>approved Texas’ request for disaster assistance on February 14</w:t>
      </w:r>
      <w:r w:rsidRPr="3E007DD4" w:rsidR="3F8DCB33">
        <w:rPr>
          <w:rFonts w:ascii="Times New Roman" w:hAnsi="Times New Roman" w:cs="Times New Roman"/>
          <w:vertAlign w:val="superscript"/>
        </w:rPr>
        <w:t>th</w:t>
      </w:r>
      <w:r w:rsidRPr="3E007DD4" w:rsidR="1DB4966E">
        <w:rPr>
          <w:rFonts w:ascii="Times New Roman" w:hAnsi="Times New Roman" w:cs="Times New Roman"/>
        </w:rPr>
        <w:t xml:space="preserve"> and </w:t>
      </w:r>
      <w:r w:rsidRPr="3E007DD4" w:rsidR="38920A5C">
        <w:rPr>
          <w:rFonts w:ascii="Times New Roman" w:hAnsi="Times New Roman" w:cs="Times New Roman"/>
        </w:rPr>
        <w:t>Oklahoma’s request on February 18</w:t>
      </w:r>
      <w:r w:rsidRPr="3E007DD4" w:rsidR="38920A5C">
        <w:rPr>
          <w:rFonts w:ascii="Times New Roman" w:hAnsi="Times New Roman" w:cs="Times New Roman"/>
          <w:vertAlign w:val="superscript"/>
        </w:rPr>
        <w:t>th</w:t>
      </w:r>
      <w:r w:rsidRPr="3E007DD4" w:rsidR="38920A5C">
        <w:rPr>
          <w:rFonts w:ascii="Times New Roman" w:hAnsi="Times New Roman" w:cs="Times New Roman"/>
        </w:rPr>
        <w:t>.  These major disaster declarations</w:t>
      </w:r>
      <w:r w:rsidRPr="3E007DD4" w:rsidR="1DB4966E">
        <w:rPr>
          <w:rFonts w:ascii="Times New Roman" w:hAnsi="Times New Roman" w:cs="Times New Roman"/>
        </w:rPr>
        <w:t xml:space="preserve"> enable the use of</w:t>
      </w:r>
      <w:r w:rsidRPr="3E007DD4" w:rsidR="69E29B77">
        <w:rPr>
          <w:rFonts w:ascii="Times New Roman" w:hAnsi="Times New Roman" w:cs="Times New Roman"/>
        </w:rPr>
        <w:t xml:space="preserve"> Stafford Act funds</w:t>
      </w:r>
      <w:r w:rsidRPr="3E007DD4" w:rsidR="271C40E5">
        <w:rPr>
          <w:rFonts w:ascii="Times New Roman" w:hAnsi="Times New Roman" w:cs="Times New Roman"/>
        </w:rPr>
        <w:t xml:space="preserve"> </w:t>
      </w:r>
      <w:r w:rsidRPr="3E007DD4" w:rsidR="4074C4E9">
        <w:rPr>
          <w:rFonts w:ascii="Times New Roman" w:hAnsi="Times New Roman" w:cs="Times New Roman"/>
        </w:rPr>
        <w:t xml:space="preserve">and </w:t>
      </w:r>
      <w:r w:rsidRPr="3E007DD4" w:rsidR="00FC484F">
        <w:rPr>
          <w:rFonts w:ascii="Times New Roman" w:hAnsi="Times New Roman" w:cs="Times New Roman"/>
        </w:rPr>
        <w:t xml:space="preserve">the </w:t>
      </w:r>
      <w:r w:rsidRPr="3E007DD4" w:rsidR="4074C4E9">
        <w:rPr>
          <w:rFonts w:ascii="Times New Roman" w:hAnsi="Times New Roman" w:cs="Times New Roman"/>
        </w:rPr>
        <w:t xml:space="preserve">activation of </w:t>
      </w:r>
      <w:r w:rsidRPr="3E007DD4" w:rsidR="5E3D39D8">
        <w:rPr>
          <w:rFonts w:ascii="Times New Roman" w:hAnsi="Times New Roman" w:cs="Times New Roman"/>
        </w:rPr>
        <w:t>ESF</w:t>
      </w:r>
      <w:r w:rsidRPr="3E007DD4" w:rsidR="2A6458C1">
        <w:rPr>
          <w:rFonts w:ascii="Times New Roman" w:hAnsi="Times New Roman" w:cs="Times New Roman"/>
        </w:rPr>
        <w:t>s</w:t>
      </w:r>
      <w:r w:rsidRPr="3E007DD4" w:rsidR="46E2F165">
        <w:rPr>
          <w:rFonts w:ascii="Times New Roman" w:hAnsi="Times New Roman" w:cs="Times New Roman"/>
        </w:rPr>
        <w:t xml:space="preserve"> </w:t>
      </w:r>
      <w:r w:rsidRPr="3E007DD4" w:rsidR="00FC484F">
        <w:rPr>
          <w:rFonts w:ascii="Times New Roman" w:hAnsi="Times New Roman" w:cs="Times New Roman"/>
        </w:rPr>
        <w:t xml:space="preserve">which </w:t>
      </w:r>
      <w:r w:rsidRPr="3E007DD4" w:rsidR="46E2F165">
        <w:rPr>
          <w:rFonts w:ascii="Times New Roman" w:hAnsi="Times New Roman" w:cs="Times New Roman"/>
        </w:rPr>
        <w:t>enable</w:t>
      </w:r>
      <w:r w:rsidRPr="3E007DD4" w:rsidR="00FC484F">
        <w:rPr>
          <w:rFonts w:ascii="Times New Roman" w:hAnsi="Times New Roman" w:cs="Times New Roman"/>
        </w:rPr>
        <w:t xml:space="preserve"> federal </w:t>
      </w:r>
      <w:r w:rsidRPr="3E007DD4" w:rsidR="271C40E5">
        <w:rPr>
          <w:rFonts w:ascii="Times New Roman" w:hAnsi="Times New Roman" w:cs="Times New Roman"/>
        </w:rPr>
        <w:t xml:space="preserve">support </w:t>
      </w:r>
      <w:r w:rsidRPr="3E007DD4" w:rsidR="00FC484F">
        <w:rPr>
          <w:rFonts w:ascii="Times New Roman" w:hAnsi="Times New Roman" w:cs="Times New Roman"/>
        </w:rPr>
        <w:t xml:space="preserve">to state, local, tribal, and territorial </w:t>
      </w:r>
      <w:r w:rsidRPr="3E007DD4" w:rsidR="271C40E5">
        <w:rPr>
          <w:rFonts w:ascii="Times New Roman" w:hAnsi="Times New Roman" w:cs="Times New Roman"/>
        </w:rPr>
        <w:t xml:space="preserve">response </w:t>
      </w:r>
      <w:r w:rsidRPr="3E007DD4" w:rsidR="00FC484F">
        <w:rPr>
          <w:rFonts w:ascii="Times New Roman" w:hAnsi="Times New Roman" w:cs="Times New Roman"/>
        </w:rPr>
        <w:t>efforts.</w:t>
      </w:r>
      <w:r w:rsidRPr="3E007DD4" w:rsidR="466A1DCD">
        <w:rPr>
          <w:rFonts w:ascii="Times New Roman" w:hAnsi="Times New Roman" w:cs="Times New Roman"/>
        </w:rPr>
        <w:t xml:space="preserve">  Currently ESF #2 has been activated in Texas and Oklahoma.</w:t>
      </w:r>
    </w:p>
    <w:p w:rsidR="00222DC8" w:rsidRPr="00E720BF" w:rsidP="00822C7A" w14:paraId="5D963820" w14:textId="6D5F763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Texas state officials report that the communications industry is doing a great job of coordinating and sharing information.</w:t>
      </w:r>
      <w:r w:rsidRPr="003C2AF4" w:rsidR="00104574">
        <w:rPr>
          <w:rFonts w:ascii="Times New Roman" w:hAnsi="Times New Roman" w:cs="Times New Roman"/>
        </w:rPr>
        <w:t xml:space="preserve">  </w:t>
      </w:r>
      <w:r w:rsidR="00281151">
        <w:rPr>
          <w:rFonts w:ascii="Times New Roman" w:hAnsi="Times New Roman" w:cs="Times New Roman"/>
        </w:rPr>
        <w:t xml:space="preserve">Neither FEMA nor </w:t>
      </w:r>
      <w:r w:rsidR="008F5A66">
        <w:rPr>
          <w:rFonts w:ascii="Times New Roman" w:hAnsi="Times New Roman" w:cs="Times New Roman"/>
        </w:rPr>
        <w:t>the impacted states have requested activation of the Disaster Information Reporting System (DIRS), but th</w:t>
      </w:r>
      <w:r w:rsidR="006776A1">
        <w:rPr>
          <w:rFonts w:ascii="Times New Roman" w:hAnsi="Times New Roman" w:cs="Times New Roman"/>
        </w:rPr>
        <w:t>e</w:t>
      </w:r>
      <w:r w:rsidR="008F5A66">
        <w:rPr>
          <w:rFonts w:ascii="Times New Roman" w:hAnsi="Times New Roman" w:cs="Times New Roman"/>
        </w:rPr>
        <w:t xml:space="preserve"> FCC continues to </w:t>
      </w:r>
      <w:r w:rsidR="004B4C3D">
        <w:rPr>
          <w:rFonts w:ascii="Times New Roman" w:hAnsi="Times New Roman" w:cs="Times New Roman"/>
        </w:rPr>
        <w:t>monitor the situation and stands ready t</w:t>
      </w:r>
      <w:r w:rsidR="00F07AD6">
        <w:rPr>
          <w:rFonts w:ascii="Times New Roman" w:hAnsi="Times New Roman" w:cs="Times New Roman"/>
        </w:rPr>
        <w:t>o assist</w:t>
      </w:r>
      <w:r w:rsidR="004B4C3D">
        <w:rPr>
          <w:rFonts w:ascii="Times New Roman" w:hAnsi="Times New Roman" w:cs="Times New Roman"/>
        </w:rPr>
        <w:t xml:space="preserve"> i</w:t>
      </w:r>
      <w:r w:rsidR="00D11D7F">
        <w:rPr>
          <w:rFonts w:ascii="Times New Roman" w:hAnsi="Times New Roman" w:cs="Times New Roman"/>
        </w:rPr>
        <w:t>f needed</w:t>
      </w:r>
      <w:r w:rsidR="001C304F">
        <w:rPr>
          <w:rFonts w:ascii="Times New Roman" w:hAnsi="Times New Roman" w:cs="Times New Roman"/>
        </w:rPr>
        <w:t>.</w:t>
      </w:r>
      <w:r w:rsidR="0067257F">
        <w:rPr>
          <w:rFonts w:ascii="Times New Roman" w:hAnsi="Times New Roman" w:cs="Times New Roman"/>
        </w:rPr>
        <w:t xml:space="preserve"> </w:t>
      </w:r>
      <w:r w:rsidR="00E368C4">
        <w:rPr>
          <w:rFonts w:ascii="Times New Roman" w:hAnsi="Times New Roman" w:cs="Times New Roman"/>
        </w:rPr>
        <w:t xml:space="preserve"> </w:t>
      </w:r>
    </w:p>
    <w:p w:rsidR="00951C7D" w:rsidRPr="003C2AF4" w:rsidP="00822C7A" w14:paraId="41F834BF" w14:textId="32473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27F57" w:rsidR="00827F57">
        <w:rPr>
          <w:rFonts w:ascii="Times New Roman" w:hAnsi="Times New Roman" w:cs="Times New Roman"/>
        </w:rPr>
        <w:t>he interdependencies between power and communications service</w:t>
      </w:r>
      <w:r>
        <w:rPr>
          <w:rFonts w:ascii="Times New Roman" w:hAnsi="Times New Roman" w:cs="Times New Roman"/>
        </w:rPr>
        <w:t xml:space="preserve"> remain a challenge as</w:t>
      </w:r>
      <w:r w:rsidRPr="003C2AF4" w:rsidR="00827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persisting </w:t>
      </w:r>
      <w:r w:rsidR="00D14D9E">
        <w:rPr>
          <w:rFonts w:ascii="Times New Roman" w:hAnsi="Times New Roman" w:cs="Times New Roman"/>
        </w:rPr>
        <w:t>power outages and rolling</w:t>
      </w:r>
      <w:r w:rsidRPr="003C2AF4" w:rsidR="00567F69">
        <w:rPr>
          <w:rFonts w:ascii="Times New Roman" w:hAnsi="Times New Roman" w:cs="Times New Roman"/>
        </w:rPr>
        <w:t xml:space="preserve"> </w:t>
      </w:r>
      <w:r w:rsidRPr="003C2AF4" w:rsidR="005E2E9D">
        <w:rPr>
          <w:rFonts w:ascii="Times New Roman" w:hAnsi="Times New Roman" w:cs="Times New Roman"/>
        </w:rPr>
        <w:t>brownouts</w:t>
      </w:r>
      <w:r w:rsidRPr="003C2AF4" w:rsidR="00567F69">
        <w:rPr>
          <w:rFonts w:ascii="Times New Roman" w:hAnsi="Times New Roman" w:cs="Times New Roman"/>
        </w:rPr>
        <w:t xml:space="preserve"> forc</w:t>
      </w:r>
      <w:r>
        <w:rPr>
          <w:rFonts w:ascii="Times New Roman" w:hAnsi="Times New Roman" w:cs="Times New Roman"/>
        </w:rPr>
        <w:t>e</w:t>
      </w:r>
      <w:r w:rsidRPr="003C2AF4" w:rsidR="00567F69">
        <w:rPr>
          <w:rFonts w:ascii="Times New Roman" w:hAnsi="Times New Roman" w:cs="Times New Roman"/>
        </w:rPr>
        <w:t xml:space="preserve"> </w:t>
      </w:r>
      <w:r w:rsidR="00D14D9E">
        <w:rPr>
          <w:rFonts w:ascii="Times New Roman" w:hAnsi="Times New Roman" w:cs="Times New Roman"/>
        </w:rPr>
        <w:t>communications service providers</w:t>
      </w:r>
      <w:r w:rsidRPr="003C2AF4" w:rsidR="00567F69">
        <w:rPr>
          <w:rFonts w:ascii="Times New Roman" w:hAnsi="Times New Roman" w:cs="Times New Roman"/>
        </w:rPr>
        <w:t xml:space="preserve"> to rely on </w:t>
      </w:r>
      <w:r w:rsidR="00BB377F">
        <w:rPr>
          <w:rFonts w:ascii="Times New Roman" w:hAnsi="Times New Roman" w:cs="Times New Roman"/>
        </w:rPr>
        <w:t>backup</w:t>
      </w:r>
      <w:r>
        <w:rPr>
          <w:rFonts w:ascii="Times New Roman" w:hAnsi="Times New Roman" w:cs="Times New Roman"/>
        </w:rPr>
        <w:t xml:space="preserve"> power.  Regions impacted by the winter storms </w:t>
      </w:r>
      <w:r w:rsidR="009B3FD2">
        <w:rPr>
          <w:rFonts w:ascii="Times New Roman" w:hAnsi="Times New Roman" w:cs="Times New Roman"/>
        </w:rPr>
        <w:t xml:space="preserve">have requested </w:t>
      </w:r>
      <w:r w:rsidR="00EF42F0">
        <w:rPr>
          <w:rFonts w:ascii="Times New Roman" w:hAnsi="Times New Roman" w:cs="Times New Roman"/>
        </w:rPr>
        <w:t>fuel distribution support from</w:t>
      </w:r>
      <w:r w:rsidR="00FB0F1F">
        <w:rPr>
          <w:rFonts w:ascii="Times New Roman" w:hAnsi="Times New Roman" w:cs="Times New Roman"/>
        </w:rPr>
        <w:t xml:space="preserve"> FEMA and CISA</w:t>
      </w:r>
      <w:r w:rsidR="00A22EFB">
        <w:rPr>
          <w:rFonts w:ascii="Times New Roman" w:hAnsi="Times New Roman" w:cs="Times New Roman"/>
        </w:rPr>
        <w:t xml:space="preserve"> and state emergency management officials</w:t>
      </w:r>
      <w:r w:rsidR="00E60FBE">
        <w:rPr>
          <w:rFonts w:ascii="Times New Roman" w:hAnsi="Times New Roman" w:cs="Times New Roman"/>
        </w:rPr>
        <w:t>.</w:t>
      </w:r>
      <w:r w:rsidR="00FB0F1F">
        <w:rPr>
          <w:rFonts w:ascii="Times New Roman" w:hAnsi="Times New Roman" w:cs="Times New Roman"/>
        </w:rPr>
        <w:t xml:space="preserve"> </w:t>
      </w:r>
      <w:r w:rsidR="004F619E">
        <w:rPr>
          <w:rFonts w:ascii="Times New Roman" w:hAnsi="Times New Roman" w:cs="Times New Roman"/>
        </w:rPr>
        <w:t xml:space="preserve">Not only are </w:t>
      </w:r>
      <w:r w:rsidRPr="003C2AF4" w:rsidR="00567F69">
        <w:rPr>
          <w:rFonts w:ascii="Times New Roman" w:hAnsi="Times New Roman" w:cs="Times New Roman"/>
        </w:rPr>
        <w:t xml:space="preserve">icy roads </w:t>
      </w:r>
      <w:r w:rsidR="004F619E">
        <w:rPr>
          <w:rFonts w:ascii="Times New Roman" w:hAnsi="Times New Roman" w:cs="Times New Roman"/>
        </w:rPr>
        <w:t xml:space="preserve">continuing to hamper fuel </w:t>
      </w:r>
      <w:r w:rsidR="00F16B01">
        <w:rPr>
          <w:rFonts w:ascii="Times New Roman" w:hAnsi="Times New Roman" w:cs="Times New Roman"/>
        </w:rPr>
        <w:t>distribution,</w:t>
      </w:r>
      <w:r w:rsidR="004F619E">
        <w:rPr>
          <w:rFonts w:ascii="Times New Roman" w:hAnsi="Times New Roman" w:cs="Times New Roman"/>
        </w:rPr>
        <w:t xml:space="preserve"> but freezing temperatures are also causing fuel </w:t>
      </w:r>
      <w:r w:rsidR="00622965">
        <w:rPr>
          <w:rFonts w:ascii="Times New Roman" w:hAnsi="Times New Roman" w:cs="Times New Roman"/>
        </w:rPr>
        <w:t xml:space="preserve">in the impacted areas to gelatinate.  While FEMA works with states to </w:t>
      </w:r>
      <w:r w:rsidR="00F16B01">
        <w:rPr>
          <w:rFonts w:ascii="Times New Roman" w:hAnsi="Times New Roman" w:cs="Times New Roman"/>
        </w:rPr>
        <w:t xml:space="preserve">develop a fuel plan, the FCC continues to coordinate with regional and state officials to </w:t>
      </w:r>
      <w:r w:rsidRPr="003C2AF4" w:rsidR="00567F69">
        <w:rPr>
          <w:rFonts w:ascii="Times New Roman" w:hAnsi="Times New Roman" w:cs="Times New Roman"/>
        </w:rPr>
        <w:t xml:space="preserve">identify </w:t>
      </w:r>
      <w:r w:rsidRPr="003C2AF4" w:rsidR="00D25EBF">
        <w:rPr>
          <w:rFonts w:ascii="Times New Roman" w:hAnsi="Times New Roman" w:cs="Times New Roman"/>
        </w:rPr>
        <w:t>priority communications sites.</w:t>
      </w:r>
    </w:p>
    <w:p w:rsidR="00213EC7" w:rsidP="005D68FB" w14:paraId="7945C95B" w14:textId="5D12018F">
      <w:pPr>
        <w:rPr>
          <w:rFonts w:ascii="Times New Roman" w:hAnsi="Times New Roman" w:cs="Times New Roman"/>
        </w:rPr>
      </w:pPr>
      <w:r w:rsidRPr="003C2AF4">
        <w:rPr>
          <w:rFonts w:ascii="Times New Roman" w:hAnsi="Times New Roman" w:cs="Times New Roman"/>
        </w:rPr>
        <w:t xml:space="preserve">The following </w:t>
      </w:r>
      <w:r w:rsidR="00403B89">
        <w:rPr>
          <w:rFonts w:ascii="Times New Roman" w:hAnsi="Times New Roman" w:cs="Times New Roman"/>
        </w:rPr>
        <w:t>is a snapshot of</w:t>
      </w:r>
      <w:r w:rsidRPr="003C2AF4">
        <w:rPr>
          <w:rFonts w:ascii="Times New Roman" w:hAnsi="Times New Roman" w:cs="Times New Roman"/>
        </w:rPr>
        <w:t xml:space="preserve"> the status of communications services in </w:t>
      </w:r>
      <w:r w:rsidRPr="003C2AF4" w:rsidR="000243A3">
        <w:rPr>
          <w:rFonts w:ascii="Times New Roman" w:hAnsi="Times New Roman" w:cs="Times New Roman"/>
        </w:rPr>
        <w:t>Texas and Oklahoma</w:t>
      </w:r>
      <w:r w:rsidR="00DD1113">
        <w:rPr>
          <w:rFonts w:ascii="Times New Roman" w:hAnsi="Times New Roman" w:cs="Times New Roman"/>
        </w:rPr>
        <w:t xml:space="preserve">. </w:t>
      </w:r>
      <w:r w:rsidRPr="003C2AF4" w:rsidR="000243A3">
        <w:rPr>
          <w:rFonts w:ascii="Times New Roman" w:hAnsi="Times New Roman" w:cs="Times New Roman"/>
        </w:rPr>
        <w:t xml:space="preserve"> </w:t>
      </w:r>
      <w:r w:rsidRPr="003C2AF4">
        <w:rPr>
          <w:rFonts w:ascii="Times New Roman" w:hAnsi="Times New Roman" w:cs="Times New Roman"/>
        </w:rPr>
        <w:t xml:space="preserve">This report incorporates network outage data submitted by communications providers to the </w:t>
      </w:r>
      <w:r w:rsidR="00403B89">
        <w:rPr>
          <w:rFonts w:ascii="Times New Roman" w:hAnsi="Times New Roman" w:cs="Times New Roman"/>
        </w:rPr>
        <w:t>FCC’s</w:t>
      </w:r>
      <w:r w:rsidRPr="003C2AF4">
        <w:rPr>
          <w:rFonts w:ascii="Times New Roman" w:hAnsi="Times New Roman" w:cs="Times New Roman"/>
        </w:rPr>
        <w:t xml:space="preserve"> </w:t>
      </w:r>
      <w:r w:rsidRPr="003C2AF4" w:rsidR="000243A3">
        <w:rPr>
          <w:rFonts w:ascii="Times New Roman" w:hAnsi="Times New Roman" w:cs="Times New Roman"/>
        </w:rPr>
        <w:t>Network Outage</w:t>
      </w:r>
      <w:r w:rsidRPr="003C2AF4">
        <w:rPr>
          <w:rFonts w:ascii="Times New Roman" w:hAnsi="Times New Roman" w:cs="Times New Roman"/>
        </w:rPr>
        <w:t xml:space="preserve"> Reporting System (</w:t>
      </w:r>
      <w:r w:rsidRPr="003C2AF4" w:rsidR="000243A3">
        <w:rPr>
          <w:rFonts w:ascii="Times New Roman" w:hAnsi="Times New Roman" w:cs="Times New Roman"/>
        </w:rPr>
        <w:t>NORS</w:t>
      </w:r>
      <w:r w:rsidRPr="003C2AF4">
        <w:rPr>
          <w:rFonts w:ascii="Times New Roman" w:hAnsi="Times New Roman" w:cs="Times New Roman"/>
        </w:rPr>
        <w:t>). Note that the operational status of communications services during a disaster may evolve rapidl</w:t>
      </w:r>
      <w:r w:rsidRPr="005D68FB">
        <w:rPr>
          <w:rFonts w:ascii="Times New Roman" w:eastAsia="Times New Roman" w:hAnsi="Times New Roman" w:cs="Times New Roman"/>
        </w:rPr>
        <w:t xml:space="preserve">y. </w:t>
      </w:r>
      <w:r w:rsidRPr="005D68FB" w:rsidR="6E2FF6A2">
        <w:rPr>
          <w:rFonts w:ascii="Times New Roman" w:eastAsia="Times New Roman" w:hAnsi="Times New Roman" w:cs="Times New Roman"/>
        </w:rPr>
        <w:t>The FCC will continue to monitor the situation and work with government partners to support restoration efforts.</w:t>
      </w:r>
    </w:p>
    <w:p w:rsidR="00EC6554" w:rsidRPr="003C2AF4" w:rsidP="00213EC7" w14:paraId="75548BE4" w14:textId="77777777">
      <w:pPr>
        <w:pStyle w:val="NormalWeb"/>
        <w:rPr>
          <w:rFonts w:ascii="Times New Roman" w:hAnsi="Times New Roman" w:cs="Times New Roman"/>
        </w:rPr>
      </w:pPr>
    </w:p>
    <w:p w:rsidR="00CC1CA1" w:rsidP="00055884" w14:paraId="1BFE2DF7" w14:textId="7B07F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 of </w:t>
      </w:r>
      <w:r w:rsidR="00EC79BB">
        <w:rPr>
          <w:rFonts w:ascii="Times New Roman" w:eastAsia="Times New Roman" w:hAnsi="Times New Roman" w:cs="Times New Roman"/>
          <w:sz w:val="24"/>
          <w:szCs w:val="24"/>
          <w:lang w:eastAsia="zh-CN"/>
        </w:rPr>
        <w:t>February 18, 2021,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at 9:30 AM EST</w:t>
      </w:r>
      <w:r w:rsidRPr="0019129F" w:rsidR="0019129F">
        <w:rPr>
          <w:rFonts w:ascii="Times New Roman" w:eastAsia="Times New Roman" w:hAnsi="Times New Roman" w:cs="Times New Roman"/>
          <w:sz w:val="24"/>
          <w:szCs w:val="24"/>
          <w:lang w:eastAsia="zh-CN"/>
        </w:rPr>
        <w:t>, the FCC ha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19129F" w:rsidR="001912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received the following reports about the storm:</w:t>
      </w:r>
    </w:p>
    <w:p w:rsidR="00055884" w:rsidRPr="00055884" w:rsidP="00055884" w14:paraId="35AE849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40" w:type="dxa"/>
        <w:jc w:val="center"/>
        <w:tblCellMar>
          <w:left w:w="0" w:type="dxa"/>
          <w:right w:w="0" w:type="dxa"/>
        </w:tblCellMar>
        <w:tblLook w:val="04A0"/>
      </w:tblPr>
      <w:tblGrid>
        <w:gridCol w:w="1610"/>
        <w:gridCol w:w="1616"/>
        <w:gridCol w:w="1621"/>
        <w:gridCol w:w="1575"/>
        <w:gridCol w:w="1513"/>
        <w:gridCol w:w="1405"/>
      </w:tblGrid>
      <w:tr w14:paraId="410208F0" w14:textId="77777777" w:rsidTr="00953A9F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817"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7E5F27D7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23886914" w14:textId="539B51DF">
            <w:pPr>
              <w:pStyle w:val="xxxxxxxmsonormal"/>
              <w:jc w:val="center"/>
              <w:rPr>
                <w:b/>
                <w:color w:val="000000" w:themeColor="text1"/>
              </w:rPr>
            </w:pPr>
            <w:r w:rsidRPr="134ACBDE">
              <w:rPr>
                <w:b/>
                <w:bCs/>
                <w:color w:val="000000" w:themeColor="text1"/>
              </w:rPr>
              <w:t>Number</w:t>
            </w:r>
            <w:r w:rsidRPr="72E3D7C5">
              <w:rPr>
                <w:b/>
                <w:bCs/>
                <w:color w:val="000000" w:themeColor="text1"/>
              </w:rPr>
              <w:t xml:space="preserve"> of</w:t>
            </w:r>
            <w:r w:rsidRPr="72E3D7C5" w:rsidR="11AEFB7D">
              <w:rPr>
                <w:b/>
                <w:bCs/>
                <w:color w:val="000000" w:themeColor="text1"/>
              </w:rPr>
              <w:t xml:space="preserve"> Outage</w:t>
            </w:r>
            <w:r w:rsidRPr="72E3D7C5" w:rsidR="632D3B08">
              <w:rPr>
                <w:b/>
                <w:bCs/>
                <w:color w:val="000000" w:themeColor="text1"/>
              </w:rPr>
              <w:t xml:space="preserve"> </w:t>
            </w:r>
            <w:r w:rsidRPr="134ACBDE" w:rsidR="632D3B08">
              <w:rPr>
                <w:b/>
                <w:bCs/>
                <w:color w:val="000000" w:themeColor="text1"/>
              </w:rPr>
              <w:t>Reports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4333F56A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Wireless Users Affected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3B5AB27C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Wireline Users Affected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217E03C2" w14:textId="78E19E1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VoIP Users Affected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7A62F29A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OC3 Affected</w:t>
            </w:r>
          </w:p>
        </w:tc>
      </w:tr>
      <w:tr w14:paraId="296DC59B" w14:textId="77777777" w:rsidTr="00E41F05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14:paraId="061DB6EF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OKLAHOMA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3CFF96D6" w14:textId="386A5250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344A696F" w14:textId="61E49C6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24,172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25BB8B10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26D2A015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954131A" w14:textId="1A51175A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14:paraId="270D72A0" w14:textId="77777777" w:rsidTr="00E41F05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14:paraId="15090E94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TEXAS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1780FA2B" w14:textId="33F99BCE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4A09F227" w14:textId="09DB0BF3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369</w:t>
            </w:r>
            <w:r w:rsidR="00C221EA">
              <w:rPr>
                <w:b/>
                <w:bCs/>
                <w:color w:val="000000"/>
              </w:rPr>
              <w:t>,918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A9B9449" w14:textId="3366222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34,868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3D94B7B8" w14:textId="7038E079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721,</w:t>
            </w:r>
            <w:r w:rsidR="00193DD7">
              <w:rPr>
                <w:b/>
                <w:bCs/>
                <w:color w:val="000000"/>
              </w:rPr>
              <w:t>873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0D58E9C9" w14:textId="51086589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11,227</w:t>
            </w:r>
          </w:p>
        </w:tc>
      </w:tr>
      <w:tr w14:paraId="234EBE14" w14:textId="77777777" w:rsidTr="00953A9F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14:paraId="0C9CC831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5B8ACFB" w14:textId="4A2C220B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48D10754" w14:textId="1A22E1B5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394,</w:t>
            </w:r>
            <w:r w:rsidR="00DC2753">
              <w:rPr>
                <w:b/>
                <w:bCs/>
                <w:color w:val="000000"/>
              </w:rPr>
              <w:t>090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1612FBF5" w14:textId="47398AD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35,138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158A2B1" w14:textId="0590026C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721,873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38B4" w:rsidP="006615FE" w14:paraId="70666572" w14:textId="00B99213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11,234</w:t>
            </w:r>
          </w:p>
        </w:tc>
      </w:tr>
    </w:tbl>
    <w:p w:rsidR="00D25EBF" w:rsidP="019E02B2" w14:paraId="79E24EE6" w14:textId="77777777">
      <w:pPr>
        <w:pStyle w:val="xxxxmsolistparagraph"/>
        <w:spacing w:before="0" w:beforeAutospacing="0" w:after="160" w:afterAutospacing="0" w:line="259" w:lineRule="auto"/>
      </w:pPr>
    </w:p>
    <w:p w:rsidR="00D25EBF" w:rsidP="001E23D4" w14:paraId="0395BB7F" w14:textId="63FCDE6F">
      <w:pPr>
        <w:pStyle w:val="xxxxmsolistparagraph"/>
        <w:spacing w:before="0" w:beforeAutospacing="0" w:after="160" w:afterAutospacing="0" w:line="259" w:lineRule="auto"/>
      </w:pPr>
      <w:r>
        <w:t xml:space="preserve"> </w:t>
      </w: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1B5708F5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2A4C785E" w14:textId="694F87B0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471EB06F" w14:textId="4940D230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2B690220" w14:textId="798F0E7F">
          <w:pPr>
            <w:pStyle w:val="Header"/>
            <w:ind w:right="-115"/>
            <w:jc w:val="right"/>
          </w:pPr>
        </w:p>
      </w:tc>
    </w:tr>
  </w:tbl>
  <w:p w:rsidR="00EE5662" w14:paraId="53E6435D" w14:textId="43ADEE2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049287B1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5B02850C" w14:textId="1C402888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0F40DF00" w14:textId="7A2B5D33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54C575BB" w14:textId="495AECDC">
          <w:pPr>
            <w:pStyle w:val="Header"/>
            <w:ind w:right="-115"/>
            <w:jc w:val="right"/>
          </w:pPr>
        </w:p>
      </w:tc>
    </w:tr>
  </w:tbl>
  <w:p w:rsidR="00EE5662" w14:paraId="12F88FE3" w14:textId="7EE00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616B8"/>
    <w:multiLevelType w:val="hybridMultilevel"/>
    <w:tmpl w:val="9A367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D0CA1"/>
    <w:multiLevelType w:val="multilevel"/>
    <w:tmpl w:val="65B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69"/>
    <w:rsid w:val="0001425E"/>
    <w:rsid w:val="000243A3"/>
    <w:rsid w:val="0003044A"/>
    <w:rsid w:val="00030C77"/>
    <w:rsid w:val="00032F93"/>
    <w:rsid w:val="00041F3F"/>
    <w:rsid w:val="00055884"/>
    <w:rsid w:val="000607C5"/>
    <w:rsid w:val="00066D79"/>
    <w:rsid w:val="00067703"/>
    <w:rsid w:val="00090E8D"/>
    <w:rsid w:val="000B08CF"/>
    <w:rsid w:val="000B5F89"/>
    <w:rsid w:val="000C023F"/>
    <w:rsid w:val="000C52B0"/>
    <w:rsid w:val="000D2F4F"/>
    <w:rsid w:val="000D55AA"/>
    <w:rsid w:val="000D5E14"/>
    <w:rsid w:val="000D7437"/>
    <w:rsid w:val="000E288D"/>
    <w:rsid w:val="000E7C27"/>
    <w:rsid w:val="000F3758"/>
    <w:rsid w:val="000F6AFF"/>
    <w:rsid w:val="00104574"/>
    <w:rsid w:val="00111744"/>
    <w:rsid w:val="00113039"/>
    <w:rsid w:val="00113BEA"/>
    <w:rsid w:val="00117EEA"/>
    <w:rsid w:val="0012480D"/>
    <w:rsid w:val="00143BF9"/>
    <w:rsid w:val="00146CDB"/>
    <w:rsid w:val="0014702F"/>
    <w:rsid w:val="001544CD"/>
    <w:rsid w:val="0015451C"/>
    <w:rsid w:val="001608D4"/>
    <w:rsid w:val="00182D2A"/>
    <w:rsid w:val="0018788E"/>
    <w:rsid w:val="0019129F"/>
    <w:rsid w:val="00193DD7"/>
    <w:rsid w:val="001A263F"/>
    <w:rsid w:val="001A4901"/>
    <w:rsid w:val="001B6702"/>
    <w:rsid w:val="001C304F"/>
    <w:rsid w:val="001C6EE9"/>
    <w:rsid w:val="001D3811"/>
    <w:rsid w:val="001E23D4"/>
    <w:rsid w:val="001F5CA6"/>
    <w:rsid w:val="001F769C"/>
    <w:rsid w:val="00203E7D"/>
    <w:rsid w:val="00213EC7"/>
    <w:rsid w:val="00221394"/>
    <w:rsid w:val="00222DC8"/>
    <w:rsid w:val="00223725"/>
    <w:rsid w:val="00231F25"/>
    <w:rsid w:val="002476DD"/>
    <w:rsid w:val="0025613F"/>
    <w:rsid w:val="00256DA9"/>
    <w:rsid w:val="002712D7"/>
    <w:rsid w:val="00281151"/>
    <w:rsid w:val="00281D37"/>
    <w:rsid w:val="00287B56"/>
    <w:rsid w:val="00292B5D"/>
    <w:rsid w:val="002A43DA"/>
    <w:rsid w:val="002B6A2D"/>
    <w:rsid w:val="002B6B11"/>
    <w:rsid w:val="002C4A9D"/>
    <w:rsid w:val="002D7BAE"/>
    <w:rsid w:val="002E4AE9"/>
    <w:rsid w:val="002F66AE"/>
    <w:rsid w:val="0030051E"/>
    <w:rsid w:val="00303A74"/>
    <w:rsid w:val="00305864"/>
    <w:rsid w:val="00306725"/>
    <w:rsid w:val="00306EF6"/>
    <w:rsid w:val="00310081"/>
    <w:rsid w:val="00313447"/>
    <w:rsid w:val="003178DF"/>
    <w:rsid w:val="003236B9"/>
    <w:rsid w:val="00326866"/>
    <w:rsid w:val="003322C1"/>
    <w:rsid w:val="0033457A"/>
    <w:rsid w:val="00350B72"/>
    <w:rsid w:val="00353378"/>
    <w:rsid w:val="00363265"/>
    <w:rsid w:val="00366575"/>
    <w:rsid w:val="0037742F"/>
    <w:rsid w:val="00391165"/>
    <w:rsid w:val="003938B4"/>
    <w:rsid w:val="003A0210"/>
    <w:rsid w:val="003B3D1E"/>
    <w:rsid w:val="003B761F"/>
    <w:rsid w:val="003C2AF4"/>
    <w:rsid w:val="003C6C1C"/>
    <w:rsid w:val="003D4525"/>
    <w:rsid w:val="003F4260"/>
    <w:rsid w:val="003F7903"/>
    <w:rsid w:val="00400852"/>
    <w:rsid w:val="00403B89"/>
    <w:rsid w:val="00413209"/>
    <w:rsid w:val="00415252"/>
    <w:rsid w:val="0041684C"/>
    <w:rsid w:val="004203B6"/>
    <w:rsid w:val="00421429"/>
    <w:rsid w:val="004262B1"/>
    <w:rsid w:val="00430EB3"/>
    <w:rsid w:val="00435A19"/>
    <w:rsid w:val="00437FA7"/>
    <w:rsid w:val="004432D2"/>
    <w:rsid w:val="0044761A"/>
    <w:rsid w:val="00460630"/>
    <w:rsid w:val="00461398"/>
    <w:rsid w:val="00467070"/>
    <w:rsid w:val="00472C4F"/>
    <w:rsid w:val="00474292"/>
    <w:rsid w:val="00481786"/>
    <w:rsid w:val="00486AA9"/>
    <w:rsid w:val="0048790C"/>
    <w:rsid w:val="00495C78"/>
    <w:rsid w:val="0049672A"/>
    <w:rsid w:val="004A1321"/>
    <w:rsid w:val="004A1711"/>
    <w:rsid w:val="004A3204"/>
    <w:rsid w:val="004B2BB2"/>
    <w:rsid w:val="004B4BDE"/>
    <w:rsid w:val="004B4C3D"/>
    <w:rsid w:val="004C40B1"/>
    <w:rsid w:val="004C6245"/>
    <w:rsid w:val="004D4574"/>
    <w:rsid w:val="004E6598"/>
    <w:rsid w:val="004E7B8C"/>
    <w:rsid w:val="004F55A1"/>
    <w:rsid w:val="004F619E"/>
    <w:rsid w:val="00500583"/>
    <w:rsid w:val="00500CE0"/>
    <w:rsid w:val="00502B23"/>
    <w:rsid w:val="005030F7"/>
    <w:rsid w:val="0050577C"/>
    <w:rsid w:val="00506F90"/>
    <w:rsid w:val="00511D68"/>
    <w:rsid w:val="00513F07"/>
    <w:rsid w:val="00515565"/>
    <w:rsid w:val="00522E37"/>
    <w:rsid w:val="00530570"/>
    <w:rsid w:val="00532758"/>
    <w:rsid w:val="00537C66"/>
    <w:rsid w:val="00541F8E"/>
    <w:rsid w:val="005549D6"/>
    <w:rsid w:val="00562040"/>
    <w:rsid w:val="00565684"/>
    <w:rsid w:val="00567F69"/>
    <w:rsid w:val="00571FB4"/>
    <w:rsid w:val="00574C9A"/>
    <w:rsid w:val="00584273"/>
    <w:rsid w:val="00587AF9"/>
    <w:rsid w:val="0059182E"/>
    <w:rsid w:val="005A3BB4"/>
    <w:rsid w:val="005A4DDE"/>
    <w:rsid w:val="005B10A4"/>
    <w:rsid w:val="005B54C7"/>
    <w:rsid w:val="005B6980"/>
    <w:rsid w:val="005C4C60"/>
    <w:rsid w:val="005D17EA"/>
    <w:rsid w:val="005D242B"/>
    <w:rsid w:val="005D68FB"/>
    <w:rsid w:val="005E0580"/>
    <w:rsid w:val="005E2E9D"/>
    <w:rsid w:val="005E73A9"/>
    <w:rsid w:val="0060270F"/>
    <w:rsid w:val="00614997"/>
    <w:rsid w:val="006178EF"/>
    <w:rsid w:val="00622965"/>
    <w:rsid w:val="006465CC"/>
    <w:rsid w:val="00657C85"/>
    <w:rsid w:val="006615FE"/>
    <w:rsid w:val="00664E0F"/>
    <w:rsid w:val="006661F8"/>
    <w:rsid w:val="0067257F"/>
    <w:rsid w:val="006776A1"/>
    <w:rsid w:val="0068167C"/>
    <w:rsid w:val="006B05F8"/>
    <w:rsid w:val="006B1227"/>
    <w:rsid w:val="006B2C04"/>
    <w:rsid w:val="006B62F2"/>
    <w:rsid w:val="006B760A"/>
    <w:rsid w:val="006C7867"/>
    <w:rsid w:val="006D74F7"/>
    <w:rsid w:val="006F34BD"/>
    <w:rsid w:val="00701297"/>
    <w:rsid w:val="007051F0"/>
    <w:rsid w:val="00713D2A"/>
    <w:rsid w:val="007144A6"/>
    <w:rsid w:val="00725999"/>
    <w:rsid w:val="007352EB"/>
    <w:rsid w:val="00735DEC"/>
    <w:rsid w:val="00736199"/>
    <w:rsid w:val="00744C20"/>
    <w:rsid w:val="00747527"/>
    <w:rsid w:val="007523CE"/>
    <w:rsid w:val="00760AB1"/>
    <w:rsid w:val="007630AB"/>
    <w:rsid w:val="00773DB7"/>
    <w:rsid w:val="00774467"/>
    <w:rsid w:val="0078037A"/>
    <w:rsid w:val="00794A94"/>
    <w:rsid w:val="007A4983"/>
    <w:rsid w:val="007A72A0"/>
    <w:rsid w:val="007B4BEF"/>
    <w:rsid w:val="007C4916"/>
    <w:rsid w:val="007C588C"/>
    <w:rsid w:val="007D3F99"/>
    <w:rsid w:val="007E111A"/>
    <w:rsid w:val="007E3314"/>
    <w:rsid w:val="007E62B0"/>
    <w:rsid w:val="007F1AF3"/>
    <w:rsid w:val="00805998"/>
    <w:rsid w:val="0080673E"/>
    <w:rsid w:val="00814D73"/>
    <w:rsid w:val="00820491"/>
    <w:rsid w:val="00820B61"/>
    <w:rsid w:val="00822C7A"/>
    <w:rsid w:val="00827F57"/>
    <w:rsid w:val="00855B3B"/>
    <w:rsid w:val="00860D33"/>
    <w:rsid w:val="00862F2D"/>
    <w:rsid w:val="00864D21"/>
    <w:rsid w:val="008726A8"/>
    <w:rsid w:val="00877AF7"/>
    <w:rsid w:val="00885742"/>
    <w:rsid w:val="00885E9A"/>
    <w:rsid w:val="00890DED"/>
    <w:rsid w:val="008A184D"/>
    <w:rsid w:val="008A5C05"/>
    <w:rsid w:val="008C6CF5"/>
    <w:rsid w:val="008E15AC"/>
    <w:rsid w:val="008E613E"/>
    <w:rsid w:val="008F3BCB"/>
    <w:rsid w:val="008F5A66"/>
    <w:rsid w:val="00921AD5"/>
    <w:rsid w:val="00935163"/>
    <w:rsid w:val="0094220B"/>
    <w:rsid w:val="00944A2B"/>
    <w:rsid w:val="00951C7D"/>
    <w:rsid w:val="00952546"/>
    <w:rsid w:val="009529E3"/>
    <w:rsid w:val="00953A9F"/>
    <w:rsid w:val="009574C9"/>
    <w:rsid w:val="00972D08"/>
    <w:rsid w:val="00980A4B"/>
    <w:rsid w:val="00980DE8"/>
    <w:rsid w:val="009843FE"/>
    <w:rsid w:val="00991B13"/>
    <w:rsid w:val="00992893"/>
    <w:rsid w:val="00992E46"/>
    <w:rsid w:val="00995C33"/>
    <w:rsid w:val="009A1CF9"/>
    <w:rsid w:val="009B3FD2"/>
    <w:rsid w:val="009B756F"/>
    <w:rsid w:val="009D1D37"/>
    <w:rsid w:val="009D7FAC"/>
    <w:rsid w:val="009E1BC5"/>
    <w:rsid w:val="009E1E97"/>
    <w:rsid w:val="009E48F3"/>
    <w:rsid w:val="009E49D5"/>
    <w:rsid w:val="009F15CD"/>
    <w:rsid w:val="00A22EFB"/>
    <w:rsid w:val="00A259D3"/>
    <w:rsid w:val="00A31DB4"/>
    <w:rsid w:val="00A32F84"/>
    <w:rsid w:val="00A33692"/>
    <w:rsid w:val="00A34E67"/>
    <w:rsid w:val="00A40B28"/>
    <w:rsid w:val="00A4400C"/>
    <w:rsid w:val="00A5526A"/>
    <w:rsid w:val="00A55A36"/>
    <w:rsid w:val="00A665C5"/>
    <w:rsid w:val="00A6AE59"/>
    <w:rsid w:val="00A85107"/>
    <w:rsid w:val="00A961D6"/>
    <w:rsid w:val="00AA741B"/>
    <w:rsid w:val="00AB73FE"/>
    <w:rsid w:val="00AD0751"/>
    <w:rsid w:val="00AD6140"/>
    <w:rsid w:val="00AE554D"/>
    <w:rsid w:val="00AF0761"/>
    <w:rsid w:val="00AF6E47"/>
    <w:rsid w:val="00B017C5"/>
    <w:rsid w:val="00B02740"/>
    <w:rsid w:val="00B03F08"/>
    <w:rsid w:val="00B05C32"/>
    <w:rsid w:val="00B10967"/>
    <w:rsid w:val="00B470BB"/>
    <w:rsid w:val="00B50E2F"/>
    <w:rsid w:val="00B56D37"/>
    <w:rsid w:val="00B726D6"/>
    <w:rsid w:val="00B75FCF"/>
    <w:rsid w:val="00B859FF"/>
    <w:rsid w:val="00B92B5D"/>
    <w:rsid w:val="00B954A7"/>
    <w:rsid w:val="00B96A1C"/>
    <w:rsid w:val="00BA03FD"/>
    <w:rsid w:val="00BA4EFD"/>
    <w:rsid w:val="00BA73C5"/>
    <w:rsid w:val="00BB109A"/>
    <w:rsid w:val="00BB377F"/>
    <w:rsid w:val="00BB3C28"/>
    <w:rsid w:val="00BB6E22"/>
    <w:rsid w:val="00BC0A70"/>
    <w:rsid w:val="00BF0F94"/>
    <w:rsid w:val="00BF3600"/>
    <w:rsid w:val="00C0669D"/>
    <w:rsid w:val="00C13C98"/>
    <w:rsid w:val="00C15F2B"/>
    <w:rsid w:val="00C21D5C"/>
    <w:rsid w:val="00C221EA"/>
    <w:rsid w:val="00C236AC"/>
    <w:rsid w:val="00C23B10"/>
    <w:rsid w:val="00C35BF0"/>
    <w:rsid w:val="00C37AF1"/>
    <w:rsid w:val="00C574EE"/>
    <w:rsid w:val="00C6144E"/>
    <w:rsid w:val="00C61A4F"/>
    <w:rsid w:val="00C84C2D"/>
    <w:rsid w:val="00C85869"/>
    <w:rsid w:val="00C963EB"/>
    <w:rsid w:val="00CC1CA1"/>
    <w:rsid w:val="00CD2941"/>
    <w:rsid w:val="00CD75C5"/>
    <w:rsid w:val="00CE3020"/>
    <w:rsid w:val="00CE556E"/>
    <w:rsid w:val="00CE5905"/>
    <w:rsid w:val="00CE687D"/>
    <w:rsid w:val="00D01FF7"/>
    <w:rsid w:val="00D11D7F"/>
    <w:rsid w:val="00D13F09"/>
    <w:rsid w:val="00D14D9E"/>
    <w:rsid w:val="00D16D1F"/>
    <w:rsid w:val="00D200EB"/>
    <w:rsid w:val="00D23E7E"/>
    <w:rsid w:val="00D24569"/>
    <w:rsid w:val="00D24DDD"/>
    <w:rsid w:val="00D25EBF"/>
    <w:rsid w:val="00D272E4"/>
    <w:rsid w:val="00D27D8E"/>
    <w:rsid w:val="00D307EE"/>
    <w:rsid w:val="00D32AFC"/>
    <w:rsid w:val="00D33C80"/>
    <w:rsid w:val="00D33ECC"/>
    <w:rsid w:val="00D44C5E"/>
    <w:rsid w:val="00D47A3C"/>
    <w:rsid w:val="00D5518E"/>
    <w:rsid w:val="00D65D8E"/>
    <w:rsid w:val="00D67215"/>
    <w:rsid w:val="00D7332E"/>
    <w:rsid w:val="00D75088"/>
    <w:rsid w:val="00D829BF"/>
    <w:rsid w:val="00D83C81"/>
    <w:rsid w:val="00D870E3"/>
    <w:rsid w:val="00D91769"/>
    <w:rsid w:val="00DB13D9"/>
    <w:rsid w:val="00DC2753"/>
    <w:rsid w:val="00DD1113"/>
    <w:rsid w:val="00DD4DEE"/>
    <w:rsid w:val="00DD5396"/>
    <w:rsid w:val="00DE69B0"/>
    <w:rsid w:val="00DF052A"/>
    <w:rsid w:val="00E10313"/>
    <w:rsid w:val="00E11C0D"/>
    <w:rsid w:val="00E13794"/>
    <w:rsid w:val="00E138FF"/>
    <w:rsid w:val="00E13941"/>
    <w:rsid w:val="00E21986"/>
    <w:rsid w:val="00E30AE7"/>
    <w:rsid w:val="00E368C4"/>
    <w:rsid w:val="00E41F05"/>
    <w:rsid w:val="00E5675F"/>
    <w:rsid w:val="00E60FBE"/>
    <w:rsid w:val="00E720BF"/>
    <w:rsid w:val="00E76A1B"/>
    <w:rsid w:val="00E8565F"/>
    <w:rsid w:val="00E86B40"/>
    <w:rsid w:val="00E93A50"/>
    <w:rsid w:val="00EA257D"/>
    <w:rsid w:val="00EA4062"/>
    <w:rsid w:val="00EA733C"/>
    <w:rsid w:val="00EB381E"/>
    <w:rsid w:val="00EC5C79"/>
    <w:rsid w:val="00EC6554"/>
    <w:rsid w:val="00EC79BB"/>
    <w:rsid w:val="00EE5662"/>
    <w:rsid w:val="00EF2947"/>
    <w:rsid w:val="00EF3632"/>
    <w:rsid w:val="00EF42F0"/>
    <w:rsid w:val="00F00C89"/>
    <w:rsid w:val="00F07AD6"/>
    <w:rsid w:val="00F16B01"/>
    <w:rsid w:val="00F21FE0"/>
    <w:rsid w:val="00F22502"/>
    <w:rsid w:val="00F23D73"/>
    <w:rsid w:val="00F256C1"/>
    <w:rsid w:val="00F27689"/>
    <w:rsid w:val="00F35EA7"/>
    <w:rsid w:val="00F43722"/>
    <w:rsid w:val="00F44094"/>
    <w:rsid w:val="00F445DB"/>
    <w:rsid w:val="00F46B7F"/>
    <w:rsid w:val="00F52E34"/>
    <w:rsid w:val="00F67DCE"/>
    <w:rsid w:val="00F746F9"/>
    <w:rsid w:val="00F7743D"/>
    <w:rsid w:val="00F77F1A"/>
    <w:rsid w:val="00F82C8F"/>
    <w:rsid w:val="00F91863"/>
    <w:rsid w:val="00FB0F1F"/>
    <w:rsid w:val="00FB7833"/>
    <w:rsid w:val="00FC023C"/>
    <w:rsid w:val="00FC0E89"/>
    <w:rsid w:val="00FC25BE"/>
    <w:rsid w:val="00FC484F"/>
    <w:rsid w:val="00FC51EA"/>
    <w:rsid w:val="00FF0CAF"/>
    <w:rsid w:val="00FF7916"/>
    <w:rsid w:val="00FF7BA6"/>
    <w:rsid w:val="010E897A"/>
    <w:rsid w:val="01287236"/>
    <w:rsid w:val="015450BB"/>
    <w:rsid w:val="019E02B2"/>
    <w:rsid w:val="01A8DD51"/>
    <w:rsid w:val="01D90769"/>
    <w:rsid w:val="02A8DFA9"/>
    <w:rsid w:val="02F36B41"/>
    <w:rsid w:val="0314F3F2"/>
    <w:rsid w:val="035D50DC"/>
    <w:rsid w:val="03CDD2ED"/>
    <w:rsid w:val="051D3C19"/>
    <w:rsid w:val="0524051B"/>
    <w:rsid w:val="057BEB01"/>
    <w:rsid w:val="05F981A9"/>
    <w:rsid w:val="06218ACD"/>
    <w:rsid w:val="0636C1B3"/>
    <w:rsid w:val="0763EEEC"/>
    <w:rsid w:val="0793F15E"/>
    <w:rsid w:val="07A5675F"/>
    <w:rsid w:val="08555EA5"/>
    <w:rsid w:val="092E34CE"/>
    <w:rsid w:val="0B7745B6"/>
    <w:rsid w:val="0C061525"/>
    <w:rsid w:val="0C171E26"/>
    <w:rsid w:val="0C27C301"/>
    <w:rsid w:val="0C451F1E"/>
    <w:rsid w:val="0D2F9111"/>
    <w:rsid w:val="0E1C90CB"/>
    <w:rsid w:val="0E2917FF"/>
    <w:rsid w:val="0E894B0C"/>
    <w:rsid w:val="0F4151F2"/>
    <w:rsid w:val="0F6C4700"/>
    <w:rsid w:val="0F8E28AA"/>
    <w:rsid w:val="10AE8FBD"/>
    <w:rsid w:val="114B1249"/>
    <w:rsid w:val="1154318D"/>
    <w:rsid w:val="11AEFB7D"/>
    <w:rsid w:val="11F41753"/>
    <w:rsid w:val="12F75446"/>
    <w:rsid w:val="13210022"/>
    <w:rsid w:val="132CE8BC"/>
    <w:rsid w:val="134ACBDE"/>
    <w:rsid w:val="139AAC0A"/>
    <w:rsid w:val="1403BA14"/>
    <w:rsid w:val="140A4558"/>
    <w:rsid w:val="154F619E"/>
    <w:rsid w:val="1577FDA0"/>
    <w:rsid w:val="166D7323"/>
    <w:rsid w:val="16D79DA4"/>
    <w:rsid w:val="177C7B37"/>
    <w:rsid w:val="184D7BBD"/>
    <w:rsid w:val="195552BD"/>
    <w:rsid w:val="1A14054C"/>
    <w:rsid w:val="1AE91451"/>
    <w:rsid w:val="1B742B81"/>
    <w:rsid w:val="1BDFD639"/>
    <w:rsid w:val="1C2D5359"/>
    <w:rsid w:val="1CF881EA"/>
    <w:rsid w:val="1D588BFA"/>
    <w:rsid w:val="1D9002B9"/>
    <w:rsid w:val="1DB4966E"/>
    <w:rsid w:val="1DF5CCE1"/>
    <w:rsid w:val="1F2D1288"/>
    <w:rsid w:val="1F439AF9"/>
    <w:rsid w:val="1FAC6944"/>
    <w:rsid w:val="20100569"/>
    <w:rsid w:val="2204AFFD"/>
    <w:rsid w:val="230D6385"/>
    <w:rsid w:val="2340D23C"/>
    <w:rsid w:val="23719E9A"/>
    <w:rsid w:val="248F90F5"/>
    <w:rsid w:val="25349DED"/>
    <w:rsid w:val="253895DF"/>
    <w:rsid w:val="265F602B"/>
    <w:rsid w:val="266A6E90"/>
    <w:rsid w:val="267B7791"/>
    <w:rsid w:val="26A34A14"/>
    <w:rsid w:val="271C40E5"/>
    <w:rsid w:val="277B4A5C"/>
    <w:rsid w:val="2791BD35"/>
    <w:rsid w:val="283D23DD"/>
    <w:rsid w:val="285842D2"/>
    <w:rsid w:val="28C31406"/>
    <w:rsid w:val="2A6458C1"/>
    <w:rsid w:val="2A6838AF"/>
    <w:rsid w:val="2A724A4E"/>
    <w:rsid w:val="2ABA8B90"/>
    <w:rsid w:val="2B1D2037"/>
    <w:rsid w:val="2B7A5E15"/>
    <w:rsid w:val="2BB9E87A"/>
    <w:rsid w:val="2D7CC64F"/>
    <w:rsid w:val="2E04ABB9"/>
    <w:rsid w:val="2E22FE1A"/>
    <w:rsid w:val="2E552A45"/>
    <w:rsid w:val="2EB6F875"/>
    <w:rsid w:val="2F9FA7D9"/>
    <w:rsid w:val="2FDB5A74"/>
    <w:rsid w:val="2FF625A3"/>
    <w:rsid w:val="30AE3FF3"/>
    <w:rsid w:val="319EA1A8"/>
    <w:rsid w:val="31CE5F7C"/>
    <w:rsid w:val="32BD0E39"/>
    <w:rsid w:val="32EB9EBE"/>
    <w:rsid w:val="334FDC51"/>
    <w:rsid w:val="336FE464"/>
    <w:rsid w:val="33B7C88E"/>
    <w:rsid w:val="33F88224"/>
    <w:rsid w:val="344CFCC8"/>
    <w:rsid w:val="34BBE321"/>
    <w:rsid w:val="35A2C15B"/>
    <w:rsid w:val="35E5E701"/>
    <w:rsid w:val="3874F261"/>
    <w:rsid w:val="38920A5C"/>
    <w:rsid w:val="3A741D73"/>
    <w:rsid w:val="3B07DB15"/>
    <w:rsid w:val="3CB9060D"/>
    <w:rsid w:val="3D8D0B61"/>
    <w:rsid w:val="3DF35AB9"/>
    <w:rsid w:val="3DF99800"/>
    <w:rsid w:val="3E007DD4"/>
    <w:rsid w:val="3E3CBDEF"/>
    <w:rsid w:val="3F8DCB33"/>
    <w:rsid w:val="4074C4E9"/>
    <w:rsid w:val="40E44DD7"/>
    <w:rsid w:val="410349B9"/>
    <w:rsid w:val="41641A5B"/>
    <w:rsid w:val="41772BD0"/>
    <w:rsid w:val="417D048F"/>
    <w:rsid w:val="4190DA36"/>
    <w:rsid w:val="41AAB517"/>
    <w:rsid w:val="41CCA18D"/>
    <w:rsid w:val="4288DB82"/>
    <w:rsid w:val="4297646D"/>
    <w:rsid w:val="42FFEABC"/>
    <w:rsid w:val="4353F711"/>
    <w:rsid w:val="43EFE86C"/>
    <w:rsid w:val="445EB657"/>
    <w:rsid w:val="457EAC83"/>
    <w:rsid w:val="45D62364"/>
    <w:rsid w:val="46033469"/>
    <w:rsid w:val="466A1DCD"/>
    <w:rsid w:val="4692556E"/>
    <w:rsid w:val="46E2F165"/>
    <w:rsid w:val="47125D88"/>
    <w:rsid w:val="478E37BD"/>
    <w:rsid w:val="479BBB37"/>
    <w:rsid w:val="47C2EADC"/>
    <w:rsid w:val="481F48D8"/>
    <w:rsid w:val="481FCE7B"/>
    <w:rsid w:val="48373CA7"/>
    <w:rsid w:val="49B2EDE3"/>
    <w:rsid w:val="4A91BC17"/>
    <w:rsid w:val="4AB9775B"/>
    <w:rsid w:val="4BDC5AB4"/>
    <w:rsid w:val="4D15C361"/>
    <w:rsid w:val="4D35AFEA"/>
    <w:rsid w:val="4DF9E32E"/>
    <w:rsid w:val="4E34671F"/>
    <w:rsid w:val="4E95AD99"/>
    <w:rsid w:val="4F9A8A23"/>
    <w:rsid w:val="4FC54B05"/>
    <w:rsid w:val="506FB1B0"/>
    <w:rsid w:val="531D500C"/>
    <w:rsid w:val="532451B2"/>
    <w:rsid w:val="53A76C85"/>
    <w:rsid w:val="5475D19D"/>
    <w:rsid w:val="54CED082"/>
    <w:rsid w:val="55725A9F"/>
    <w:rsid w:val="55B8FF6B"/>
    <w:rsid w:val="55F84C6E"/>
    <w:rsid w:val="57964CA5"/>
    <w:rsid w:val="58DDB2DD"/>
    <w:rsid w:val="5AB3F6F5"/>
    <w:rsid w:val="5B26CC54"/>
    <w:rsid w:val="5BAEE12F"/>
    <w:rsid w:val="5D180D76"/>
    <w:rsid w:val="5D669374"/>
    <w:rsid w:val="5E3D39D8"/>
    <w:rsid w:val="5F2D242E"/>
    <w:rsid w:val="5F7BA00F"/>
    <w:rsid w:val="6017BBA6"/>
    <w:rsid w:val="605F97E6"/>
    <w:rsid w:val="610DA784"/>
    <w:rsid w:val="619DFF14"/>
    <w:rsid w:val="6314E091"/>
    <w:rsid w:val="632D3B08"/>
    <w:rsid w:val="6377E7D5"/>
    <w:rsid w:val="63A58C0A"/>
    <w:rsid w:val="64960B0A"/>
    <w:rsid w:val="6559D6E2"/>
    <w:rsid w:val="65909DC5"/>
    <w:rsid w:val="659A8389"/>
    <w:rsid w:val="659BE6F9"/>
    <w:rsid w:val="65CFCD9A"/>
    <w:rsid w:val="669E5CFB"/>
    <w:rsid w:val="67FE157A"/>
    <w:rsid w:val="68CC07C5"/>
    <w:rsid w:val="691F9A9A"/>
    <w:rsid w:val="69CD3C51"/>
    <w:rsid w:val="69E29B77"/>
    <w:rsid w:val="6A650B07"/>
    <w:rsid w:val="6B68142F"/>
    <w:rsid w:val="6B9F210C"/>
    <w:rsid w:val="6C2A2A7D"/>
    <w:rsid w:val="6DB081E9"/>
    <w:rsid w:val="6E0980CE"/>
    <w:rsid w:val="6E1066A2"/>
    <w:rsid w:val="6E2FF6A2"/>
    <w:rsid w:val="6EB27B20"/>
    <w:rsid w:val="6F540118"/>
    <w:rsid w:val="72E3D7C5"/>
    <w:rsid w:val="735F6283"/>
    <w:rsid w:val="74483C7E"/>
    <w:rsid w:val="7455629D"/>
    <w:rsid w:val="7459A5A8"/>
    <w:rsid w:val="76C0CB38"/>
    <w:rsid w:val="7780C26D"/>
    <w:rsid w:val="77A843B8"/>
    <w:rsid w:val="77BD6A68"/>
    <w:rsid w:val="77E687A4"/>
    <w:rsid w:val="78A01473"/>
    <w:rsid w:val="78AF4416"/>
    <w:rsid w:val="78CDE79E"/>
    <w:rsid w:val="793E1FCC"/>
    <w:rsid w:val="79EAAA06"/>
    <w:rsid w:val="7A9236B7"/>
    <w:rsid w:val="7AEDBA56"/>
    <w:rsid w:val="7B6F71F4"/>
    <w:rsid w:val="7BC01935"/>
    <w:rsid w:val="7DB5C562"/>
    <w:rsid w:val="7F691B0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749796-58AD-4A00-AFFD-D02CF20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D25EBF"/>
    <w:pPr>
      <w:spacing w:after="0" w:line="240" w:lineRule="auto"/>
    </w:pPr>
    <w:rPr>
      <w:rFonts w:ascii="Calibri" w:hAnsi="Calibri" w:cs="Calibri"/>
    </w:rPr>
  </w:style>
  <w:style w:type="paragraph" w:customStyle="1" w:styleId="xxxxmsolistparagraph">
    <w:name w:val="x_xxxmsolistparagraph"/>
    <w:basedOn w:val="Normal"/>
    <w:rsid w:val="00D25E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13EC7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F08"/>
    <w:rPr>
      <w:sz w:val="20"/>
      <w:szCs w:val="20"/>
    </w:rPr>
  </w:style>
  <w:style w:type="paragraph" w:customStyle="1" w:styleId="xmsonormal">
    <w:name w:val="x_msonormal"/>
    <w:basedOn w:val="Normal"/>
    <w:rsid w:val="00B03F08"/>
    <w:pPr>
      <w:spacing w:after="0" w:line="240" w:lineRule="auto"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03F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08"/>
  </w:style>
  <w:style w:type="paragraph" w:styleId="Footer">
    <w:name w:val="footer"/>
    <w:basedOn w:val="Normal"/>
    <w:link w:val="Foot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08"/>
  </w:style>
  <w:style w:type="table" w:styleId="TableGrid">
    <w:name w:val="Table Grid"/>
    <w:basedOn w:val="TableNormal"/>
    <w:uiPriority w:val="59"/>
    <w:rsid w:val="00EE5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C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A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2A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41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3938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