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530794D5" w14:textId="77777777" w:rsidTr="0B564C39">
        <w:tblPrEx>
          <w:tblW w:w="0" w:type="auto"/>
          <w:tblLook w:val="0000"/>
        </w:tblPrEx>
        <w:trPr>
          <w:trHeight w:val="2181"/>
        </w:trPr>
        <w:tc>
          <w:tcPr>
            <w:tcW w:w="8856" w:type="dxa"/>
          </w:tcPr>
          <w:p w:rsidR="00FF232D" w:rsidP="006A7D75" w14:paraId="65C9C5D2"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608527"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08B6FE7C" w14:textId="77777777">
            <w:pPr>
              <w:rPr>
                <w:b/>
                <w:bCs/>
                <w:sz w:val="12"/>
                <w:szCs w:val="12"/>
              </w:rPr>
            </w:pPr>
          </w:p>
          <w:p w:rsidR="007A44F8" w:rsidRPr="00D35F91" w:rsidP="00BB4E29" w14:paraId="6F4D8275" w14:textId="39053512">
            <w:pPr>
              <w:rPr>
                <w:b/>
                <w:bCs/>
                <w:sz w:val="22"/>
                <w:szCs w:val="22"/>
                <w:lang w:val="es-ES"/>
              </w:rPr>
            </w:pPr>
            <w:r w:rsidRPr="00D35F91">
              <w:rPr>
                <w:b/>
                <w:bCs/>
                <w:sz w:val="22"/>
                <w:szCs w:val="22"/>
                <w:lang w:val="es-ES"/>
              </w:rPr>
              <w:t xml:space="preserve">Media </w:t>
            </w:r>
            <w:r w:rsidR="00E41158">
              <w:rPr>
                <w:b/>
                <w:bCs/>
                <w:sz w:val="22"/>
                <w:szCs w:val="22"/>
                <w:lang w:val="es-ES"/>
              </w:rPr>
              <w:t>C</w:t>
            </w:r>
            <w:r w:rsidRPr="00D35F91">
              <w:rPr>
                <w:b/>
                <w:bCs/>
                <w:sz w:val="22"/>
                <w:szCs w:val="22"/>
                <w:lang w:val="es-ES"/>
              </w:rPr>
              <w:t>ontac</w:t>
            </w:r>
            <w:r w:rsidR="00E41158">
              <w:rPr>
                <w:b/>
                <w:bCs/>
                <w:sz w:val="22"/>
                <w:szCs w:val="22"/>
                <w:lang w:val="es-ES"/>
              </w:rPr>
              <w:t>t</w:t>
            </w:r>
            <w:r w:rsidR="00E41158">
              <w:rPr>
                <w:b/>
                <w:bCs/>
                <w:sz w:val="22"/>
                <w:szCs w:val="22"/>
                <w:lang w:val="es-ES"/>
              </w:rPr>
              <w:t xml:space="preserve">: </w:t>
            </w:r>
          </w:p>
          <w:p w:rsidR="00D35F91" w:rsidRPr="00D35F91" w:rsidP="00BB4E29" w14:paraId="00D6237A" w14:textId="064EC32E">
            <w:pPr>
              <w:rPr>
                <w:sz w:val="22"/>
                <w:szCs w:val="22"/>
              </w:rPr>
            </w:pPr>
            <w:r w:rsidRPr="03FEDFC5">
              <w:rPr>
                <w:sz w:val="22"/>
                <w:szCs w:val="22"/>
              </w:rPr>
              <w:t>Adam Cassady, (202) 418-2332</w:t>
            </w:r>
          </w:p>
          <w:p w:rsidR="00FF232D" w:rsidRPr="00D35F91" w:rsidP="03FEDFC5" w14:paraId="15A3C9C4" w14:textId="14538696">
            <w:pPr>
              <w:rPr>
                <w:sz w:val="22"/>
                <w:szCs w:val="22"/>
                <w:lang w:val="es-ES"/>
              </w:rPr>
            </w:pPr>
            <w:r w:rsidRPr="03FEDFC5">
              <w:rPr>
                <w:sz w:val="22"/>
                <w:szCs w:val="22"/>
              </w:rPr>
              <w:t>Adam.Cassady</w:t>
            </w:r>
            <w:r w:rsidRPr="03FEDFC5" w:rsidR="00D35F91">
              <w:rPr>
                <w:sz w:val="22"/>
                <w:szCs w:val="22"/>
              </w:rPr>
              <w:t>@fcc.gov</w:t>
            </w:r>
          </w:p>
          <w:p w:rsidR="007A44F8" w:rsidRPr="00123176" w:rsidP="44974A1D" w14:paraId="47802371" w14:textId="77777777">
            <w:pPr>
              <w:rPr>
                <w:sz w:val="22"/>
                <w:szCs w:val="22"/>
                <w:lang w:val="es-ES"/>
              </w:rPr>
            </w:pPr>
          </w:p>
          <w:p w:rsidR="007A44F8" w:rsidRPr="008A3940" w:rsidP="00BB4E29" w14:paraId="19DC8B95" w14:textId="77777777">
            <w:pPr>
              <w:rPr>
                <w:b/>
                <w:sz w:val="22"/>
                <w:szCs w:val="22"/>
              </w:rPr>
            </w:pPr>
            <w:r w:rsidRPr="008A3940">
              <w:rPr>
                <w:b/>
                <w:sz w:val="22"/>
                <w:szCs w:val="22"/>
              </w:rPr>
              <w:t>For Immediate Release</w:t>
            </w:r>
          </w:p>
          <w:p w:rsidR="007A44F8" w:rsidRPr="004A729A" w:rsidP="00BB4E29" w14:paraId="3CE38B53" w14:textId="77777777">
            <w:pPr>
              <w:jc w:val="center"/>
              <w:rPr>
                <w:b/>
                <w:bCs/>
                <w:sz w:val="22"/>
                <w:szCs w:val="22"/>
              </w:rPr>
            </w:pPr>
          </w:p>
          <w:p w:rsidR="00F61155" w:rsidP="44974A1D" w14:paraId="0064D1D6" w14:textId="5C67EBD2">
            <w:pPr>
              <w:tabs>
                <w:tab w:val="left" w:pos="8625"/>
              </w:tabs>
              <w:jc w:val="center"/>
              <w:rPr>
                <w:b/>
                <w:bCs/>
                <w:i/>
                <w:iCs/>
                <w:color w:val="F2F2F2" w:themeColor="background1" w:themeShade="F2"/>
                <w:sz w:val="22"/>
                <w:szCs w:val="22"/>
              </w:rPr>
            </w:pPr>
            <w:bookmarkStart w:id="0" w:name="_Hlk2002227"/>
            <w:r w:rsidRPr="44974A1D">
              <w:rPr>
                <w:b/>
                <w:bCs/>
                <w:sz w:val="22"/>
                <w:szCs w:val="22"/>
              </w:rPr>
              <w:t>COMMISSIONER</w:t>
            </w:r>
            <w:r w:rsidRPr="44974A1D" w:rsidR="00BB397B">
              <w:rPr>
                <w:b/>
                <w:bCs/>
                <w:sz w:val="22"/>
                <w:szCs w:val="22"/>
              </w:rPr>
              <w:t xml:space="preserve"> </w:t>
            </w:r>
            <w:r w:rsidRPr="44974A1D">
              <w:rPr>
                <w:b/>
                <w:bCs/>
                <w:sz w:val="22"/>
                <w:szCs w:val="22"/>
              </w:rPr>
              <w:t>SIMINGTON</w:t>
            </w:r>
            <w:r w:rsidRPr="44974A1D" w:rsidR="003202C8">
              <w:rPr>
                <w:b/>
                <w:bCs/>
                <w:sz w:val="22"/>
                <w:szCs w:val="22"/>
              </w:rPr>
              <w:t xml:space="preserve"> </w:t>
            </w:r>
            <w:r w:rsidR="00467CD6">
              <w:rPr>
                <w:b/>
                <w:bCs/>
                <w:sz w:val="22"/>
                <w:szCs w:val="22"/>
              </w:rPr>
              <w:t xml:space="preserve">RESPONDS TO HOUSE ENERGY AND COMMERCE COMMITTEE LETTER TO CABLE PROVIDERS </w:t>
            </w:r>
          </w:p>
          <w:p w:rsidR="00671283" w:rsidP="001C79C7" w14:paraId="36D2BAB0" w14:textId="77777777">
            <w:pPr>
              <w:tabs>
                <w:tab w:val="left" w:pos="8640"/>
              </w:tabs>
              <w:rPr>
                <w:sz w:val="22"/>
                <w:szCs w:val="22"/>
              </w:rPr>
            </w:pPr>
          </w:p>
          <w:p w:rsidR="002951C6" w:rsidP="00467CD6" w14:paraId="3B164817" w14:textId="06FDD512">
            <w:pPr>
              <w:tabs>
                <w:tab w:val="left" w:pos="8640"/>
              </w:tabs>
              <w:rPr>
                <w:sz w:val="22"/>
                <w:szCs w:val="22"/>
              </w:rPr>
            </w:pPr>
            <w:r w:rsidRPr="6DE6FE9A">
              <w:rPr>
                <w:sz w:val="22"/>
                <w:szCs w:val="22"/>
              </w:rPr>
              <w:t xml:space="preserve">WASHINGTON, </w:t>
            </w:r>
            <w:r w:rsidR="00467CD6">
              <w:rPr>
                <w:sz w:val="22"/>
                <w:szCs w:val="22"/>
              </w:rPr>
              <w:t>February</w:t>
            </w:r>
            <w:r w:rsidRPr="6DE6FE9A" w:rsidR="1D97C816">
              <w:rPr>
                <w:sz w:val="22"/>
                <w:szCs w:val="22"/>
              </w:rPr>
              <w:t xml:space="preserve"> 2</w:t>
            </w:r>
            <w:r w:rsidR="00467CD6">
              <w:rPr>
                <w:sz w:val="22"/>
                <w:szCs w:val="22"/>
              </w:rPr>
              <w:t>2</w:t>
            </w:r>
            <w:r w:rsidRPr="6DE6FE9A">
              <w:rPr>
                <w:sz w:val="22"/>
                <w:szCs w:val="22"/>
              </w:rPr>
              <w:t xml:space="preserve">, </w:t>
            </w:r>
            <w:r w:rsidRPr="6DE6FE9A" w:rsidR="00E71FCD">
              <w:rPr>
                <w:sz w:val="22"/>
                <w:szCs w:val="22"/>
              </w:rPr>
              <w:t>202</w:t>
            </w:r>
            <w:r w:rsidRPr="6DE6FE9A" w:rsidR="26D352FB">
              <w:rPr>
                <w:sz w:val="22"/>
                <w:szCs w:val="22"/>
              </w:rPr>
              <w:t>1</w:t>
            </w:r>
            <w:r w:rsidRPr="6DE6FE9A">
              <w:rPr>
                <w:sz w:val="22"/>
                <w:szCs w:val="22"/>
              </w:rPr>
              <w:t>—</w:t>
            </w:r>
            <w:r w:rsidR="00467CD6">
              <w:rPr>
                <w:sz w:val="22"/>
                <w:szCs w:val="22"/>
              </w:rPr>
              <w:t xml:space="preserve">Today, members of the House Energy and Commerce Committee sent letters to twelve cable, satellite, and online providers carrying certain media outlets. FCC Commissioner Nathan </w:t>
            </w:r>
            <w:r w:rsidR="00467CD6">
              <w:rPr>
                <w:sz w:val="22"/>
                <w:szCs w:val="22"/>
              </w:rPr>
              <w:t>Simington</w:t>
            </w:r>
            <w:r w:rsidR="00467CD6">
              <w:rPr>
                <w:sz w:val="22"/>
                <w:szCs w:val="22"/>
              </w:rPr>
              <w:t xml:space="preserve"> provided the following response:</w:t>
            </w:r>
          </w:p>
          <w:p w:rsidR="00467CD6" w:rsidP="00467CD6" w14:paraId="5DF6D5B5" w14:textId="61715725">
            <w:pPr>
              <w:tabs>
                <w:tab w:val="left" w:pos="8640"/>
              </w:tabs>
              <w:rPr>
                <w:sz w:val="22"/>
                <w:szCs w:val="22"/>
              </w:rPr>
            </w:pPr>
          </w:p>
          <w:p w:rsidR="00467CD6" w:rsidP="00467CD6" w14:paraId="542910D7" w14:textId="152670EC">
            <w:pPr>
              <w:tabs>
                <w:tab w:val="left" w:pos="8640"/>
              </w:tabs>
              <w:rPr>
                <w:sz w:val="22"/>
                <w:szCs w:val="22"/>
              </w:rPr>
            </w:pPr>
            <w:r>
              <w:rPr>
                <w:sz w:val="22"/>
                <w:szCs w:val="22"/>
              </w:rPr>
              <w:t>“It is worrying tha</w:t>
            </w:r>
            <w:r w:rsidR="006209F1">
              <w:rPr>
                <w:sz w:val="22"/>
                <w:szCs w:val="22"/>
              </w:rPr>
              <w:t>t</w:t>
            </w:r>
            <w:r>
              <w:rPr>
                <w:sz w:val="22"/>
                <w:szCs w:val="22"/>
              </w:rPr>
              <w:t xml:space="preserve"> </w:t>
            </w:r>
            <w:r w:rsidR="00895470">
              <w:rPr>
                <w:sz w:val="22"/>
                <w:szCs w:val="22"/>
              </w:rPr>
              <w:t>members of the House Energy and Commerce Committee have found it appropriate or necessary to apply the overbroad and vague label of ‘misinformation’ to any media reportage that calls into question their preferred political narratives, and have sought to intimidate into silence those who would distribute on their platforms disfavored points of view.</w:t>
            </w:r>
            <w:r w:rsidR="00587D3A">
              <w:rPr>
                <w:sz w:val="22"/>
                <w:szCs w:val="22"/>
              </w:rPr>
              <w:t xml:space="preserve"> This is particularly concerning because the House Energy and Commerce Committee supervises the Communications Act, and their statement could be read to imply that action will be taken under the Communications Act should the recipients not agree in advance to chill their speech.</w:t>
            </w:r>
            <w:r w:rsidR="00895470">
              <w:rPr>
                <w:sz w:val="22"/>
                <w:szCs w:val="22"/>
              </w:rPr>
              <w:t xml:space="preserve"> I share Commissioner </w:t>
            </w:r>
            <w:r w:rsidR="00895470">
              <w:rPr>
                <w:sz w:val="22"/>
                <w:szCs w:val="22"/>
              </w:rPr>
              <w:t>Carr’s</w:t>
            </w:r>
            <w:r w:rsidR="00895470">
              <w:rPr>
                <w:sz w:val="22"/>
                <w:szCs w:val="22"/>
              </w:rPr>
              <w:t xml:space="preserve"> view that more, rather than less, speech is a desirable aim</w:t>
            </w:r>
            <w:r w:rsidR="00F27B6B">
              <w:rPr>
                <w:sz w:val="22"/>
                <w:szCs w:val="22"/>
              </w:rPr>
              <w:t xml:space="preserve"> of public policy and the foundation of civic engagement</w:t>
            </w:r>
            <w:r w:rsidR="00895470">
              <w:rPr>
                <w:sz w:val="22"/>
                <w:szCs w:val="22"/>
              </w:rPr>
              <w:t xml:space="preserve">, and </w:t>
            </w:r>
            <w:r w:rsidR="00F27B6B">
              <w:rPr>
                <w:sz w:val="22"/>
                <w:szCs w:val="22"/>
              </w:rPr>
              <w:t xml:space="preserve">I </w:t>
            </w:r>
            <w:r w:rsidR="00895470">
              <w:rPr>
                <w:sz w:val="22"/>
                <w:szCs w:val="22"/>
              </w:rPr>
              <w:t xml:space="preserve">trust the American people to make up their own minds regarding to whom they choose to listen.” </w:t>
            </w:r>
          </w:p>
          <w:p w:rsidR="00F27B6B" w:rsidP="00467CD6" w14:paraId="54DF24E5" w14:textId="77777777">
            <w:pPr>
              <w:tabs>
                <w:tab w:val="left" w:pos="8640"/>
              </w:tabs>
              <w:rPr>
                <w:sz w:val="22"/>
                <w:szCs w:val="22"/>
              </w:rPr>
            </w:pPr>
          </w:p>
          <w:p w:rsidR="004F0F1F" w:rsidRPr="004A729A" w:rsidP="00850E26" w14:paraId="6B3C1057" w14:textId="77777777">
            <w:pPr>
              <w:ind w:right="72"/>
              <w:jc w:val="center"/>
              <w:rPr>
                <w:sz w:val="22"/>
                <w:szCs w:val="22"/>
              </w:rPr>
            </w:pPr>
            <w:r w:rsidRPr="00A225A9">
              <w:rPr>
                <w:sz w:val="22"/>
                <w:szCs w:val="22"/>
              </w:rPr>
              <w:t>###</w:t>
            </w:r>
          </w:p>
          <w:bookmarkEnd w:id="0"/>
          <w:p w:rsidR="00E644FE" w:rsidP="00850E26" w14:paraId="7A4BDD2D" w14:textId="77777777">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850E26" w:rsidRPr="006B0A70" w:rsidP="00850E26" w14:paraId="4B71060D" w14:textId="77777777">
            <w:pPr>
              <w:ind w:right="72"/>
              <w:jc w:val="center"/>
              <w:rPr>
                <w:b/>
                <w:bCs/>
                <w:sz w:val="18"/>
                <w:szCs w:val="18"/>
              </w:rPr>
            </w:pPr>
            <w:r>
              <w:rPr>
                <w:b/>
                <w:bCs/>
                <w:sz w:val="18"/>
                <w:szCs w:val="18"/>
              </w:rPr>
              <w:t xml:space="preserve">ASL Videophone: (844) </w:t>
            </w:r>
            <w:r w:rsidRPr="00850E26">
              <w:rPr>
                <w:b/>
                <w:bCs/>
                <w:sz w:val="18"/>
                <w:szCs w:val="18"/>
              </w:rPr>
              <w:t>432-2275</w:t>
            </w:r>
          </w:p>
          <w:p w:rsidR="00E644FE" w:rsidRPr="006B0A70" w:rsidP="00850E26" w14:paraId="4A02008E" w14:textId="77777777">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CC5E08" w:rsidRPr="006B0A70" w:rsidP="00850E26" w14:paraId="49DC2DA3" w14:textId="77777777">
            <w:pPr>
              <w:ind w:right="72"/>
              <w:jc w:val="center"/>
              <w:rPr>
                <w:b/>
                <w:bCs/>
                <w:sz w:val="18"/>
                <w:szCs w:val="18"/>
              </w:rPr>
            </w:pPr>
            <w:r>
              <w:rPr>
                <w:b/>
                <w:bCs/>
                <w:sz w:val="18"/>
                <w:szCs w:val="18"/>
              </w:rPr>
              <w:t>Twitter: @FCC</w:t>
            </w:r>
          </w:p>
          <w:p w:rsidR="00CC5E08" w:rsidRPr="00285C36" w:rsidP="00850E26" w14:paraId="1ECFAF31" w14:textId="77777777">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14:paraId="2080B0A3" w14:textId="77777777">
            <w:pPr>
              <w:ind w:right="72"/>
              <w:jc w:val="center"/>
              <w:rPr>
                <w:b/>
                <w:bCs/>
                <w:sz w:val="18"/>
                <w:szCs w:val="18"/>
              </w:rPr>
            </w:pPr>
          </w:p>
          <w:p w:rsidR="00EE0E90" w:rsidRPr="0069420F" w:rsidP="00850E26" w14:paraId="04051BC9"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w:t>
            </w:r>
            <w:r w:rsidR="00796365">
              <w:rPr>
                <w:bCs/>
                <w:i/>
                <w:sz w:val="18"/>
                <w:szCs w:val="18"/>
              </w:rPr>
              <w:t>i</w:t>
            </w:r>
            <w:r w:rsidRPr="00986C92">
              <w:rPr>
                <w:bCs/>
                <w:i/>
                <w:sz w:val="18"/>
                <w:szCs w:val="18"/>
              </w:rPr>
              <w:t>r</w:t>
            </w:r>
            <w:r>
              <w:rPr>
                <w:bCs/>
                <w:i/>
                <w:sz w:val="18"/>
                <w:szCs w:val="18"/>
              </w:rPr>
              <w:t>.</w:t>
            </w:r>
            <w:r w:rsidRPr="00986C92">
              <w:rPr>
                <w:bCs/>
                <w:i/>
                <w:sz w:val="18"/>
                <w:szCs w:val="18"/>
              </w:rPr>
              <w:t xml:space="preserve"> 1974).</w:t>
            </w:r>
          </w:p>
        </w:tc>
      </w:tr>
    </w:tbl>
    <w:p w:rsidR="00D24C3D" w:rsidRPr="007528A5"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07BE0"/>
    <w:rsid w:val="00015FE0"/>
    <w:rsid w:val="00032FAC"/>
    <w:rsid w:val="00040127"/>
    <w:rsid w:val="00050013"/>
    <w:rsid w:val="000B193D"/>
    <w:rsid w:val="000C3FBB"/>
    <w:rsid w:val="000C5919"/>
    <w:rsid w:val="000D03A2"/>
    <w:rsid w:val="000D70E5"/>
    <w:rsid w:val="000D7C91"/>
    <w:rsid w:val="00123176"/>
    <w:rsid w:val="001577C4"/>
    <w:rsid w:val="001812EE"/>
    <w:rsid w:val="001934DD"/>
    <w:rsid w:val="001C3C14"/>
    <w:rsid w:val="001C79C7"/>
    <w:rsid w:val="001D3AD9"/>
    <w:rsid w:val="001E0A77"/>
    <w:rsid w:val="00256DFF"/>
    <w:rsid w:val="00263EC7"/>
    <w:rsid w:val="00265586"/>
    <w:rsid w:val="00285C36"/>
    <w:rsid w:val="002951C6"/>
    <w:rsid w:val="002A4927"/>
    <w:rsid w:val="002A6716"/>
    <w:rsid w:val="002D4ED4"/>
    <w:rsid w:val="002F6497"/>
    <w:rsid w:val="003058C4"/>
    <w:rsid w:val="003202C8"/>
    <w:rsid w:val="003303CE"/>
    <w:rsid w:val="00333ECD"/>
    <w:rsid w:val="003B39C6"/>
    <w:rsid w:val="003B5E3F"/>
    <w:rsid w:val="003C386C"/>
    <w:rsid w:val="003F58AA"/>
    <w:rsid w:val="003F6C38"/>
    <w:rsid w:val="00400CCA"/>
    <w:rsid w:val="00426518"/>
    <w:rsid w:val="00440086"/>
    <w:rsid w:val="00466041"/>
    <w:rsid w:val="00467CD6"/>
    <w:rsid w:val="00475A77"/>
    <w:rsid w:val="004A729A"/>
    <w:rsid w:val="004B755D"/>
    <w:rsid w:val="004C038A"/>
    <w:rsid w:val="004C1B21"/>
    <w:rsid w:val="004F0F1F"/>
    <w:rsid w:val="00504052"/>
    <w:rsid w:val="0055522A"/>
    <w:rsid w:val="00561591"/>
    <w:rsid w:val="005775F4"/>
    <w:rsid w:val="00587D3A"/>
    <w:rsid w:val="0059696E"/>
    <w:rsid w:val="005B1F6E"/>
    <w:rsid w:val="005B7DF5"/>
    <w:rsid w:val="005E5A8A"/>
    <w:rsid w:val="005E63AE"/>
    <w:rsid w:val="006137B0"/>
    <w:rsid w:val="006209F1"/>
    <w:rsid w:val="0066071A"/>
    <w:rsid w:val="00671283"/>
    <w:rsid w:val="0069420F"/>
    <w:rsid w:val="006A7D75"/>
    <w:rsid w:val="006B0A70"/>
    <w:rsid w:val="006D0710"/>
    <w:rsid w:val="006E4A76"/>
    <w:rsid w:val="00713FBD"/>
    <w:rsid w:val="007366F1"/>
    <w:rsid w:val="007528A5"/>
    <w:rsid w:val="00796365"/>
    <w:rsid w:val="007A44F8"/>
    <w:rsid w:val="007E38A0"/>
    <w:rsid w:val="00820FCC"/>
    <w:rsid w:val="008307D6"/>
    <w:rsid w:val="00850E26"/>
    <w:rsid w:val="0088593C"/>
    <w:rsid w:val="00893C3B"/>
    <w:rsid w:val="00895470"/>
    <w:rsid w:val="008A3940"/>
    <w:rsid w:val="008F37A3"/>
    <w:rsid w:val="009162F1"/>
    <w:rsid w:val="00932C8D"/>
    <w:rsid w:val="00970683"/>
    <w:rsid w:val="00986C92"/>
    <w:rsid w:val="00993026"/>
    <w:rsid w:val="009C0FDE"/>
    <w:rsid w:val="009F19CA"/>
    <w:rsid w:val="009F4FC7"/>
    <w:rsid w:val="00A056C8"/>
    <w:rsid w:val="00A225A9"/>
    <w:rsid w:val="00A72FBF"/>
    <w:rsid w:val="00A84986"/>
    <w:rsid w:val="00AA3010"/>
    <w:rsid w:val="00AB2561"/>
    <w:rsid w:val="00AB4888"/>
    <w:rsid w:val="00B21693"/>
    <w:rsid w:val="00B439C2"/>
    <w:rsid w:val="00B57131"/>
    <w:rsid w:val="00B757E2"/>
    <w:rsid w:val="00BB397B"/>
    <w:rsid w:val="00BB4E29"/>
    <w:rsid w:val="00BD0C37"/>
    <w:rsid w:val="00C36027"/>
    <w:rsid w:val="00C44FED"/>
    <w:rsid w:val="00C5287E"/>
    <w:rsid w:val="00C953AC"/>
    <w:rsid w:val="00CA1394"/>
    <w:rsid w:val="00CA1B02"/>
    <w:rsid w:val="00CA75E7"/>
    <w:rsid w:val="00CC5E08"/>
    <w:rsid w:val="00CF72FB"/>
    <w:rsid w:val="00D219DB"/>
    <w:rsid w:val="00D23729"/>
    <w:rsid w:val="00D24C3D"/>
    <w:rsid w:val="00D265F2"/>
    <w:rsid w:val="00D35F91"/>
    <w:rsid w:val="00D63677"/>
    <w:rsid w:val="00D67494"/>
    <w:rsid w:val="00D72DE3"/>
    <w:rsid w:val="00D75814"/>
    <w:rsid w:val="00DA7B44"/>
    <w:rsid w:val="00DD316F"/>
    <w:rsid w:val="00DF585B"/>
    <w:rsid w:val="00E30776"/>
    <w:rsid w:val="00E41158"/>
    <w:rsid w:val="00E644FE"/>
    <w:rsid w:val="00E71243"/>
    <w:rsid w:val="00E71FCD"/>
    <w:rsid w:val="00E85BEB"/>
    <w:rsid w:val="00EE0E90"/>
    <w:rsid w:val="00F27B6B"/>
    <w:rsid w:val="00F33C97"/>
    <w:rsid w:val="00F35FC0"/>
    <w:rsid w:val="00F5525D"/>
    <w:rsid w:val="00F61155"/>
    <w:rsid w:val="00F67C4B"/>
    <w:rsid w:val="00F8061B"/>
    <w:rsid w:val="00F9049D"/>
    <w:rsid w:val="00FA63A3"/>
    <w:rsid w:val="00FF232D"/>
    <w:rsid w:val="00FF54B6"/>
    <w:rsid w:val="0232952C"/>
    <w:rsid w:val="03FEDFC5"/>
    <w:rsid w:val="050841F2"/>
    <w:rsid w:val="08996C9F"/>
    <w:rsid w:val="08B4B769"/>
    <w:rsid w:val="0A9C2929"/>
    <w:rsid w:val="0B564C39"/>
    <w:rsid w:val="0C5F63FA"/>
    <w:rsid w:val="0C7B207A"/>
    <w:rsid w:val="0CAA9195"/>
    <w:rsid w:val="0F99CBB9"/>
    <w:rsid w:val="10A7BD79"/>
    <w:rsid w:val="13A6D85C"/>
    <w:rsid w:val="1491CA1B"/>
    <w:rsid w:val="14ABD626"/>
    <w:rsid w:val="1654AA1C"/>
    <w:rsid w:val="165F596E"/>
    <w:rsid w:val="17B5D257"/>
    <w:rsid w:val="19EB61CE"/>
    <w:rsid w:val="1A115274"/>
    <w:rsid w:val="1D97C816"/>
    <w:rsid w:val="1E9075CB"/>
    <w:rsid w:val="1F467B5F"/>
    <w:rsid w:val="26B0BC79"/>
    <w:rsid w:val="26D352FB"/>
    <w:rsid w:val="281D87EB"/>
    <w:rsid w:val="3169FBE1"/>
    <w:rsid w:val="3491650B"/>
    <w:rsid w:val="3719587B"/>
    <w:rsid w:val="372D5397"/>
    <w:rsid w:val="3A482BFC"/>
    <w:rsid w:val="3D064CCE"/>
    <w:rsid w:val="3DD208A9"/>
    <w:rsid w:val="401F6F17"/>
    <w:rsid w:val="40554B0F"/>
    <w:rsid w:val="4093B639"/>
    <w:rsid w:val="40A71264"/>
    <w:rsid w:val="42647EEE"/>
    <w:rsid w:val="42800081"/>
    <w:rsid w:val="434F0C66"/>
    <w:rsid w:val="4478C13E"/>
    <w:rsid w:val="44974A1D"/>
    <w:rsid w:val="457BC6CA"/>
    <w:rsid w:val="45B7A143"/>
    <w:rsid w:val="461E4AC0"/>
    <w:rsid w:val="4A8997D7"/>
    <w:rsid w:val="4B128245"/>
    <w:rsid w:val="4C29BCD3"/>
    <w:rsid w:val="4CE8C9E2"/>
    <w:rsid w:val="5020C3F0"/>
    <w:rsid w:val="50E11FBE"/>
    <w:rsid w:val="51EE16DD"/>
    <w:rsid w:val="529BBB6A"/>
    <w:rsid w:val="5439E232"/>
    <w:rsid w:val="54C46E26"/>
    <w:rsid w:val="57C04A9C"/>
    <w:rsid w:val="5AB9D3CB"/>
    <w:rsid w:val="5BD2B3DC"/>
    <w:rsid w:val="5C2BCBBA"/>
    <w:rsid w:val="5C44F417"/>
    <w:rsid w:val="5C537B4D"/>
    <w:rsid w:val="60C2320E"/>
    <w:rsid w:val="61BC8AC1"/>
    <w:rsid w:val="626C2E3A"/>
    <w:rsid w:val="65E2BA53"/>
    <w:rsid w:val="6792AD21"/>
    <w:rsid w:val="68F47097"/>
    <w:rsid w:val="68FBA0F5"/>
    <w:rsid w:val="69B8B048"/>
    <w:rsid w:val="6B9ADEFE"/>
    <w:rsid w:val="6DE5AD6B"/>
    <w:rsid w:val="6DE6FE9A"/>
    <w:rsid w:val="6E0D0BB0"/>
    <w:rsid w:val="6E3DB001"/>
    <w:rsid w:val="72414F09"/>
    <w:rsid w:val="73DCF54C"/>
    <w:rsid w:val="74E67D8E"/>
    <w:rsid w:val="75562262"/>
    <w:rsid w:val="7CA3C8D3"/>
    <w:rsid w:val="7E5A73CA"/>
    <w:rsid w:val="7ED76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67AAF5C-D019-4947-BAE4-B3149420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styleId="Revision">
    <w:name w:val="Revision"/>
    <w:hidden/>
    <w:uiPriority w:val="99"/>
    <w:semiHidden/>
    <w:rsid w:val="008859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