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FA9388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4B6F626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951885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A0E03B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6B1839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312C25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1B7BA6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07635D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1FB623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3F31F4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10313ED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>ANNOUNCES</w:t>
            </w:r>
            <w:r w:rsidR="00797A18">
              <w:rPr>
                <w:b/>
                <w:bCs/>
                <w:sz w:val="26"/>
                <w:szCs w:val="26"/>
              </w:rPr>
              <w:t xml:space="preserve"> WINNING BIDDERS IN C-BAND AUCTION</w:t>
            </w:r>
          </w:p>
          <w:p w:rsidR="00CC5E08" w:rsidRPr="008A3940" w:rsidP="00040127" w14:paraId="2E2039A0" w14:textId="32A39F2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Auction</w:t>
            </w:r>
            <w:r w:rsidR="00BA7AC5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of </w:t>
            </w:r>
            <w:r w:rsidR="00BA7AC5">
              <w:rPr>
                <w:b/>
                <w:bCs/>
                <w:i/>
              </w:rPr>
              <w:t>3.7 GHz</w:t>
            </w:r>
            <w:r>
              <w:rPr>
                <w:b/>
                <w:bCs/>
                <w:i/>
              </w:rPr>
              <w:t xml:space="preserve"> </w:t>
            </w:r>
            <w:r w:rsidR="007E49AD">
              <w:rPr>
                <w:b/>
                <w:bCs/>
                <w:i/>
              </w:rPr>
              <w:t>Service</w:t>
            </w:r>
            <w:r w:rsidR="008D28DA">
              <w:rPr>
                <w:b/>
                <w:bCs/>
                <w:i/>
              </w:rPr>
              <w:t xml:space="preserve"> Licenses Yields Over $</w:t>
            </w:r>
            <w:r w:rsidR="008B7DCD">
              <w:rPr>
                <w:b/>
                <w:bCs/>
                <w:i/>
              </w:rPr>
              <w:t xml:space="preserve">81 </w:t>
            </w:r>
            <w:r w:rsidR="008D28DA">
              <w:rPr>
                <w:b/>
                <w:bCs/>
                <w:i/>
              </w:rPr>
              <w:t xml:space="preserve">Billion in </w:t>
            </w:r>
            <w:r w:rsidR="00924A4F">
              <w:rPr>
                <w:b/>
                <w:bCs/>
                <w:i/>
              </w:rPr>
              <w:t xml:space="preserve">Gross Bids </w:t>
            </w:r>
            <w:r w:rsidR="008D28DA">
              <w:rPr>
                <w:b/>
                <w:bCs/>
                <w:i/>
              </w:rPr>
              <w:t>and Provides</w:t>
            </w:r>
            <w:r w:rsidR="003F1BBB">
              <w:rPr>
                <w:b/>
                <w:bCs/>
                <w:i/>
              </w:rPr>
              <w:t xml:space="preserve"> </w:t>
            </w:r>
            <w:r w:rsidR="00FA0390">
              <w:rPr>
                <w:b/>
                <w:bCs/>
                <w:i/>
              </w:rPr>
              <w:t>Much-Needed</w:t>
            </w:r>
            <w:r w:rsidR="008D28DA">
              <w:rPr>
                <w:b/>
                <w:bCs/>
                <w:i/>
              </w:rPr>
              <w:t xml:space="preserve"> Mid-Band</w:t>
            </w:r>
            <w:r w:rsidR="003F1BBB">
              <w:rPr>
                <w:b/>
                <w:bCs/>
                <w:i/>
              </w:rPr>
              <w:t xml:space="preserve"> Spectrum for </w:t>
            </w:r>
            <w:r w:rsidR="008D28DA">
              <w:rPr>
                <w:b/>
                <w:bCs/>
                <w:i/>
              </w:rPr>
              <w:t>5G Services</w:t>
            </w:r>
          </w:p>
          <w:p w:rsidR="00F61155" w:rsidRPr="006B0A70" w:rsidP="00BB4E29" w14:paraId="254F706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A463E" w:rsidRPr="00797A18" w:rsidP="00BA463E" w14:paraId="739767D2" w14:textId="685BB1A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9E5FC9" w:rsidR="009E5FC9">
              <w:rPr>
                <w:sz w:val="22"/>
                <w:szCs w:val="22"/>
              </w:rPr>
              <w:t>February</w:t>
            </w:r>
            <w:r w:rsidRPr="009E5FC9" w:rsidR="000E049E">
              <w:rPr>
                <w:sz w:val="22"/>
                <w:szCs w:val="22"/>
              </w:rPr>
              <w:t xml:space="preserve"> </w:t>
            </w:r>
            <w:r w:rsidR="00492A40">
              <w:rPr>
                <w:sz w:val="22"/>
                <w:szCs w:val="22"/>
              </w:rPr>
              <w:t>24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797A18" w:rsidR="00797A18">
              <w:rPr>
                <w:sz w:val="22"/>
                <w:szCs w:val="22"/>
              </w:rPr>
              <w:t xml:space="preserve">The Federal Communications Commission today </w:t>
            </w:r>
            <w:r w:rsidR="00BA7AC5">
              <w:rPr>
                <w:sz w:val="22"/>
                <w:szCs w:val="22"/>
              </w:rPr>
              <w:t>announced the winning bidders and</w:t>
            </w:r>
            <w:r w:rsidR="00B64E68">
              <w:rPr>
                <w:sz w:val="22"/>
                <w:szCs w:val="22"/>
              </w:rPr>
              <w:t xml:space="preserve"> the</w:t>
            </w:r>
            <w:r w:rsidR="00BA7AC5">
              <w:rPr>
                <w:sz w:val="22"/>
                <w:szCs w:val="22"/>
              </w:rPr>
              <w:t xml:space="preserve"> final </w:t>
            </w:r>
            <w:r w:rsidR="00A72CFC">
              <w:rPr>
                <w:sz w:val="22"/>
                <w:szCs w:val="22"/>
              </w:rPr>
              <w:t>bid</w:t>
            </w:r>
            <w:r w:rsidR="000A4244">
              <w:rPr>
                <w:sz w:val="22"/>
                <w:szCs w:val="22"/>
              </w:rPr>
              <w:t xml:space="preserve"> total</w:t>
            </w:r>
            <w:r w:rsidR="00B64E68">
              <w:rPr>
                <w:sz w:val="22"/>
                <w:szCs w:val="22"/>
              </w:rPr>
              <w:t>s</w:t>
            </w:r>
            <w:r w:rsidR="00D225E9">
              <w:rPr>
                <w:sz w:val="22"/>
                <w:szCs w:val="22"/>
              </w:rPr>
              <w:t xml:space="preserve"> in </w:t>
            </w:r>
            <w:r w:rsidR="00BA7AC5">
              <w:rPr>
                <w:sz w:val="22"/>
                <w:szCs w:val="22"/>
              </w:rPr>
              <w:t>Auction 107—</w:t>
            </w:r>
            <w:r w:rsidRPr="255020A7" w:rsidR="2934DC62">
              <w:rPr>
                <w:sz w:val="22"/>
                <w:szCs w:val="22"/>
              </w:rPr>
              <w:t xml:space="preserve">commonly referred to as the </w:t>
            </w:r>
            <w:r w:rsidR="00BA7AC5">
              <w:rPr>
                <w:sz w:val="22"/>
                <w:szCs w:val="22"/>
              </w:rPr>
              <w:t xml:space="preserve">C-band auction. </w:t>
            </w:r>
            <w:r>
              <w:rPr>
                <w:sz w:val="22"/>
                <w:szCs w:val="22"/>
              </w:rPr>
              <w:t xml:space="preserve"> As detailed in today’s Public Notice, </w:t>
            </w:r>
            <w:r w:rsidRPr="00797A18">
              <w:rPr>
                <w:sz w:val="22"/>
                <w:szCs w:val="22"/>
              </w:rPr>
              <w:t>Auction 10</w:t>
            </w:r>
            <w:r>
              <w:rPr>
                <w:sz w:val="22"/>
                <w:szCs w:val="22"/>
              </w:rPr>
              <w:t>7</w:t>
            </w:r>
            <w:r w:rsidRPr="00797A18">
              <w:rPr>
                <w:sz w:val="22"/>
                <w:szCs w:val="22"/>
              </w:rPr>
              <w:t xml:space="preserve"> </w:t>
            </w:r>
            <w:r w:rsidR="00F92A41">
              <w:rPr>
                <w:sz w:val="22"/>
                <w:szCs w:val="22"/>
              </w:rPr>
              <w:t xml:space="preserve">net winning bids totaled </w:t>
            </w:r>
            <w:r w:rsidRPr="002A6407" w:rsidR="00BF420F">
              <w:rPr>
                <w:sz w:val="22"/>
                <w:szCs w:val="22"/>
              </w:rPr>
              <w:t>$81,114,481,921</w:t>
            </w:r>
            <w:r w:rsidRPr="00797A18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>and</w:t>
            </w:r>
            <w:r w:rsidR="00AE1735">
              <w:rPr>
                <w:sz w:val="22"/>
                <w:szCs w:val="22"/>
              </w:rPr>
              <w:t xml:space="preserve"> gross winning bids </w:t>
            </w:r>
            <w:r w:rsidR="009C1310">
              <w:rPr>
                <w:sz w:val="22"/>
                <w:szCs w:val="22"/>
              </w:rPr>
              <w:t>totaled</w:t>
            </w:r>
            <w:r w:rsidRPr="00797A18">
              <w:rPr>
                <w:sz w:val="22"/>
                <w:szCs w:val="22"/>
              </w:rPr>
              <w:t xml:space="preserve"> </w:t>
            </w:r>
            <w:r w:rsidRPr="002A6407" w:rsidR="00130774">
              <w:rPr>
                <w:sz w:val="22"/>
                <w:szCs w:val="22"/>
              </w:rPr>
              <w:t>$81,168,677,645</w:t>
            </w:r>
            <w:r w:rsidRPr="00BA7AC5">
              <w:rPr>
                <w:sz w:val="22"/>
                <w:szCs w:val="22"/>
              </w:rPr>
              <w:t>.</w:t>
            </w:r>
            <w:r w:rsidRPr="00797A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E55D5">
              <w:rPr>
                <w:sz w:val="22"/>
                <w:szCs w:val="22"/>
              </w:rPr>
              <w:t>Twenty-one</w:t>
            </w:r>
            <w:r w:rsidRPr="00797A18" w:rsidR="005A57BA">
              <w:rPr>
                <w:sz w:val="22"/>
                <w:szCs w:val="22"/>
              </w:rPr>
              <w:t xml:space="preserve"> </w:t>
            </w:r>
            <w:r w:rsidRPr="00797A18">
              <w:rPr>
                <w:sz w:val="22"/>
                <w:szCs w:val="22"/>
              </w:rPr>
              <w:t xml:space="preserve">bidders </w:t>
            </w:r>
            <w:r>
              <w:rPr>
                <w:sz w:val="22"/>
                <w:szCs w:val="22"/>
              </w:rPr>
              <w:t xml:space="preserve">won </w:t>
            </w:r>
            <w:r w:rsidRPr="00656682">
              <w:rPr>
                <w:sz w:val="22"/>
                <w:szCs w:val="22"/>
              </w:rPr>
              <w:t>all</w:t>
            </w:r>
            <w:r w:rsidR="002E55D5">
              <w:rPr>
                <w:sz w:val="22"/>
                <w:szCs w:val="22"/>
              </w:rPr>
              <w:t xml:space="preserve"> </w:t>
            </w:r>
            <w:r w:rsidRPr="00656682">
              <w:rPr>
                <w:sz w:val="22"/>
                <w:szCs w:val="22"/>
              </w:rPr>
              <w:t xml:space="preserve">of the </w:t>
            </w:r>
            <w:r>
              <w:rPr>
                <w:sz w:val="22"/>
                <w:szCs w:val="22"/>
              </w:rPr>
              <w:t xml:space="preserve">available </w:t>
            </w:r>
            <w:r w:rsidRPr="00656682">
              <w:rPr>
                <w:sz w:val="22"/>
                <w:szCs w:val="22"/>
              </w:rPr>
              <w:t xml:space="preserve">5,684 </w:t>
            </w:r>
            <w:r w:rsidR="00E22857">
              <w:rPr>
                <w:sz w:val="22"/>
                <w:szCs w:val="22"/>
              </w:rPr>
              <w:t>licenses</w:t>
            </w:r>
            <w:r>
              <w:rPr>
                <w:sz w:val="22"/>
                <w:szCs w:val="22"/>
              </w:rPr>
              <w:t>.</w:t>
            </w:r>
          </w:p>
          <w:p w:rsidR="00BA7AC5" w:rsidP="00BA7AC5" w14:paraId="1276C5AC" w14:textId="77777777">
            <w:pPr>
              <w:rPr>
                <w:sz w:val="22"/>
                <w:szCs w:val="22"/>
              </w:rPr>
            </w:pPr>
          </w:p>
          <w:p w:rsidR="00BA7AC5" w:rsidP="00BA7AC5" w14:paraId="718A1DFD" w14:textId="1FB9B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“It is essential to America’s economic recovery that we </w:t>
            </w:r>
            <w:r w:rsidR="005417B1">
              <w:rPr>
                <w:sz w:val="22"/>
                <w:szCs w:val="22"/>
              </w:rPr>
              <w:t>deliver on the promise</w:t>
            </w:r>
            <w:r w:rsidR="00B84D26">
              <w:rPr>
                <w:sz w:val="22"/>
                <w:szCs w:val="22"/>
              </w:rPr>
              <w:t xml:space="preserve"> of next-generation wireless services for everyone, ever</w:t>
            </w:r>
            <w:r w:rsidR="00396411">
              <w:rPr>
                <w:sz w:val="22"/>
                <w:szCs w:val="22"/>
              </w:rPr>
              <w:t>y</w:t>
            </w:r>
            <w:r w:rsidR="00B84D26">
              <w:rPr>
                <w:sz w:val="22"/>
                <w:szCs w:val="22"/>
              </w:rPr>
              <w:t>where</w:t>
            </w:r>
            <w:r>
              <w:rPr>
                <w:sz w:val="22"/>
                <w:szCs w:val="22"/>
              </w:rPr>
              <w:t>,</w:t>
            </w:r>
            <w:r w:rsidR="005417B1">
              <w:rPr>
                <w:sz w:val="22"/>
                <w:szCs w:val="22"/>
              </w:rPr>
              <w:t>” said FCC Acting Chairwoman Jessica Rosenworcel.  “</w:t>
            </w:r>
            <w:r w:rsidR="00FA0390">
              <w:rPr>
                <w:sz w:val="22"/>
                <w:szCs w:val="22"/>
              </w:rPr>
              <w:t xml:space="preserve">This auction </w:t>
            </w:r>
            <w:r w:rsidR="00B84D26">
              <w:rPr>
                <w:sz w:val="22"/>
                <w:szCs w:val="22"/>
              </w:rPr>
              <w:t>reflects</w:t>
            </w:r>
            <w:r w:rsidR="00C60DFF">
              <w:rPr>
                <w:sz w:val="22"/>
                <w:szCs w:val="22"/>
              </w:rPr>
              <w:t xml:space="preserve"> a shift in our nation’s approach to 5G toward mid-band spectrum that can support fast, reliable, and ubiquitous service that is competitive with our global peers.</w:t>
            </w:r>
            <w:r w:rsidR="00FA0390">
              <w:rPr>
                <w:sz w:val="22"/>
                <w:szCs w:val="22"/>
              </w:rPr>
              <w:t xml:space="preserve">  </w:t>
            </w:r>
            <w:r w:rsidR="00C60DFF">
              <w:rPr>
                <w:sz w:val="22"/>
                <w:szCs w:val="22"/>
              </w:rPr>
              <w:t xml:space="preserve">Now we have to work fast to put this spectrum </w:t>
            </w:r>
            <w:r w:rsidR="006A50B8">
              <w:rPr>
                <w:sz w:val="22"/>
                <w:szCs w:val="22"/>
              </w:rPr>
              <w:t xml:space="preserve">to use </w:t>
            </w:r>
            <w:r w:rsidR="00C60DFF">
              <w:rPr>
                <w:sz w:val="22"/>
                <w:szCs w:val="22"/>
              </w:rPr>
              <w:t>in service of the American people.</w:t>
            </w:r>
            <w:r w:rsidR="003F1BBB">
              <w:rPr>
                <w:sz w:val="22"/>
                <w:szCs w:val="22"/>
              </w:rPr>
              <w:t xml:space="preserve"> </w:t>
            </w:r>
            <w:r w:rsidR="00B84D26">
              <w:rPr>
                <w:sz w:val="22"/>
                <w:szCs w:val="22"/>
              </w:rPr>
              <w:t xml:space="preserve"> </w:t>
            </w:r>
            <w:r w:rsidR="00C60DFF">
              <w:rPr>
                <w:sz w:val="22"/>
                <w:szCs w:val="22"/>
              </w:rPr>
              <w:t>S</w:t>
            </w:r>
            <w:r w:rsidR="003F1BBB">
              <w:rPr>
                <w:sz w:val="22"/>
                <w:szCs w:val="22"/>
              </w:rPr>
              <w:t xml:space="preserve">pecial thanks </w:t>
            </w:r>
            <w:r w:rsidR="002B4F35">
              <w:rPr>
                <w:sz w:val="22"/>
                <w:szCs w:val="22"/>
              </w:rPr>
              <w:t>go</w:t>
            </w:r>
            <w:r w:rsidR="003F1BBB">
              <w:rPr>
                <w:sz w:val="22"/>
                <w:szCs w:val="22"/>
              </w:rPr>
              <w:t xml:space="preserve"> to</w:t>
            </w:r>
            <w:r w:rsidR="00D866F2">
              <w:rPr>
                <w:sz w:val="22"/>
                <w:szCs w:val="22"/>
              </w:rPr>
              <w:t xml:space="preserve"> our great FCC auctions team</w:t>
            </w:r>
            <w:r w:rsidR="002E55D5">
              <w:rPr>
                <w:sz w:val="22"/>
                <w:szCs w:val="22"/>
              </w:rPr>
              <w:t>,</w:t>
            </w:r>
            <w:r w:rsidR="00D866F2">
              <w:rPr>
                <w:sz w:val="22"/>
                <w:szCs w:val="22"/>
              </w:rPr>
              <w:t xml:space="preserve"> </w:t>
            </w:r>
            <w:r w:rsidR="00B82718">
              <w:rPr>
                <w:sz w:val="22"/>
                <w:szCs w:val="22"/>
              </w:rPr>
              <w:t>and</w:t>
            </w:r>
            <w:r w:rsidR="00A82FD0">
              <w:rPr>
                <w:sz w:val="22"/>
                <w:szCs w:val="22"/>
              </w:rPr>
              <w:t xml:space="preserve"> their </w:t>
            </w:r>
            <w:r w:rsidR="00976A30">
              <w:rPr>
                <w:sz w:val="22"/>
                <w:szCs w:val="22"/>
              </w:rPr>
              <w:t xml:space="preserve">colleagues in </w:t>
            </w:r>
            <w:r w:rsidR="0069131B">
              <w:rPr>
                <w:sz w:val="22"/>
                <w:szCs w:val="22"/>
              </w:rPr>
              <w:t>the Wireless Telecommunications and International Bureau</w:t>
            </w:r>
            <w:r w:rsidR="00B84D26">
              <w:rPr>
                <w:sz w:val="22"/>
                <w:szCs w:val="22"/>
              </w:rPr>
              <w:t>s</w:t>
            </w:r>
            <w:r w:rsidR="00AF71CB">
              <w:rPr>
                <w:sz w:val="22"/>
                <w:szCs w:val="22"/>
              </w:rPr>
              <w:t>, among others</w:t>
            </w:r>
            <w:r w:rsidR="002E55D5">
              <w:rPr>
                <w:sz w:val="22"/>
                <w:szCs w:val="22"/>
              </w:rPr>
              <w:t>,</w:t>
            </w:r>
            <w:r w:rsidR="00AB3937">
              <w:rPr>
                <w:sz w:val="22"/>
                <w:szCs w:val="22"/>
              </w:rPr>
              <w:t xml:space="preserve"> </w:t>
            </w:r>
            <w:r w:rsidR="00D866F2">
              <w:rPr>
                <w:sz w:val="22"/>
                <w:szCs w:val="22"/>
              </w:rPr>
              <w:t>for th</w:t>
            </w:r>
            <w:r w:rsidR="00C60DFF">
              <w:rPr>
                <w:sz w:val="22"/>
                <w:szCs w:val="22"/>
              </w:rPr>
              <w:t>is</w:t>
            </w:r>
            <w:r w:rsidR="00D866F2">
              <w:rPr>
                <w:sz w:val="22"/>
                <w:szCs w:val="22"/>
              </w:rPr>
              <w:t xml:space="preserve"> success</w:t>
            </w:r>
            <w:r w:rsidR="006A50B8">
              <w:rPr>
                <w:sz w:val="22"/>
                <w:szCs w:val="22"/>
              </w:rPr>
              <w:t>.</w:t>
            </w:r>
            <w:r w:rsidR="00D866F2">
              <w:rPr>
                <w:sz w:val="22"/>
                <w:szCs w:val="22"/>
              </w:rPr>
              <w:t>”</w:t>
            </w:r>
          </w:p>
          <w:p w:rsidR="00797A18" w:rsidRPr="00797A18" w:rsidP="00797A18" w14:paraId="5AAD7030" w14:textId="77777777">
            <w:pPr>
              <w:rPr>
                <w:sz w:val="22"/>
                <w:szCs w:val="22"/>
              </w:rPr>
            </w:pPr>
          </w:p>
          <w:p w:rsidR="00BD19E8" w:rsidP="00797A18" w14:paraId="4AB5D640" w14:textId="6F1ABEFB">
            <w:pPr>
              <w:rPr>
                <w:sz w:val="22"/>
                <w:szCs w:val="22"/>
              </w:rPr>
            </w:pPr>
            <w:r w:rsidRPr="00797A18">
              <w:rPr>
                <w:sz w:val="22"/>
                <w:szCs w:val="22"/>
              </w:rPr>
              <w:t xml:space="preserve">The five bidders with the largest total </w:t>
            </w:r>
            <w:r w:rsidR="00181B47">
              <w:rPr>
                <w:sz w:val="22"/>
                <w:szCs w:val="22"/>
              </w:rPr>
              <w:t xml:space="preserve">gross </w:t>
            </w:r>
            <w:r w:rsidRPr="00797A18">
              <w:rPr>
                <w:sz w:val="22"/>
                <w:szCs w:val="22"/>
              </w:rPr>
              <w:t xml:space="preserve">winning bid amounts </w:t>
            </w:r>
            <w:r w:rsidR="00A859D1">
              <w:rPr>
                <w:sz w:val="22"/>
                <w:szCs w:val="22"/>
              </w:rPr>
              <w:t>from both the clock and assignments phases</w:t>
            </w:r>
            <w:r w:rsidRPr="00797A18">
              <w:rPr>
                <w:sz w:val="22"/>
                <w:szCs w:val="22"/>
              </w:rPr>
              <w:t xml:space="preserve"> were as follows:</w:t>
            </w:r>
          </w:p>
          <w:p w:rsidR="00797A18" w:rsidRPr="00797A18" w:rsidP="00797A18" w14:paraId="3CE935E8" w14:textId="77777777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657"/>
              <w:gridCol w:w="2700"/>
            </w:tblGrid>
            <w:tr w14:paraId="439AA180" w14:textId="77777777" w:rsidTr="00383322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797A18" w:rsidRPr="00797A18" w:rsidP="00797A18" w14:paraId="59C5EB42" w14:textId="7777777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7A18">
                    <w:rPr>
                      <w:b/>
                      <w:bCs/>
                      <w:sz w:val="22"/>
                      <w:szCs w:val="22"/>
                    </w:rPr>
                    <w:t>Bidder</w:t>
                  </w:r>
                </w:p>
              </w:tc>
              <w:tc>
                <w:tcPr>
                  <w:tcW w:w="2700" w:type="dxa"/>
                </w:tcPr>
                <w:p w:rsidR="00797A18" w:rsidRPr="00797A18" w:rsidP="00797A18" w14:paraId="18DF24FC" w14:textId="5058FC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7A18">
                    <w:rPr>
                      <w:b/>
                      <w:bCs/>
                      <w:sz w:val="22"/>
                      <w:szCs w:val="22"/>
                    </w:rPr>
                    <w:t xml:space="preserve">Total </w:t>
                  </w:r>
                  <w:r w:rsidR="00383322">
                    <w:rPr>
                      <w:b/>
                      <w:bCs/>
                      <w:sz w:val="22"/>
                      <w:szCs w:val="22"/>
                    </w:rPr>
                    <w:t xml:space="preserve">Gross </w:t>
                  </w:r>
                  <w:r w:rsidRPr="00797A18">
                    <w:rPr>
                      <w:b/>
                      <w:bCs/>
                      <w:sz w:val="22"/>
                      <w:szCs w:val="22"/>
                    </w:rPr>
                    <w:t xml:space="preserve">Winning Bids </w:t>
                  </w:r>
                </w:p>
              </w:tc>
            </w:tr>
            <w:tr w14:paraId="202E9F8D" w14:textId="77777777" w:rsidTr="00383322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797A18" w:rsidRPr="00797A18" w:rsidP="00797A18" w14:paraId="1E32900E" w14:textId="47EDBB05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Cellco</w:t>
                  </w:r>
                  <w:r w:rsidRPr="009C697A">
                    <w:rPr>
                      <w:color w:val="000000"/>
                      <w:sz w:val="22"/>
                      <w:szCs w:val="22"/>
                    </w:rPr>
                    <w:t xml:space="preserve"> Partnership</w:t>
                  </w:r>
                </w:p>
              </w:tc>
              <w:tc>
                <w:tcPr>
                  <w:tcW w:w="2700" w:type="dxa"/>
                </w:tcPr>
                <w:p w:rsidR="00797A18" w:rsidRPr="00797A18" w:rsidP="00797A18" w14:paraId="14CD39C9" w14:textId="062C7BD9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$45,454,843,197</w:t>
                  </w:r>
                </w:p>
              </w:tc>
            </w:tr>
            <w:tr w14:paraId="154EAA2C" w14:textId="77777777" w:rsidTr="00383322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797A18" w:rsidRPr="009C697A" w:rsidP="00797A18" w14:paraId="37AB9B4C" w14:textId="7397DCD1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AT&amp;T Spectrum Frontiers LLC</w:t>
                  </w:r>
                </w:p>
              </w:tc>
              <w:tc>
                <w:tcPr>
                  <w:tcW w:w="2700" w:type="dxa"/>
                </w:tcPr>
                <w:p w:rsidR="00797A18" w:rsidRPr="00797A18" w:rsidP="00797A18" w14:paraId="4D71797E" w14:textId="23FF257B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$23,406,860,839</w:t>
                  </w:r>
                </w:p>
              </w:tc>
            </w:tr>
            <w:tr w14:paraId="0C75653B" w14:textId="77777777" w:rsidTr="00383322">
              <w:tblPrEx>
                <w:tblW w:w="0" w:type="auto"/>
                <w:tblLook w:val="04A0"/>
              </w:tblPrEx>
              <w:trPr>
                <w:trHeight w:val="58"/>
              </w:trPr>
              <w:tc>
                <w:tcPr>
                  <w:tcW w:w="4657" w:type="dxa"/>
                </w:tcPr>
                <w:p w:rsidR="00797A18" w:rsidRPr="009C697A" w:rsidP="00797A18" w14:paraId="05E313D5" w14:textId="0E4D945D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T-Mobile License LLC</w:t>
                  </w:r>
                </w:p>
              </w:tc>
              <w:tc>
                <w:tcPr>
                  <w:tcW w:w="2700" w:type="dxa"/>
                </w:tcPr>
                <w:p w:rsidR="00797A18" w:rsidRPr="00797A18" w:rsidP="00797A18" w14:paraId="737C8E8B" w14:textId="51415B7F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$9,336,125,147</w:t>
                  </w:r>
                </w:p>
              </w:tc>
            </w:tr>
            <w:tr w14:paraId="11271E14" w14:textId="77777777" w:rsidTr="00383322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797A18" w:rsidRPr="009C697A" w:rsidP="00797A18" w14:paraId="0EB9504B" w14:textId="535FFB51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United States Cellular Corporation</w:t>
                  </w:r>
                </w:p>
              </w:tc>
              <w:tc>
                <w:tcPr>
                  <w:tcW w:w="2700" w:type="dxa"/>
                </w:tcPr>
                <w:p w:rsidR="00797A18" w:rsidRPr="00797A18" w:rsidP="00797A18" w14:paraId="764A0823" w14:textId="243926A6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$1,282,641,542</w:t>
                  </w:r>
                </w:p>
              </w:tc>
            </w:tr>
            <w:tr w14:paraId="43230828" w14:textId="77777777" w:rsidTr="00383322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797A18" w:rsidRPr="00797A18" w:rsidP="00797A18" w14:paraId="24B9A661" w14:textId="3F8C6813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NewLevel</w:t>
                  </w:r>
                  <w:r w:rsidRPr="009C697A">
                    <w:rPr>
                      <w:color w:val="000000"/>
                      <w:sz w:val="22"/>
                      <w:szCs w:val="22"/>
                    </w:rPr>
                    <w:t xml:space="preserve"> II, L.P.</w:t>
                  </w:r>
                </w:p>
              </w:tc>
              <w:tc>
                <w:tcPr>
                  <w:tcW w:w="2700" w:type="dxa"/>
                </w:tcPr>
                <w:p w:rsidR="00797A18" w:rsidRPr="00797A18" w:rsidP="00797A18" w14:paraId="0130AB2A" w14:textId="08817C78">
                  <w:pPr>
                    <w:rPr>
                      <w:sz w:val="22"/>
                      <w:szCs w:val="22"/>
                    </w:rPr>
                  </w:pPr>
                  <w:r w:rsidRPr="009C697A">
                    <w:rPr>
                      <w:color w:val="000000"/>
                      <w:sz w:val="22"/>
                      <w:szCs w:val="22"/>
                    </w:rPr>
                    <w:t>$1,277,395,688</w:t>
                  </w:r>
                </w:p>
              </w:tc>
            </w:tr>
          </w:tbl>
          <w:p w:rsidR="00797A18" w:rsidRPr="00797A18" w:rsidP="00797A18" w14:paraId="31FCAC38" w14:textId="77777777">
            <w:pPr>
              <w:rPr>
                <w:bCs/>
                <w:sz w:val="22"/>
                <w:szCs w:val="22"/>
              </w:rPr>
            </w:pPr>
          </w:p>
          <w:p w:rsidR="00797A18" w:rsidRPr="00797A18" w:rsidP="00797A18" w14:paraId="45679C70" w14:textId="77777777">
            <w:pPr>
              <w:rPr>
                <w:bCs/>
                <w:sz w:val="22"/>
                <w:szCs w:val="22"/>
              </w:rPr>
            </w:pPr>
            <w:r w:rsidRPr="00797A18">
              <w:rPr>
                <w:bCs/>
                <w:sz w:val="22"/>
                <w:szCs w:val="22"/>
              </w:rPr>
              <w:t>The five bidders winning the largest number of licenses were as follows:</w:t>
            </w:r>
          </w:p>
          <w:p w:rsidR="00797A18" w:rsidRPr="00797A18" w:rsidP="00797A18" w14:paraId="32E94217" w14:textId="77777777">
            <w:pPr>
              <w:rPr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657"/>
              <w:gridCol w:w="2700"/>
            </w:tblGrid>
            <w:tr w14:paraId="03DE3A95" w14:textId="77777777" w:rsidTr="00383322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797A18" w:rsidRPr="00797A18" w:rsidP="00797A18" w14:paraId="3999382F" w14:textId="77777777">
                  <w:pPr>
                    <w:rPr>
                      <w:b/>
                      <w:sz w:val="22"/>
                      <w:szCs w:val="22"/>
                    </w:rPr>
                  </w:pPr>
                  <w:r w:rsidRPr="00797A18">
                    <w:rPr>
                      <w:b/>
                      <w:sz w:val="22"/>
                      <w:szCs w:val="22"/>
                    </w:rPr>
                    <w:t>Bidder</w:t>
                  </w:r>
                </w:p>
              </w:tc>
              <w:tc>
                <w:tcPr>
                  <w:tcW w:w="2700" w:type="dxa"/>
                </w:tcPr>
                <w:p w:rsidR="00797A18" w:rsidRPr="00797A18" w:rsidP="00797A18" w14:paraId="460D3605" w14:textId="7777777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7A18">
                    <w:rPr>
                      <w:b/>
                      <w:bCs/>
                      <w:sz w:val="22"/>
                      <w:szCs w:val="22"/>
                    </w:rPr>
                    <w:t xml:space="preserve">Number of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Licenses</w:t>
                  </w:r>
                  <w:r w:rsidRPr="00797A18">
                    <w:rPr>
                      <w:b/>
                      <w:bCs/>
                      <w:sz w:val="22"/>
                      <w:szCs w:val="22"/>
                    </w:rPr>
                    <w:t xml:space="preserve"> Won</w:t>
                  </w:r>
                </w:p>
              </w:tc>
            </w:tr>
            <w:tr w14:paraId="4517C9CA" w14:textId="77777777" w:rsidTr="00383322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797A18" w:rsidP="00797A18" w14:paraId="7F7A14A8" w14:textId="6A90B9B8">
                  <w:r>
                    <w:rPr>
                      <w:sz w:val="22"/>
                      <w:szCs w:val="22"/>
                    </w:rPr>
                    <w:t>Cellco</w:t>
                  </w:r>
                  <w:r>
                    <w:rPr>
                      <w:sz w:val="22"/>
                      <w:szCs w:val="22"/>
                    </w:rPr>
                    <w:t xml:space="preserve"> Partnership</w:t>
                  </w:r>
                </w:p>
              </w:tc>
              <w:tc>
                <w:tcPr>
                  <w:tcW w:w="2700" w:type="dxa"/>
                </w:tcPr>
                <w:p w:rsidR="00797A18" w:rsidP="00797A18" w14:paraId="09776985" w14:textId="4D31B58A">
                  <w:r>
                    <w:rPr>
                      <w:bCs/>
                      <w:sz w:val="22"/>
                      <w:szCs w:val="22"/>
                    </w:rPr>
                    <w:t>3,511</w:t>
                  </w:r>
                </w:p>
              </w:tc>
            </w:tr>
            <w:tr w14:paraId="24303DAD" w14:textId="77777777" w:rsidTr="00383322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797A18" w:rsidP="00797A18" w14:paraId="3CA5263F" w14:textId="070E45FA">
                  <w:r>
                    <w:rPr>
                      <w:sz w:val="22"/>
                      <w:szCs w:val="22"/>
                    </w:rPr>
                    <w:t>AT&amp;T Spectrum Frontiers LLC</w:t>
                  </w:r>
                </w:p>
              </w:tc>
              <w:tc>
                <w:tcPr>
                  <w:tcW w:w="2700" w:type="dxa"/>
                </w:tcPr>
                <w:p w:rsidR="00797A18" w:rsidP="00797A18" w14:paraId="26B90CE4" w14:textId="499F4F4D">
                  <w:r>
                    <w:rPr>
                      <w:bCs/>
                      <w:sz w:val="22"/>
                      <w:szCs w:val="22"/>
                    </w:rPr>
                    <w:t>1,621</w:t>
                  </w:r>
                </w:p>
              </w:tc>
            </w:tr>
            <w:tr w14:paraId="44FD1C87" w14:textId="77777777" w:rsidTr="0088115F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88115F" w:rsidRPr="005D7450" w:rsidP="00797A18" w14:paraId="00F382C6" w14:textId="209F3D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States Cellular Corp.</w:t>
                  </w:r>
                </w:p>
              </w:tc>
              <w:tc>
                <w:tcPr>
                  <w:tcW w:w="2700" w:type="dxa"/>
                </w:tcPr>
                <w:p w:rsidR="0088115F" w:rsidRPr="001A49D2" w:rsidP="00797A18" w14:paraId="18EC86D3" w14:textId="1B1ED85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254</w:t>
                  </w:r>
                </w:p>
              </w:tc>
            </w:tr>
            <w:tr w14:paraId="4D853B69" w14:textId="77777777" w:rsidTr="00FF695F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FF695F" w:rsidRPr="005D7450" w:rsidP="00797A18" w14:paraId="38EF143C" w14:textId="0D7510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T-Mobile License LLC</w:t>
                  </w:r>
                </w:p>
              </w:tc>
              <w:tc>
                <w:tcPr>
                  <w:tcW w:w="2700" w:type="dxa"/>
                </w:tcPr>
                <w:p w:rsidR="00FF695F" w:rsidRPr="001A49D2" w:rsidP="00797A18" w14:paraId="46E80143" w14:textId="7E759ED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142</w:t>
                  </w:r>
                </w:p>
              </w:tc>
            </w:tr>
            <w:tr w14:paraId="7913E0E3" w14:textId="77777777" w:rsidTr="00383322">
              <w:tblPrEx>
                <w:tblW w:w="0" w:type="auto"/>
                <w:tblLook w:val="04A0"/>
              </w:tblPrEx>
              <w:tc>
                <w:tcPr>
                  <w:tcW w:w="4657" w:type="dxa"/>
                </w:tcPr>
                <w:p w:rsidR="00797A18" w:rsidP="00797A18" w14:paraId="7E2F25FB" w14:textId="7FB221BF">
                  <w:r>
                    <w:rPr>
                      <w:sz w:val="22"/>
                      <w:szCs w:val="22"/>
                    </w:rPr>
                    <w:t>Canopy</w:t>
                  </w:r>
                  <w:r w:rsidR="006914B2">
                    <w:rPr>
                      <w:sz w:val="22"/>
                      <w:szCs w:val="22"/>
                    </w:rPr>
                    <w:t xml:space="preserve"> Spectrum</w:t>
                  </w:r>
                  <w:r w:rsidR="004F7478">
                    <w:rPr>
                      <w:sz w:val="22"/>
                      <w:szCs w:val="22"/>
                    </w:rPr>
                    <w:t>, LLC</w:t>
                  </w:r>
                </w:p>
              </w:tc>
              <w:tc>
                <w:tcPr>
                  <w:tcW w:w="2700" w:type="dxa"/>
                </w:tcPr>
                <w:p w:rsidR="00797A18" w:rsidP="00797A18" w14:paraId="71D0FA01" w14:textId="6FC5A85A">
                  <w:r>
                    <w:rPr>
                      <w:bCs/>
                      <w:sz w:val="22"/>
                      <w:szCs w:val="22"/>
                    </w:rPr>
                    <w:t>84</w:t>
                  </w:r>
                </w:p>
              </w:tc>
            </w:tr>
          </w:tbl>
          <w:p w:rsidR="00D866F2" w:rsidRPr="00797A18" w:rsidP="00D866F2" w14:paraId="384D7591" w14:textId="77777777">
            <w:pPr>
              <w:rPr>
                <w:sz w:val="22"/>
                <w:szCs w:val="22"/>
              </w:rPr>
            </w:pPr>
          </w:p>
          <w:p w:rsidR="00D866F2" w:rsidRPr="00797A18" w:rsidP="00D866F2" w14:paraId="0EA42062" w14:textId="6C542E66">
            <w:pPr>
              <w:rPr>
                <w:sz w:val="22"/>
                <w:szCs w:val="22"/>
              </w:rPr>
            </w:pPr>
            <w:r w:rsidRPr="00797A18">
              <w:rPr>
                <w:sz w:val="22"/>
                <w:szCs w:val="22"/>
              </w:rPr>
              <w:t xml:space="preserve">The Public Notice </w:t>
            </w:r>
            <w:r w:rsidR="00E12A55">
              <w:rPr>
                <w:sz w:val="22"/>
                <w:szCs w:val="22"/>
              </w:rPr>
              <w:t xml:space="preserve">summarizes </w:t>
            </w:r>
            <w:r w:rsidRPr="00797A18">
              <w:rPr>
                <w:sz w:val="22"/>
                <w:szCs w:val="22"/>
              </w:rPr>
              <w:t>auction results</w:t>
            </w:r>
            <w:r>
              <w:rPr>
                <w:sz w:val="22"/>
                <w:szCs w:val="22"/>
              </w:rPr>
              <w:t xml:space="preserve"> </w:t>
            </w:r>
            <w:r w:rsidRPr="00797A18">
              <w:rPr>
                <w:sz w:val="22"/>
                <w:szCs w:val="22"/>
              </w:rPr>
              <w:t xml:space="preserve">and announces deadlines for payments and the filing of long-form applications, as well as other post-auction procedures needed for the prompt </w:t>
            </w:r>
            <w:r w:rsidRPr="00797A18">
              <w:rPr>
                <w:sz w:val="22"/>
                <w:szCs w:val="22"/>
              </w:rPr>
              <w:t xml:space="preserve">issuance of licenses.  </w:t>
            </w:r>
            <w:r w:rsidR="008D28DA">
              <w:rPr>
                <w:sz w:val="22"/>
                <w:szCs w:val="22"/>
              </w:rPr>
              <w:t xml:space="preserve">The Public Notice, released by the </w:t>
            </w:r>
            <w:r w:rsidRPr="07F42DE7" w:rsidR="5137F7C3">
              <w:rPr>
                <w:sz w:val="22"/>
                <w:szCs w:val="22"/>
              </w:rPr>
              <w:t>Auction</w:t>
            </w:r>
            <w:r w:rsidRPr="07F42DE7" w:rsidR="038D3D27">
              <w:rPr>
                <w:sz w:val="22"/>
                <w:szCs w:val="22"/>
              </w:rPr>
              <w:t>s</w:t>
            </w:r>
            <w:r w:rsidR="008D28DA">
              <w:rPr>
                <w:sz w:val="22"/>
                <w:szCs w:val="22"/>
              </w:rPr>
              <w:t xml:space="preserve"> Division of the FCC’s Office of Economics and Analytics, is available at </w:t>
            </w:r>
            <w:hyperlink r:id="rId5" w:history="1">
              <w:r w:rsidRPr="00D41523" w:rsidR="00A27FAA">
                <w:rPr>
                  <w:rStyle w:val="Hyperlink"/>
                  <w:sz w:val="22"/>
                  <w:szCs w:val="22"/>
                </w:rPr>
                <w:t>https://docs.fcc.gov/public/attachments/DA-21-207A1.pdf</w:t>
              </w:r>
            </w:hyperlink>
            <w:r w:rsidR="00A27FAA">
              <w:rPr>
                <w:sz w:val="22"/>
                <w:szCs w:val="22"/>
              </w:rPr>
              <w:t xml:space="preserve">. </w:t>
            </w:r>
          </w:p>
          <w:p w:rsidR="00D866F2" w:rsidRPr="002E165B" w:rsidP="00797A18" w14:paraId="497B07D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FE9DFA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A36349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8BF7F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0B4B5A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9EA9F16" w14:textId="77777777">
      <w:pPr>
        <w:rPr>
          <w:b/>
          <w:bCs/>
          <w:sz w:val="2"/>
          <w:szCs w:val="2"/>
        </w:rPr>
      </w:pPr>
    </w:p>
    <w:sectPr w:rsidSect="000A05D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5B7B"/>
    <w:rsid w:val="0002500C"/>
    <w:rsid w:val="000311FC"/>
    <w:rsid w:val="00040068"/>
    <w:rsid w:val="00040127"/>
    <w:rsid w:val="00041D8D"/>
    <w:rsid w:val="00053BED"/>
    <w:rsid w:val="00065E2D"/>
    <w:rsid w:val="00072FA5"/>
    <w:rsid w:val="00073F4F"/>
    <w:rsid w:val="00081232"/>
    <w:rsid w:val="00091E65"/>
    <w:rsid w:val="00092B6F"/>
    <w:rsid w:val="00096D4A"/>
    <w:rsid w:val="000A05DC"/>
    <w:rsid w:val="000A38EA"/>
    <w:rsid w:val="000A4244"/>
    <w:rsid w:val="000B0D01"/>
    <w:rsid w:val="000B12E8"/>
    <w:rsid w:val="000C1E47"/>
    <w:rsid w:val="000C2480"/>
    <w:rsid w:val="000C26F3"/>
    <w:rsid w:val="000C620D"/>
    <w:rsid w:val="000D6763"/>
    <w:rsid w:val="000E049E"/>
    <w:rsid w:val="0010799B"/>
    <w:rsid w:val="00117DB2"/>
    <w:rsid w:val="00123ED2"/>
    <w:rsid w:val="00125BE0"/>
    <w:rsid w:val="00130774"/>
    <w:rsid w:val="00142C13"/>
    <w:rsid w:val="00152776"/>
    <w:rsid w:val="00153222"/>
    <w:rsid w:val="001577D3"/>
    <w:rsid w:val="001646A5"/>
    <w:rsid w:val="001711E4"/>
    <w:rsid w:val="001733A6"/>
    <w:rsid w:val="0018192F"/>
    <w:rsid w:val="00181B47"/>
    <w:rsid w:val="00184549"/>
    <w:rsid w:val="001865A9"/>
    <w:rsid w:val="00187DB2"/>
    <w:rsid w:val="00194BF3"/>
    <w:rsid w:val="001A49D2"/>
    <w:rsid w:val="001B0DFC"/>
    <w:rsid w:val="001B20BB"/>
    <w:rsid w:val="001C4370"/>
    <w:rsid w:val="001D3779"/>
    <w:rsid w:val="001E0D21"/>
    <w:rsid w:val="001F0469"/>
    <w:rsid w:val="001F2BBB"/>
    <w:rsid w:val="00203A98"/>
    <w:rsid w:val="00206EDD"/>
    <w:rsid w:val="00210C00"/>
    <w:rsid w:val="002115F3"/>
    <w:rsid w:val="0021247E"/>
    <w:rsid w:val="002146F6"/>
    <w:rsid w:val="00231C32"/>
    <w:rsid w:val="00240345"/>
    <w:rsid w:val="002421F0"/>
    <w:rsid w:val="00247274"/>
    <w:rsid w:val="00254184"/>
    <w:rsid w:val="00265ABE"/>
    <w:rsid w:val="00266966"/>
    <w:rsid w:val="00280F7D"/>
    <w:rsid w:val="00281B81"/>
    <w:rsid w:val="00285C36"/>
    <w:rsid w:val="00294AF3"/>
    <w:rsid w:val="00294C0C"/>
    <w:rsid w:val="002A0934"/>
    <w:rsid w:val="002A1499"/>
    <w:rsid w:val="002A6407"/>
    <w:rsid w:val="002A6A7C"/>
    <w:rsid w:val="002B1013"/>
    <w:rsid w:val="002B4F35"/>
    <w:rsid w:val="002C24D2"/>
    <w:rsid w:val="002D03E5"/>
    <w:rsid w:val="002E165B"/>
    <w:rsid w:val="002E3A0C"/>
    <w:rsid w:val="002E3F1D"/>
    <w:rsid w:val="002E55D5"/>
    <w:rsid w:val="002F31D0"/>
    <w:rsid w:val="00300359"/>
    <w:rsid w:val="0031773E"/>
    <w:rsid w:val="00327D94"/>
    <w:rsid w:val="00330CA6"/>
    <w:rsid w:val="00333871"/>
    <w:rsid w:val="00347716"/>
    <w:rsid w:val="003506E1"/>
    <w:rsid w:val="003608D3"/>
    <w:rsid w:val="003727E3"/>
    <w:rsid w:val="00375AFE"/>
    <w:rsid w:val="00376541"/>
    <w:rsid w:val="00383322"/>
    <w:rsid w:val="00385A93"/>
    <w:rsid w:val="003910F1"/>
    <w:rsid w:val="00391F42"/>
    <w:rsid w:val="00396411"/>
    <w:rsid w:val="003B7512"/>
    <w:rsid w:val="003C5F4E"/>
    <w:rsid w:val="003D0327"/>
    <w:rsid w:val="003D7499"/>
    <w:rsid w:val="003E42FC"/>
    <w:rsid w:val="003E5991"/>
    <w:rsid w:val="003F1BBB"/>
    <w:rsid w:val="003F344A"/>
    <w:rsid w:val="00403FF0"/>
    <w:rsid w:val="0042046D"/>
    <w:rsid w:val="0042116E"/>
    <w:rsid w:val="00425AEF"/>
    <w:rsid w:val="00426518"/>
    <w:rsid w:val="00427B06"/>
    <w:rsid w:val="004331F4"/>
    <w:rsid w:val="00434183"/>
    <w:rsid w:val="00441F59"/>
    <w:rsid w:val="00444E07"/>
    <w:rsid w:val="00444FA9"/>
    <w:rsid w:val="00473E9C"/>
    <w:rsid w:val="00480099"/>
    <w:rsid w:val="00481B95"/>
    <w:rsid w:val="004844FC"/>
    <w:rsid w:val="00492A40"/>
    <w:rsid w:val="004941A2"/>
    <w:rsid w:val="00497858"/>
    <w:rsid w:val="004A047C"/>
    <w:rsid w:val="004A729A"/>
    <w:rsid w:val="004B03C8"/>
    <w:rsid w:val="004B3A15"/>
    <w:rsid w:val="004B4ACA"/>
    <w:rsid w:val="004B4FEA"/>
    <w:rsid w:val="004B71AB"/>
    <w:rsid w:val="004C0ADA"/>
    <w:rsid w:val="004C433E"/>
    <w:rsid w:val="004C4512"/>
    <w:rsid w:val="004C4F36"/>
    <w:rsid w:val="004D3CB6"/>
    <w:rsid w:val="004D3D85"/>
    <w:rsid w:val="004E243E"/>
    <w:rsid w:val="004E2BD8"/>
    <w:rsid w:val="004E5BA9"/>
    <w:rsid w:val="004F0F1F"/>
    <w:rsid w:val="004F7478"/>
    <w:rsid w:val="00500284"/>
    <w:rsid w:val="005022AA"/>
    <w:rsid w:val="00504845"/>
    <w:rsid w:val="0050757F"/>
    <w:rsid w:val="00516AD2"/>
    <w:rsid w:val="00522DF9"/>
    <w:rsid w:val="005417B1"/>
    <w:rsid w:val="00545DAE"/>
    <w:rsid w:val="00567064"/>
    <w:rsid w:val="00567137"/>
    <w:rsid w:val="00571B83"/>
    <w:rsid w:val="00575A00"/>
    <w:rsid w:val="00583955"/>
    <w:rsid w:val="00586417"/>
    <w:rsid w:val="0058673C"/>
    <w:rsid w:val="00586A00"/>
    <w:rsid w:val="00596732"/>
    <w:rsid w:val="00597350"/>
    <w:rsid w:val="00597689"/>
    <w:rsid w:val="005A57BA"/>
    <w:rsid w:val="005A7972"/>
    <w:rsid w:val="005B17E7"/>
    <w:rsid w:val="005B2643"/>
    <w:rsid w:val="005C4410"/>
    <w:rsid w:val="005C4B08"/>
    <w:rsid w:val="005D006E"/>
    <w:rsid w:val="005D17FD"/>
    <w:rsid w:val="005D7450"/>
    <w:rsid w:val="005E1490"/>
    <w:rsid w:val="005E625F"/>
    <w:rsid w:val="005F0D55"/>
    <w:rsid w:val="005F183E"/>
    <w:rsid w:val="00600DDA"/>
    <w:rsid w:val="00603A30"/>
    <w:rsid w:val="00604211"/>
    <w:rsid w:val="006054AB"/>
    <w:rsid w:val="00613498"/>
    <w:rsid w:val="0061684B"/>
    <w:rsid w:val="00617B94"/>
    <w:rsid w:val="00620BED"/>
    <w:rsid w:val="00625D43"/>
    <w:rsid w:val="006415B4"/>
    <w:rsid w:val="00644E3D"/>
    <w:rsid w:val="00651B9E"/>
    <w:rsid w:val="00652019"/>
    <w:rsid w:val="00656682"/>
    <w:rsid w:val="00657EC9"/>
    <w:rsid w:val="006636E0"/>
    <w:rsid w:val="00665633"/>
    <w:rsid w:val="00666B4F"/>
    <w:rsid w:val="00667279"/>
    <w:rsid w:val="00674C86"/>
    <w:rsid w:val="0068015E"/>
    <w:rsid w:val="006861AB"/>
    <w:rsid w:val="00686B89"/>
    <w:rsid w:val="00686C42"/>
    <w:rsid w:val="0069131B"/>
    <w:rsid w:val="006914B2"/>
    <w:rsid w:val="0069420F"/>
    <w:rsid w:val="006A2FC5"/>
    <w:rsid w:val="006A50B8"/>
    <w:rsid w:val="006A7D75"/>
    <w:rsid w:val="006B0A70"/>
    <w:rsid w:val="006B606A"/>
    <w:rsid w:val="006C33AF"/>
    <w:rsid w:val="006D14CD"/>
    <w:rsid w:val="006D16EF"/>
    <w:rsid w:val="006D5D22"/>
    <w:rsid w:val="006E0324"/>
    <w:rsid w:val="006E3218"/>
    <w:rsid w:val="006E4A76"/>
    <w:rsid w:val="006F1DBD"/>
    <w:rsid w:val="00700556"/>
    <w:rsid w:val="0070589A"/>
    <w:rsid w:val="007167DD"/>
    <w:rsid w:val="00723860"/>
    <w:rsid w:val="0072478B"/>
    <w:rsid w:val="0073414D"/>
    <w:rsid w:val="007401DE"/>
    <w:rsid w:val="00745960"/>
    <w:rsid w:val="007475A1"/>
    <w:rsid w:val="0075235E"/>
    <w:rsid w:val="007528A5"/>
    <w:rsid w:val="007732CC"/>
    <w:rsid w:val="00774079"/>
    <w:rsid w:val="00776DEE"/>
    <w:rsid w:val="0077752B"/>
    <w:rsid w:val="007870EA"/>
    <w:rsid w:val="00793D6F"/>
    <w:rsid w:val="00794090"/>
    <w:rsid w:val="00797A18"/>
    <w:rsid w:val="007A44F8"/>
    <w:rsid w:val="007A7622"/>
    <w:rsid w:val="007D21BF"/>
    <w:rsid w:val="007E49AD"/>
    <w:rsid w:val="007F3C12"/>
    <w:rsid w:val="007F5205"/>
    <w:rsid w:val="0080486B"/>
    <w:rsid w:val="008156C8"/>
    <w:rsid w:val="008215E7"/>
    <w:rsid w:val="00824CCC"/>
    <w:rsid w:val="008262B6"/>
    <w:rsid w:val="00830FC6"/>
    <w:rsid w:val="0084789C"/>
    <w:rsid w:val="00850E26"/>
    <w:rsid w:val="00854CA3"/>
    <w:rsid w:val="00865EAA"/>
    <w:rsid w:val="00866F06"/>
    <w:rsid w:val="008728F5"/>
    <w:rsid w:val="0087302F"/>
    <w:rsid w:val="0088115F"/>
    <w:rsid w:val="008824C2"/>
    <w:rsid w:val="00883720"/>
    <w:rsid w:val="008960E4"/>
    <w:rsid w:val="008A3940"/>
    <w:rsid w:val="008B13C9"/>
    <w:rsid w:val="008B54D6"/>
    <w:rsid w:val="008B7DCD"/>
    <w:rsid w:val="008C248C"/>
    <w:rsid w:val="008C4239"/>
    <w:rsid w:val="008C5432"/>
    <w:rsid w:val="008C7BF1"/>
    <w:rsid w:val="008D00D6"/>
    <w:rsid w:val="008D28DA"/>
    <w:rsid w:val="008D4D00"/>
    <w:rsid w:val="008D4E5E"/>
    <w:rsid w:val="008D7ABD"/>
    <w:rsid w:val="008E5406"/>
    <w:rsid w:val="008E55A2"/>
    <w:rsid w:val="008F1609"/>
    <w:rsid w:val="008F78D8"/>
    <w:rsid w:val="00924A4F"/>
    <w:rsid w:val="0093373C"/>
    <w:rsid w:val="00960C6D"/>
    <w:rsid w:val="00961620"/>
    <w:rsid w:val="009734B6"/>
    <w:rsid w:val="00974E94"/>
    <w:rsid w:val="00976A30"/>
    <w:rsid w:val="0098096F"/>
    <w:rsid w:val="0098437A"/>
    <w:rsid w:val="0098449D"/>
    <w:rsid w:val="00986C92"/>
    <w:rsid w:val="00993C47"/>
    <w:rsid w:val="009972BC"/>
    <w:rsid w:val="009A48CC"/>
    <w:rsid w:val="009B210C"/>
    <w:rsid w:val="009B4B16"/>
    <w:rsid w:val="009C1310"/>
    <w:rsid w:val="009C697A"/>
    <w:rsid w:val="009C779F"/>
    <w:rsid w:val="009E54A1"/>
    <w:rsid w:val="009E5FC9"/>
    <w:rsid w:val="009F4E25"/>
    <w:rsid w:val="009F5B1F"/>
    <w:rsid w:val="00A0053F"/>
    <w:rsid w:val="00A11A55"/>
    <w:rsid w:val="00A225A9"/>
    <w:rsid w:val="00A27FAA"/>
    <w:rsid w:val="00A3308E"/>
    <w:rsid w:val="00A35DFD"/>
    <w:rsid w:val="00A43713"/>
    <w:rsid w:val="00A4665D"/>
    <w:rsid w:val="00A53502"/>
    <w:rsid w:val="00A702DF"/>
    <w:rsid w:val="00A72CFC"/>
    <w:rsid w:val="00A775A3"/>
    <w:rsid w:val="00A81700"/>
    <w:rsid w:val="00A81B5B"/>
    <w:rsid w:val="00A82FAD"/>
    <w:rsid w:val="00A82FD0"/>
    <w:rsid w:val="00A859D1"/>
    <w:rsid w:val="00A9673A"/>
    <w:rsid w:val="00A96EF2"/>
    <w:rsid w:val="00AA4F4A"/>
    <w:rsid w:val="00AA5C35"/>
    <w:rsid w:val="00AA5ED9"/>
    <w:rsid w:val="00AB3937"/>
    <w:rsid w:val="00AC0A38"/>
    <w:rsid w:val="00AC4794"/>
    <w:rsid w:val="00AC4E0E"/>
    <w:rsid w:val="00AC517B"/>
    <w:rsid w:val="00AD0D19"/>
    <w:rsid w:val="00AD4184"/>
    <w:rsid w:val="00AE1735"/>
    <w:rsid w:val="00AF051B"/>
    <w:rsid w:val="00AF105C"/>
    <w:rsid w:val="00AF71CB"/>
    <w:rsid w:val="00B0002C"/>
    <w:rsid w:val="00B037A2"/>
    <w:rsid w:val="00B27466"/>
    <w:rsid w:val="00B31870"/>
    <w:rsid w:val="00B320B8"/>
    <w:rsid w:val="00B35EE2"/>
    <w:rsid w:val="00B36DEF"/>
    <w:rsid w:val="00B43EF9"/>
    <w:rsid w:val="00B52E18"/>
    <w:rsid w:val="00B57131"/>
    <w:rsid w:val="00B62F2C"/>
    <w:rsid w:val="00B64E68"/>
    <w:rsid w:val="00B727C9"/>
    <w:rsid w:val="00B735C8"/>
    <w:rsid w:val="00B76A63"/>
    <w:rsid w:val="00B82718"/>
    <w:rsid w:val="00B84D26"/>
    <w:rsid w:val="00BA463E"/>
    <w:rsid w:val="00BA6350"/>
    <w:rsid w:val="00BA7AC5"/>
    <w:rsid w:val="00BB4E29"/>
    <w:rsid w:val="00BB74C9"/>
    <w:rsid w:val="00BC3AB6"/>
    <w:rsid w:val="00BD19E8"/>
    <w:rsid w:val="00BD4273"/>
    <w:rsid w:val="00BE4198"/>
    <w:rsid w:val="00BF420F"/>
    <w:rsid w:val="00BF5C4E"/>
    <w:rsid w:val="00C20B32"/>
    <w:rsid w:val="00C23DE7"/>
    <w:rsid w:val="00C31ED8"/>
    <w:rsid w:val="00C371A1"/>
    <w:rsid w:val="00C37664"/>
    <w:rsid w:val="00C432E4"/>
    <w:rsid w:val="00C5124C"/>
    <w:rsid w:val="00C60DFF"/>
    <w:rsid w:val="00C70C26"/>
    <w:rsid w:val="00C71445"/>
    <w:rsid w:val="00C72001"/>
    <w:rsid w:val="00C772B7"/>
    <w:rsid w:val="00C80347"/>
    <w:rsid w:val="00CB131A"/>
    <w:rsid w:val="00CB24D2"/>
    <w:rsid w:val="00CB418C"/>
    <w:rsid w:val="00CB4580"/>
    <w:rsid w:val="00CB4833"/>
    <w:rsid w:val="00CB7C1A"/>
    <w:rsid w:val="00CC3CB3"/>
    <w:rsid w:val="00CC5E08"/>
    <w:rsid w:val="00CE14FD"/>
    <w:rsid w:val="00CF40CF"/>
    <w:rsid w:val="00CF463D"/>
    <w:rsid w:val="00CF6860"/>
    <w:rsid w:val="00D02AC6"/>
    <w:rsid w:val="00D03F0C"/>
    <w:rsid w:val="00D04312"/>
    <w:rsid w:val="00D16A7F"/>
    <w:rsid w:val="00D16AD2"/>
    <w:rsid w:val="00D2027A"/>
    <w:rsid w:val="00D22596"/>
    <w:rsid w:val="00D225E9"/>
    <w:rsid w:val="00D22691"/>
    <w:rsid w:val="00D236EB"/>
    <w:rsid w:val="00D24C3D"/>
    <w:rsid w:val="00D266A6"/>
    <w:rsid w:val="00D35406"/>
    <w:rsid w:val="00D41523"/>
    <w:rsid w:val="00D46A40"/>
    <w:rsid w:val="00D46CB1"/>
    <w:rsid w:val="00D667A0"/>
    <w:rsid w:val="00D671D3"/>
    <w:rsid w:val="00D723F0"/>
    <w:rsid w:val="00D8133F"/>
    <w:rsid w:val="00D84F1B"/>
    <w:rsid w:val="00D861EE"/>
    <w:rsid w:val="00D866F2"/>
    <w:rsid w:val="00D958B2"/>
    <w:rsid w:val="00D95B05"/>
    <w:rsid w:val="00D97E2D"/>
    <w:rsid w:val="00DA103D"/>
    <w:rsid w:val="00DA45D3"/>
    <w:rsid w:val="00DA4772"/>
    <w:rsid w:val="00DA7B44"/>
    <w:rsid w:val="00DB0697"/>
    <w:rsid w:val="00DB223B"/>
    <w:rsid w:val="00DB2667"/>
    <w:rsid w:val="00DB367E"/>
    <w:rsid w:val="00DB67B7"/>
    <w:rsid w:val="00DC15A9"/>
    <w:rsid w:val="00DC40AA"/>
    <w:rsid w:val="00DC44D6"/>
    <w:rsid w:val="00DC4A63"/>
    <w:rsid w:val="00DC56A5"/>
    <w:rsid w:val="00DD1750"/>
    <w:rsid w:val="00DF2AB2"/>
    <w:rsid w:val="00DF7D61"/>
    <w:rsid w:val="00E11FDE"/>
    <w:rsid w:val="00E12A55"/>
    <w:rsid w:val="00E17D4C"/>
    <w:rsid w:val="00E2212C"/>
    <w:rsid w:val="00E22857"/>
    <w:rsid w:val="00E3456F"/>
    <w:rsid w:val="00E349AA"/>
    <w:rsid w:val="00E41390"/>
    <w:rsid w:val="00E41CA0"/>
    <w:rsid w:val="00E4366B"/>
    <w:rsid w:val="00E43E08"/>
    <w:rsid w:val="00E50A4A"/>
    <w:rsid w:val="00E606DE"/>
    <w:rsid w:val="00E644FE"/>
    <w:rsid w:val="00E6782C"/>
    <w:rsid w:val="00E723CC"/>
    <w:rsid w:val="00E72733"/>
    <w:rsid w:val="00E742FA"/>
    <w:rsid w:val="00E76816"/>
    <w:rsid w:val="00E83DBF"/>
    <w:rsid w:val="00E87136"/>
    <w:rsid w:val="00E87C13"/>
    <w:rsid w:val="00E9250C"/>
    <w:rsid w:val="00E948BD"/>
    <w:rsid w:val="00E94CD9"/>
    <w:rsid w:val="00E95C8B"/>
    <w:rsid w:val="00EA1A76"/>
    <w:rsid w:val="00EA290B"/>
    <w:rsid w:val="00EE0E90"/>
    <w:rsid w:val="00EF3BCA"/>
    <w:rsid w:val="00EF42A9"/>
    <w:rsid w:val="00EF729B"/>
    <w:rsid w:val="00F01B0D"/>
    <w:rsid w:val="00F07A96"/>
    <w:rsid w:val="00F1238F"/>
    <w:rsid w:val="00F16485"/>
    <w:rsid w:val="00F205ED"/>
    <w:rsid w:val="00F228ED"/>
    <w:rsid w:val="00F26E31"/>
    <w:rsid w:val="00F27C6C"/>
    <w:rsid w:val="00F34A8D"/>
    <w:rsid w:val="00F41F06"/>
    <w:rsid w:val="00F475BC"/>
    <w:rsid w:val="00F50D25"/>
    <w:rsid w:val="00F535D8"/>
    <w:rsid w:val="00F61155"/>
    <w:rsid w:val="00F64F4B"/>
    <w:rsid w:val="00F708E3"/>
    <w:rsid w:val="00F76561"/>
    <w:rsid w:val="00F80CA8"/>
    <w:rsid w:val="00F84736"/>
    <w:rsid w:val="00F8728C"/>
    <w:rsid w:val="00F92A41"/>
    <w:rsid w:val="00FA0390"/>
    <w:rsid w:val="00FA6CA0"/>
    <w:rsid w:val="00FB0544"/>
    <w:rsid w:val="00FC10D7"/>
    <w:rsid w:val="00FC4978"/>
    <w:rsid w:val="00FC6C29"/>
    <w:rsid w:val="00FD58E0"/>
    <w:rsid w:val="00FD71AE"/>
    <w:rsid w:val="00FE0198"/>
    <w:rsid w:val="00FE3A7C"/>
    <w:rsid w:val="00FE7265"/>
    <w:rsid w:val="00FF1C0B"/>
    <w:rsid w:val="00FF232D"/>
    <w:rsid w:val="00FF695F"/>
    <w:rsid w:val="00FF7F9B"/>
    <w:rsid w:val="038D3D27"/>
    <w:rsid w:val="07F42DE7"/>
    <w:rsid w:val="1938E70C"/>
    <w:rsid w:val="255020A7"/>
    <w:rsid w:val="2934DC62"/>
    <w:rsid w:val="2A43E10C"/>
    <w:rsid w:val="2E8B42D3"/>
    <w:rsid w:val="305C4BC2"/>
    <w:rsid w:val="45C44FC5"/>
    <w:rsid w:val="4E3C962B"/>
    <w:rsid w:val="5137F7C3"/>
    <w:rsid w:val="5B8A6134"/>
    <w:rsid w:val="7803E2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1BA18B6-684B-478D-833D-338F84B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9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262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6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62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2B6"/>
    <w:rPr>
      <w:b/>
      <w:bCs/>
    </w:rPr>
  </w:style>
  <w:style w:type="paragraph" w:styleId="Revision">
    <w:name w:val="Revision"/>
    <w:hidden/>
    <w:uiPriority w:val="99"/>
    <w:semiHidden/>
    <w:rsid w:val="00D84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1-207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