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54B54059">
            <w:pPr>
              <w:tabs>
                <w:tab w:val="center" w:pos="4680"/>
              </w:tabs>
              <w:suppressAutoHyphens/>
              <w:rPr>
                <w:spacing w:val="-2"/>
              </w:rPr>
            </w:pPr>
            <w:r>
              <w:rPr>
                <w:spacing w:val="-2"/>
              </w:rPr>
              <w:t>Sucremedia, Inc.</w:t>
            </w:r>
          </w:p>
          <w:p w:rsidR="00AD2A9B" w:rsidP="007115F7" w14:paraId="0FF0DD5B" w14:textId="10B8AC93">
            <w:pPr>
              <w:tabs>
                <w:tab w:val="center" w:pos="4680"/>
              </w:tabs>
              <w:suppressAutoHyphens/>
              <w:rPr>
                <w:spacing w:val="-2"/>
              </w:rPr>
            </w:pPr>
            <w:r>
              <w:rPr>
                <w:spacing w:val="-2"/>
              </w:rPr>
              <w:t xml:space="preserve">Licensee of Station </w:t>
            </w:r>
            <w:r w:rsidR="006140DB">
              <w:rPr>
                <w:spacing w:val="-2"/>
              </w:rPr>
              <w:t>WBVL-LP</w:t>
            </w:r>
          </w:p>
          <w:p w:rsidR="00AD2A9B" w:rsidP="007115F7" w14:paraId="198BBC1D" w14:textId="77777777">
            <w:pPr>
              <w:tabs>
                <w:tab w:val="center" w:pos="4680"/>
              </w:tabs>
              <w:suppressAutoHyphens/>
              <w:rPr>
                <w:spacing w:val="-2"/>
              </w:rPr>
            </w:pPr>
          </w:p>
          <w:p w:rsidR="00AD2A9B" w:rsidRPr="00AD2A9B" w:rsidP="007115F7" w14:paraId="07E9B480" w14:textId="68D5FE9B">
            <w:pPr>
              <w:tabs>
                <w:tab w:val="center" w:pos="4680"/>
              </w:tabs>
              <w:suppressAutoHyphens/>
              <w:rPr>
                <w:spacing w:val="-2"/>
              </w:rPr>
            </w:pPr>
            <w:r>
              <w:rPr>
                <w:spacing w:val="-2"/>
              </w:rPr>
              <w:t>Kissimmee,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427011A3">
            <w:pPr>
              <w:tabs>
                <w:tab w:val="center" w:pos="4680"/>
              </w:tabs>
              <w:suppressAutoHyphens/>
              <w:rPr>
                <w:spacing w:val="-2"/>
              </w:rPr>
            </w:pPr>
            <w:r>
              <w:rPr>
                <w:spacing w:val="-2"/>
              </w:rPr>
              <w:t>File No.:</w:t>
            </w:r>
            <w:r w:rsidR="006140DB">
              <w:rPr>
                <w:spacing w:val="-2"/>
              </w:rPr>
              <w:t xml:space="preserve"> EB-FIELDSCR-20-00031737</w:t>
            </w:r>
          </w:p>
          <w:p w:rsidR="00871A68" w:rsidP="00871A68" w14:paraId="64EA2C6B" w14:textId="77777777">
            <w:pPr>
              <w:tabs>
                <w:tab w:val="center" w:pos="4680"/>
              </w:tabs>
              <w:suppressAutoHyphens/>
              <w:rPr>
                <w:spacing w:val="-2"/>
              </w:rPr>
            </w:pPr>
          </w:p>
          <w:p w:rsidR="00871A68" w:rsidRPr="00D55FBC" w:rsidP="00871A68" w14:paraId="3CD3B037" w14:textId="68DC4259">
            <w:pPr>
              <w:tabs>
                <w:tab w:val="center" w:pos="4680"/>
              </w:tabs>
              <w:suppressAutoHyphens/>
              <w:rPr>
                <w:spacing w:val="-2"/>
              </w:rPr>
            </w:pPr>
            <w:r>
              <w:rPr>
                <w:spacing w:val="-2"/>
              </w:rPr>
              <w:t>Facility ID:</w:t>
            </w:r>
            <w:r>
              <w:rPr>
                <w:spacing w:val="-2"/>
              </w:rPr>
              <w:t xml:space="preserve"> 133444</w:t>
            </w:r>
          </w:p>
          <w:p w:rsidR="00D55FBC" w:rsidRPr="00D55FBC" w14:paraId="69D84720" w14:textId="3DF9DBD0">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2F71A184">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1826">
        <w:rPr>
          <w:b/>
          <w:spacing w:val="-2"/>
        </w:rPr>
        <w:t>March 2</w:t>
      </w:r>
      <w:r w:rsidR="00871A68">
        <w:rPr>
          <w:b/>
          <w:spacing w:val="-2"/>
        </w:rPr>
        <w:t>, 2021</w:t>
      </w:r>
    </w:p>
    <w:p w:rsidR="00822CE0" w14:paraId="30D3BF8B" w14:textId="77777777"/>
    <w:p w:rsidR="004C2EE3" w14:paraId="466808CB" w14:textId="32EC1AB1">
      <w:pPr>
        <w:rPr>
          <w:spacing w:val="-2"/>
        </w:rPr>
      </w:pPr>
      <w:r>
        <w:t xml:space="preserve">By </w:t>
      </w:r>
      <w:r w:rsidR="004E4A22">
        <w:t>the</w:t>
      </w:r>
      <w:r w:rsidR="002A2D2E">
        <w:t xml:space="preserve"> </w:t>
      </w:r>
      <w:r w:rsidR="00AD2A9B">
        <w:rPr>
          <w:spacing w:val="-2"/>
        </w:rPr>
        <w:t xml:space="preserve">Regional Director, Region </w:t>
      </w:r>
      <w:r w:rsidR="00871A68">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13740C99">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871A68">
        <w:t>Sucremedia, Inc.</w:t>
      </w:r>
      <w:r w:rsidRPr="00AD2A9B">
        <w:t xml:space="preserve">, licensee of radio station </w:t>
      </w:r>
      <w:r w:rsidR="00871A68">
        <w:t>WBVL-LP</w:t>
      </w:r>
      <w:r w:rsidR="008F05EC">
        <w:t xml:space="preserve"> </w:t>
      </w:r>
      <w:r w:rsidRPr="00AD2A9B">
        <w:t xml:space="preserve">in </w:t>
      </w:r>
      <w:r w:rsidR="00871A68">
        <w:t>Kissimmee, Florida</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23598F0E">
      <w:pPr>
        <w:pStyle w:val="ParaNum"/>
      </w:pPr>
      <w:r w:rsidRPr="008F05EC">
        <w:t xml:space="preserve">On </w:t>
      </w:r>
      <w:r w:rsidR="00617EAE">
        <w:t>December 27, 2020</w:t>
      </w:r>
      <w:r w:rsidRPr="008F05EC">
        <w:t xml:space="preserve">, </w:t>
      </w:r>
      <w:r w:rsidR="00BF2EA9">
        <w:t xml:space="preserve">after receiving a complaint from the Federal Aviation Administration (FAA), </w:t>
      </w:r>
      <w:r w:rsidR="00617EAE">
        <w:t>A</w:t>
      </w:r>
      <w:r w:rsidRPr="008F05EC">
        <w:t>gent</w:t>
      </w:r>
      <w:r w:rsidR="00617EAE">
        <w:t>s</w:t>
      </w:r>
      <w:r w:rsidRPr="008F05EC">
        <w:t xml:space="preserve"> of the Enforcement Bureau’s </w:t>
      </w:r>
      <w:r w:rsidR="00617EAE">
        <w:t>Miami</w:t>
      </w:r>
      <w:r w:rsidRPr="008F05EC">
        <w:t xml:space="preserve"> Office </w:t>
      </w:r>
      <w:r w:rsidR="00E758C7">
        <w:t>investigated</w:t>
      </w:r>
      <w:r w:rsidR="00F80304">
        <w:t xml:space="preserve"> </w:t>
      </w:r>
      <w:r w:rsidRPr="00AD2A9B">
        <w:t xml:space="preserve">radio station </w:t>
      </w:r>
      <w:r w:rsidR="00F80304">
        <w:t>WBVL-LP</w:t>
      </w:r>
      <w:r w:rsidR="00E758C7">
        <w:t xml:space="preserve"> operations</w:t>
      </w:r>
      <w:r>
        <w:t xml:space="preserve"> </w:t>
      </w:r>
      <w:r w:rsidR="00F80304">
        <w:t>in Kissimmee, Florida,</w:t>
      </w:r>
      <w:r w:rsidRPr="008F05EC">
        <w:t xml:space="preserve"> and observed the following violation:</w:t>
      </w:r>
    </w:p>
    <w:p w:rsidR="008F05EC" w:rsidRPr="009D1838" w:rsidP="009D1838" w14:paraId="7BA3FEFA" w14:textId="5DC47C09">
      <w:pPr>
        <w:numPr>
          <w:ilvl w:val="0"/>
          <w:numId w:val="7"/>
        </w:numPr>
        <w:spacing w:after="120"/>
        <w:rPr>
          <w:szCs w:val="22"/>
        </w:rPr>
      </w:pPr>
      <w:r w:rsidRPr="00F45F23">
        <w:rPr>
          <w:szCs w:val="22"/>
        </w:rPr>
        <w:t xml:space="preserve">47 CFR § </w:t>
      </w:r>
      <w:r w:rsidRPr="00F45F23" w:rsidR="00E758C7">
        <w:rPr>
          <w:szCs w:val="22"/>
        </w:rPr>
        <w:t>73.508(b)</w:t>
      </w:r>
      <w:r w:rsidRPr="00F45F23">
        <w:rPr>
          <w:szCs w:val="22"/>
        </w:rPr>
        <w:t xml:space="preserve"> “</w:t>
      </w:r>
      <w:r w:rsidRPr="00F45F23" w:rsidR="00E758C7">
        <w:rPr>
          <w:szCs w:val="22"/>
        </w:rPr>
        <w:t xml:space="preserve">The transmitter and associated transmitting equipment of each noncommercial educational FM station and LPFM station licensed for transmitter power output above 10 watts must be designed, constructed and operated in accordance with § 73.317.”  47 C.F.R. § 73.317(d): </w:t>
      </w:r>
      <w:r w:rsidRPr="00747CEE" w:rsidR="00E758C7">
        <w:rPr>
          <w:szCs w:val="22"/>
        </w:rPr>
        <w:t>“</w:t>
      </w:r>
      <w:r w:rsidRPr="00526971" w:rsidR="00F45F23">
        <w:rPr>
          <w:szCs w:val="22"/>
          <w:shd w:val="clear" w:color="auto" w:fill="FFFFFF"/>
        </w:rPr>
        <w:t>Any emission appearing on a frequency removed from the carrier by more than 600 kHz must be attenuated at least 43 + 10 Log</w:t>
      </w:r>
      <w:r w:rsidRPr="00FF3088" w:rsidR="00F45F23">
        <w:rPr>
          <w:rStyle w:val="sup"/>
          <w:szCs w:val="22"/>
          <w:shd w:val="clear" w:color="auto" w:fill="FFFFFF"/>
          <w:vertAlign w:val="subscript"/>
        </w:rPr>
        <w:t>10</w:t>
      </w:r>
      <w:r w:rsidRPr="00526971" w:rsidR="00F45F23">
        <w:rPr>
          <w:szCs w:val="22"/>
          <w:shd w:val="clear" w:color="auto" w:fill="FFFFFF"/>
        </w:rPr>
        <w:t> (Power, in watts) dB below the level of the unmodulated carrier, or 80 dB, whichever is the lesser attenuation.</w:t>
      </w:r>
      <w:r w:rsidRPr="00747CEE" w:rsidR="00F45F23">
        <w:rPr>
          <w:szCs w:val="22"/>
        </w:rPr>
        <w:t>”</w:t>
      </w:r>
      <w:r w:rsidR="00F45F23">
        <w:rPr>
          <w:szCs w:val="22"/>
        </w:rPr>
        <w:t xml:space="preserve">  WBVL-LP is licensed to operate </w:t>
      </w:r>
      <w:r w:rsidR="008661DC">
        <w:rPr>
          <w:szCs w:val="22"/>
        </w:rPr>
        <w:t xml:space="preserve">on 99.7 MHz </w:t>
      </w:r>
      <w:r w:rsidR="00F45F23">
        <w:rPr>
          <w:szCs w:val="22"/>
        </w:rPr>
        <w:t xml:space="preserve">at a maximum Effective Radiated Power (ERP) of 89 Watts.  Thus, </w:t>
      </w:r>
      <w:r w:rsidR="0049690C">
        <w:rPr>
          <w:szCs w:val="22"/>
        </w:rPr>
        <w:t>spurious emission</w:t>
      </w:r>
      <w:r w:rsidR="002B05F0">
        <w:rPr>
          <w:szCs w:val="22"/>
        </w:rPr>
        <w:t>s</w:t>
      </w:r>
      <w:r w:rsidR="0049690C">
        <w:rPr>
          <w:szCs w:val="22"/>
        </w:rPr>
        <w:t xml:space="preserve"> appearing </w:t>
      </w:r>
      <w:r w:rsidR="008661DC">
        <w:rPr>
          <w:szCs w:val="22"/>
        </w:rPr>
        <w:t xml:space="preserve">on a frequency removed </w:t>
      </w:r>
      <w:r w:rsidR="0049690C">
        <w:rPr>
          <w:szCs w:val="22"/>
        </w:rPr>
        <w:t xml:space="preserve">from the carrier </w:t>
      </w:r>
      <w:r w:rsidR="008661DC">
        <w:rPr>
          <w:szCs w:val="22"/>
        </w:rPr>
        <w:t xml:space="preserve">(99.7 MHz) </w:t>
      </w:r>
      <w:r w:rsidR="0049690C">
        <w:rPr>
          <w:szCs w:val="22"/>
        </w:rPr>
        <w:t xml:space="preserve">by </w:t>
      </w:r>
      <w:r w:rsidR="0023517C">
        <w:rPr>
          <w:szCs w:val="22"/>
        </w:rPr>
        <w:t xml:space="preserve">more than 600 kHz must be attenuated </w:t>
      </w:r>
      <w:r w:rsidR="0049690C">
        <w:rPr>
          <w:szCs w:val="22"/>
        </w:rPr>
        <w:t xml:space="preserve">at least 62.49 </w:t>
      </w:r>
      <w:r w:rsidR="0049690C">
        <w:rPr>
          <w:szCs w:val="22"/>
        </w:rPr>
        <w:t>dB.</w:t>
      </w:r>
      <w:r w:rsidR="0049690C">
        <w:rPr>
          <w:szCs w:val="22"/>
        </w:rPr>
        <w:t xml:space="preserve">  </w:t>
      </w:r>
      <w:r w:rsidR="008661DC">
        <w:rPr>
          <w:szCs w:val="22"/>
        </w:rPr>
        <w:t>The fundamental frequency</w:t>
      </w:r>
      <w:r w:rsidR="0023517C">
        <w:rPr>
          <w:szCs w:val="22"/>
        </w:rPr>
        <w:t>,</w:t>
      </w:r>
      <w:r w:rsidR="008661DC">
        <w:rPr>
          <w:szCs w:val="22"/>
        </w:rPr>
        <w:t xml:space="preserve"> 99.7 MHz</w:t>
      </w:r>
      <w:r w:rsidR="0023517C">
        <w:rPr>
          <w:szCs w:val="22"/>
        </w:rPr>
        <w:t>,</w:t>
      </w:r>
      <w:r w:rsidR="008661DC">
        <w:rPr>
          <w:szCs w:val="22"/>
        </w:rPr>
        <w:t xml:space="preserve"> had a field strength level of 1.749 dBm.  </w:t>
      </w:r>
      <w:r w:rsidR="0049690C">
        <w:rPr>
          <w:szCs w:val="22"/>
        </w:rPr>
        <w:t xml:space="preserve">The Enforcement Bureau’s </w:t>
      </w:r>
      <w:r w:rsidR="00F160E4">
        <w:rPr>
          <w:szCs w:val="22"/>
        </w:rPr>
        <w:t>A</w:t>
      </w:r>
      <w:r w:rsidR="0049690C">
        <w:rPr>
          <w:szCs w:val="22"/>
        </w:rPr>
        <w:t xml:space="preserve">gents </w:t>
      </w:r>
      <w:r w:rsidR="00404B78">
        <w:rPr>
          <w:szCs w:val="22"/>
        </w:rPr>
        <w:t xml:space="preserve">measured </w:t>
      </w:r>
      <w:r w:rsidR="0049690C">
        <w:rPr>
          <w:szCs w:val="22"/>
        </w:rPr>
        <w:t xml:space="preserve">spurious emissions </w:t>
      </w:r>
      <w:r w:rsidR="008E28ED">
        <w:rPr>
          <w:szCs w:val="22"/>
        </w:rPr>
        <w:t xml:space="preserve">emanating </w:t>
      </w:r>
      <w:r w:rsidR="0049690C">
        <w:rPr>
          <w:szCs w:val="22"/>
        </w:rPr>
        <w:t xml:space="preserve">from </w:t>
      </w:r>
      <w:r w:rsidR="00894B32">
        <w:rPr>
          <w:szCs w:val="22"/>
        </w:rPr>
        <w:t xml:space="preserve">the </w:t>
      </w:r>
      <w:r w:rsidR="0049690C">
        <w:rPr>
          <w:szCs w:val="22"/>
        </w:rPr>
        <w:t>WBVL-LP transmitter</w:t>
      </w:r>
      <w:r w:rsidR="00404B78">
        <w:rPr>
          <w:szCs w:val="22"/>
        </w:rPr>
        <w:t xml:space="preserve"> on six frequencies that were all removed by more than 600 kHz from the carrier</w:t>
      </w:r>
      <w:r w:rsidR="008E28ED">
        <w:rPr>
          <w:szCs w:val="22"/>
        </w:rPr>
        <w:t>.</w:t>
      </w:r>
      <w:r w:rsidR="0049690C">
        <w:rPr>
          <w:szCs w:val="22"/>
        </w:rPr>
        <w:t xml:space="preserve"> </w:t>
      </w:r>
      <w:r w:rsidR="008E28ED">
        <w:rPr>
          <w:szCs w:val="22"/>
        </w:rPr>
        <w:t xml:space="preserve"> Spurious emissions </w:t>
      </w:r>
      <w:r w:rsidR="00894B32">
        <w:rPr>
          <w:szCs w:val="22"/>
        </w:rPr>
        <w:t xml:space="preserve">on 114.145 MHz </w:t>
      </w:r>
      <w:r w:rsidR="008E28ED">
        <w:rPr>
          <w:szCs w:val="22"/>
        </w:rPr>
        <w:t>had</w:t>
      </w:r>
      <w:r w:rsidR="00894B32">
        <w:rPr>
          <w:szCs w:val="22"/>
        </w:rPr>
        <w:t xml:space="preserve"> a </w:t>
      </w:r>
      <w:r w:rsidR="007811E8">
        <w:rPr>
          <w:szCs w:val="22"/>
        </w:rPr>
        <w:t>field strength</w:t>
      </w:r>
      <w:r w:rsidR="00894B32">
        <w:rPr>
          <w:szCs w:val="22"/>
        </w:rPr>
        <w:t xml:space="preserve"> level of</w:t>
      </w:r>
      <w:r w:rsidRPr="009D1838" w:rsidR="00894B32">
        <w:rPr>
          <w:szCs w:val="22"/>
        </w:rPr>
        <w:t xml:space="preserve"> </w:t>
      </w:r>
      <w:r w:rsidR="00DA4480">
        <w:rPr>
          <w:szCs w:val="22"/>
        </w:rPr>
        <w:noBreakHyphen/>
        <w:t>47.89</w:t>
      </w:r>
      <w:r w:rsidRPr="009D1838" w:rsidR="00894B32">
        <w:rPr>
          <w:szCs w:val="22"/>
        </w:rPr>
        <w:t xml:space="preserve"> dBm, 115.850 MHz </w:t>
      </w:r>
      <w:r w:rsidRPr="009D1838" w:rsidR="008E28ED">
        <w:rPr>
          <w:szCs w:val="22"/>
        </w:rPr>
        <w:t xml:space="preserve">had a </w:t>
      </w:r>
      <w:r w:rsidRPr="009D1838" w:rsidR="007811E8">
        <w:rPr>
          <w:szCs w:val="22"/>
        </w:rPr>
        <w:t>field strength</w:t>
      </w:r>
      <w:r w:rsidRPr="009D1838" w:rsidR="00894B32">
        <w:rPr>
          <w:szCs w:val="22"/>
        </w:rPr>
        <w:t xml:space="preserve"> level of -35.92 dBm, 118.385 MHz </w:t>
      </w:r>
      <w:r w:rsidRPr="009D1838" w:rsidR="008E28ED">
        <w:rPr>
          <w:szCs w:val="22"/>
        </w:rPr>
        <w:t xml:space="preserve">had </w:t>
      </w:r>
      <w:r w:rsidRPr="009D1838" w:rsidR="00894B32">
        <w:rPr>
          <w:szCs w:val="22"/>
        </w:rPr>
        <w:t xml:space="preserve">a </w:t>
      </w:r>
      <w:r w:rsidRPr="009D1838" w:rsidR="007811E8">
        <w:rPr>
          <w:szCs w:val="22"/>
        </w:rPr>
        <w:t xml:space="preserve">field strength </w:t>
      </w:r>
      <w:r w:rsidRPr="009D1838" w:rsidR="00894B32">
        <w:rPr>
          <w:szCs w:val="22"/>
        </w:rPr>
        <w:t xml:space="preserve">level of -20.38 dBm, 120.995 MHz </w:t>
      </w:r>
      <w:r w:rsidRPr="009D1838" w:rsidR="008E28ED">
        <w:rPr>
          <w:szCs w:val="22"/>
        </w:rPr>
        <w:t>had</w:t>
      </w:r>
      <w:r w:rsidRPr="009D1838" w:rsidR="00894B32">
        <w:rPr>
          <w:szCs w:val="22"/>
        </w:rPr>
        <w:t xml:space="preserve"> a </w:t>
      </w:r>
      <w:r w:rsidRPr="009D1838" w:rsidR="007811E8">
        <w:rPr>
          <w:szCs w:val="22"/>
        </w:rPr>
        <w:t>field strength</w:t>
      </w:r>
      <w:r w:rsidRPr="009D1838" w:rsidR="00894B32">
        <w:rPr>
          <w:szCs w:val="22"/>
        </w:rPr>
        <w:t xml:space="preserve"> level of -22.59 dBm, 134.585 MHz </w:t>
      </w:r>
      <w:r w:rsidRPr="009D1838" w:rsidR="008E28ED">
        <w:rPr>
          <w:szCs w:val="22"/>
        </w:rPr>
        <w:t>had</w:t>
      </w:r>
      <w:r w:rsidRPr="009D1838" w:rsidR="00894B32">
        <w:rPr>
          <w:szCs w:val="22"/>
        </w:rPr>
        <w:t xml:space="preserve"> a </w:t>
      </w:r>
      <w:r w:rsidRPr="009D1838" w:rsidR="007811E8">
        <w:rPr>
          <w:szCs w:val="22"/>
        </w:rPr>
        <w:t>field strength</w:t>
      </w:r>
      <w:r w:rsidRPr="009D1838" w:rsidR="00894B32">
        <w:rPr>
          <w:szCs w:val="22"/>
        </w:rPr>
        <w:t xml:space="preserve"> level of -53.15 dBm, and 135.765 MHz </w:t>
      </w:r>
      <w:r w:rsidRPr="009D1838" w:rsidR="008E28ED">
        <w:rPr>
          <w:szCs w:val="22"/>
        </w:rPr>
        <w:t>had</w:t>
      </w:r>
      <w:r w:rsidRPr="009D1838" w:rsidR="00894B32">
        <w:rPr>
          <w:szCs w:val="22"/>
        </w:rPr>
        <w:t xml:space="preserve"> a </w:t>
      </w:r>
      <w:r w:rsidRPr="009D1838" w:rsidR="007811E8">
        <w:rPr>
          <w:szCs w:val="22"/>
        </w:rPr>
        <w:t>field strength</w:t>
      </w:r>
      <w:r w:rsidRPr="009D1838" w:rsidR="00894B32">
        <w:rPr>
          <w:szCs w:val="22"/>
        </w:rPr>
        <w:t xml:space="preserve"> level of -55.45 dBm.</w:t>
      </w:r>
      <w:r w:rsidRPr="009D1838" w:rsidR="00B07BBC">
        <w:rPr>
          <w:szCs w:val="22"/>
        </w:rPr>
        <w:t xml:space="preserve"> </w:t>
      </w:r>
      <w:r w:rsidRPr="009D1838" w:rsidR="00894B32">
        <w:rPr>
          <w:szCs w:val="22"/>
        </w:rPr>
        <w:t xml:space="preserve"> </w:t>
      </w:r>
      <w:r w:rsidRPr="009D1838" w:rsidR="0086027C">
        <w:rPr>
          <w:szCs w:val="22"/>
        </w:rPr>
        <w:t>All of</w:t>
      </w:r>
      <w:r w:rsidRPr="009D1838" w:rsidR="0086027C">
        <w:rPr>
          <w:szCs w:val="22"/>
        </w:rPr>
        <w:t xml:space="preserve"> the spurious emissions were </w:t>
      </w:r>
      <w:r w:rsidRPr="00053AE3" w:rsidR="00053AE3">
        <w:rPr>
          <w:szCs w:val="22"/>
        </w:rPr>
        <w:t>attenuated less than 62.49 dB from the fundamental frequency</w:t>
      </w:r>
      <w:r w:rsidRPr="009D1838" w:rsidR="0086027C">
        <w:rPr>
          <w:szCs w:val="22"/>
        </w:rPr>
        <w:t xml:space="preserve">.  </w:t>
      </w:r>
      <w:r w:rsidRPr="009D1838" w:rsidR="007811E8">
        <w:rPr>
          <w:szCs w:val="22"/>
        </w:rPr>
        <w:t>Thus, t</w:t>
      </w:r>
      <w:r w:rsidRPr="009D1838" w:rsidR="00894B32">
        <w:rPr>
          <w:szCs w:val="22"/>
        </w:rPr>
        <w:t xml:space="preserve">he </w:t>
      </w:r>
      <w:r w:rsidRPr="009D1838" w:rsidR="009D627E">
        <w:rPr>
          <w:szCs w:val="22"/>
        </w:rPr>
        <w:t xml:space="preserve">measured </w:t>
      </w:r>
      <w:r w:rsidRPr="009D1838" w:rsidR="00894B32">
        <w:rPr>
          <w:szCs w:val="22"/>
        </w:rPr>
        <w:t>spurious emission</w:t>
      </w:r>
      <w:r w:rsidRPr="009D1838" w:rsidR="00E61755">
        <w:rPr>
          <w:szCs w:val="22"/>
        </w:rPr>
        <w:t>s</w:t>
      </w:r>
      <w:r w:rsidRPr="009D1838" w:rsidR="0086027C">
        <w:rPr>
          <w:szCs w:val="22"/>
        </w:rPr>
        <w:t>’</w:t>
      </w:r>
      <w:r w:rsidRPr="009D1838" w:rsidR="0049690C">
        <w:rPr>
          <w:szCs w:val="22"/>
        </w:rPr>
        <w:t xml:space="preserve"> </w:t>
      </w:r>
      <w:r w:rsidRPr="009D1838" w:rsidR="007811E8">
        <w:rPr>
          <w:szCs w:val="22"/>
        </w:rPr>
        <w:t>field strength</w:t>
      </w:r>
      <w:r w:rsidRPr="009D1838" w:rsidR="0049690C">
        <w:rPr>
          <w:szCs w:val="22"/>
        </w:rPr>
        <w:t xml:space="preserve"> levels </w:t>
      </w:r>
      <w:r w:rsidRPr="009D1838" w:rsidR="009D627E">
        <w:rPr>
          <w:szCs w:val="22"/>
        </w:rPr>
        <w:t>were all</w:t>
      </w:r>
      <w:r w:rsidRPr="009D1838" w:rsidR="00894B32">
        <w:rPr>
          <w:szCs w:val="22"/>
        </w:rPr>
        <w:t xml:space="preserve"> </w:t>
      </w:r>
      <w:r w:rsidRPr="009D1838" w:rsidR="0049690C">
        <w:rPr>
          <w:szCs w:val="22"/>
        </w:rPr>
        <w:t xml:space="preserve">in excess of the limit for such emissions determined </w:t>
      </w:r>
      <w:r w:rsidRPr="009D1838" w:rsidR="0049690C">
        <w:rPr>
          <w:szCs w:val="22"/>
        </w:rPr>
        <w:t>pursuant to Section 73.317(d) of the Commission’s rules.</w:t>
      </w:r>
    </w:p>
    <w:p w:rsidR="002337B1" w:rsidRPr="00F45F23" w:rsidP="008F05EC" w14:paraId="55BAB942" w14:textId="7A3F7BD6">
      <w:pPr>
        <w:numPr>
          <w:ilvl w:val="0"/>
          <w:numId w:val="7"/>
        </w:numPr>
        <w:spacing w:after="120"/>
        <w:rPr>
          <w:szCs w:val="22"/>
        </w:rPr>
      </w:pPr>
      <w:r>
        <w:rPr>
          <w:szCs w:val="22"/>
        </w:rPr>
        <w:t>47 C.F.R. § 73.845: “</w:t>
      </w:r>
      <w:r w:rsidRPr="00287E6E">
        <w:rPr>
          <w:szCs w:val="22"/>
        </w:rPr>
        <w:t>Each licensee is responsible for maintaining and operating its broadcast station in a manner which complies with the technical rules set forth elsewhere in this part and in accordance with the terms of the station authorization.</w:t>
      </w:r>
      <w:r w:rsidRPr="00287E6E" w:rsidR="00287E6E">
        <w:rPr>
          <w:szCs w:val="22"/>
        </w:rPr>
        <w:t xml:space="preserve">  </w:t>
      </w:r>
      <w:r w:rsidRPr="00287E6E" w:rsidR="00287E6E">
        <w:rPr>
          <w:szCs w:val="22"/>
          <w:lang w:val="en"/>
        </w:rPr>
        <w:t>In the event that</w:t>
      </w:r>
      <w:r w:rsidRPr="00287E6E" w:rsidR="00287E6E">
        <w:rPr>
          <w:szCs w:val="22"/>
          <w:lang w:val="en"/>
        </w:rPr>
        <w:t xml:space="preserve"> an LPFM station is operating in a manner that is not in compliance with the technical rules set forth elsewhere in this part or the terms of the station authorization, broadcast operation must be terminated within three hours.</w:t>
      </w:r>
      <w:r w:rsidRPr="00287E6E">
        <w:rPr>
          <w:szCs w:val="22"/>
        </w:rPr>
        <w:t xml:space="preserve">”  At the time of the inspection, the </w:t>
      </w:r>
      <w:r w:rsidR="00F70B85">
        <w:rPr>
          <w:szCs w:val="22"/>
        </w:rPr>
        <w:t xml:space="preserve">WBVL-LP </w:t>
      </w:r>
      <w:r w:rsidRPr="00287E6E">
        <w:rPr>
          <w:szCs w:val="22"/>
        </w:rPr>
        <w:t xml:space="preserve">transmitter was </w:t>
      </w:r>
      <w:r w:rsidRPr="008661DC">
        <w:rPr>
          <w:szCs w:val="22"/>
        </w:rPr>
        <w:t>emitting spurious signals</w:t>
      </w:r>
      <w:r>
        <w:rPr>
          <w:szCs w:val="22"/>
        </w:rPr>
        <w:t xml:space="preserve"> on 114.145 MHz, 115.850 MHz, 118.385 MHz, 120.995 MHz, 134.585 MHz, and 135.765 </w:t>
      </w:r>
      <w:r>
        <w:rPr>
          <w:szCs w:val="22"/>
        </w:rPr>
        <w:t>MHz</w:t>
      </w:r>
      <w:r w:rsidR="00747CEE">
        <w:rPr>
          <w:szCs w:val="22"/>
        </w:rPr>
        <w:t>.</w:t>
      </w:r>
      <w:r w:rsidR="00747CEE">
        <w:rPr>
          <w:szCs w:val="22"/>
        </w:rPr>
        <w:t xml:space="preserve">  </w:t>
      </w:r>
      <w:r w:rsidR="00F70B85">
        <w:rPr>
          <w:szCs w:val="22"/>
        </w:rPr>
        <w:t>WBVL-LP</w:t>
      </w:r>
      <w:r w:rsidR="005473E7">
        <w:rPr>
          <w:szCs w:val="22"/>
        </w:rPr>
        <w:t xml:space="preserve">’s license did not authorize it to operate </w:t>
      </w:r>
      <w:r w:rsidR="00F70B85">
        <w:rPr>
          <w:szCs w:val="22"/>
        </w:rPr>
        <w:t>on these frequencies</w:t>
      </w:r>
      <w:r>
        <w:rPr>
          <w:szCs w:val="22"/>
        </w:rPr>
        <w:t>.</w:t>
      </w:r>
      <w:r w:rsidR="00287E6E">
        <w:rPr>
          <w:szCs w:val="22"/>
        </w:rPr>
        <w:t xml:space="preserve">  </w:t>
      </w:r>
      <w:r w:rsidR="00C1069D">
        <w:rPr>
          <w:szCs w:val="22"/>
        </w:rPr>
        <w:t xml:space="preserve">The FAA began receiving interference to Orlando International Airport aviation frequencies on December 15, 2020.  The interference was reported to the Enforcement Bureau on December 26, 2020 at approximately 3:30 PM. </w:t>
      </w:r>
      <w:r w:rsidR="00B07BBC">
        <w:rPr>
          <w:szCs w:val="22"/>
        </w:rPr>
        <w:t xml:space="preserve"> </w:t>
      </w:r>
      <w:r w:rsidR="00182ED8">
        <w:rPr>
          <w:szCs w:val="22"/>
        </w:rPr>
        <w:t xml:space="preserve">Numerous attempts were made to contact </w:t>
      </w:r>
      <w:r w:rsidR="00F70B85">
        <w:rPr>
          <w:szCs w:val="22"/>
        </w:rPr>
        <w:t xml:space="preserve">WBVL-LP’s </w:t>
      </w:r>
      <w:r w:rsidR="00182ED8">
        <w:rPr>
          <w:szCs w:val="22"/>
        </w:rPr>
        <w:t xml:space="preserve">personnel.  </w:t>
      </w:r>
      <w:r w:rsidR="00C1069D">
        <w:rPr>
          <w:szCs w:val="22"/>
        </w:rPr>
        <w:t>WBVL-LP went off the air on December 28, 2020 at approximately 9:00 AM</w:t>
      </w:r>
      <w:r w:rsidR="00F70B85">
        <w:rPr>
          <w:szCs w:val="22"/>
        </w:rPr>
        <w:t xml:space="preserve">, </w:t>
      </w:r>
      <w:r w:rsidR="005473E7">
        <w:rPr>
          <w:szCs w:val="22"/>
        </w:rPr>
        <w:t>more than</w:t>
      </w:r>
      <w:r w:rsidR="00F70B85">
        <w:rPr>
          <w:szCs w:val="22"/>
        </w:rPr>
        <w:t xml:space="preserve"> 41 hours after the station began operating in a manner that was not in compliance with the terms of its station authorization.  </w:t>
      </w:r>
      <w:r w:rsidR="005473E7">
        <w:rPr>
          <w:szCs w:val="22"/>
        </w:rPr>
        <w:t xml:space="preserve">Thus, WBVL-LP failed to cease operation within three hours, as required by the rule.  </w:t>
      </w:r>
      <w:r w:rsidR="009D627E">
        <w:rPr>
          <w:szCs w:val="22"/>
        </w:rPr>
        <w:t>Once the WBVL-LP went off the air</w:t>
      </w:r>
      <w:r w:rsidR="00C1069D">
        <w:rPr>
          <w:szCs w:val="22"/>
        </w:rPr>
        <w:t>, the interference to the Orlando International Airport ceased.</w:t>
      </w:r>
    </w:p>
    <w:p w:rsidR="008F05EC" w:rsidP="008F05EC" w14:paraId="32E2E4CC" w14:textId="58543E45">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871A68">
        <w:t>Sucremedia, Inc.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14:paraId="0D0A6DF3" w14:textId="40E90D3F">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871A68">
        <w:t>Sucremedia, Inc.</w:t>
      </w:r>
      <w:r w:rsidRPr="00D55FBC">
        <w:t xml:space="preserve"> to support its response to this Notice with an affidavit or declaration under penalty of perjury, signed and dated by an authorized officer of </w:t>
      </w:r>
      <w:r w:rsidR="00871A68">
        <w:t>Sucremedia, Inc.</w:t>
      </w:r>
      <w:r w:rsidRPr="00D55FBC">
        <w:t xml:space="preserve"> with personal knowledge of the representations provided in </w:t>
      </w:r>
      <w:r w:rsidR="00871A68">
        <w:t>Sucremedia, Inc.</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7CFAF20E">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w:t>
      </w:r>
      <w:r w:rsidR="00E66C35">
        <w:t xml:space="preserve"> and emailed</w:t>
      </w:r>
      <w:r w:rsidRPr="00D55FBC">
        <w:t xml:space="preserve"> to the following address:</w:t>
      </w:r>
    </w:p>
    <w:p w:rsidR="00526971" w:rsidP="00526971" w14:paraId="573774A2" w14:textId="77777777">
      <w:pPr>
        <w:pStyle w:val="ParaNum"/>
        <w:numPr>
          <w:ilvl w:val="0"/>
          <w:numId w:val="0"/>
        </w:numPr>
        <w:ind w:left="720"/>
      </w:pPr>
    </w:p>
    <w:p w:rsidR="00D55FBC" w:rsidP="00D55FBC" w14:paraId="4CA45B79" w14:textId="7C3FC165">
      <w:pPr>
        <w:ind w:left="2160"/>
      </w:pPr>
      <w:r>
        <w:t>Federal Communications Commission</w:t>
      </w:r>
    </w:p>
    <w:p w:rsidR="00D55FBC" w:rsidP="00D55FBC" w14:paraId="34EB3B79" w14:textId="5ADF9312">
      <w:pPr>
        <w:ind w:left="2160"/>
      </w:pPr>
      <w:r>
        <w:t>Atlanta Regional Office</w:t>
      </w:r>
    </w:p>
    <w:p w:rsidR="00D55FBC" w:rsidP="00D55FBC" w14:paraId="5C405781" w14:textId="6AB1DC87">
      <w:pPr>
        <w:ind w:left="2160"/>
      </w:pPr>
      <w:r>
        <w:t>P.O. Box 1493</w:t>
      </w:r>
    </w:p>
    <w:p w:rsidR="00D55FBC" w:rsidP="00FF3088" w14:paraId="6F6D52AF" w14:textId="41109E24">
      <w:pPr>
        <w:ind w:left="2160"/>
      </w:pPr>
      <w:r>
        <w:t>Powder Springs, GA 30127</w:t>
      </w:r>
    </w:p>
    <w:p w:rsidR="00FF3088" w:rsidRPr="00D55FBC" w:rsidP="00D55FBC" w14:paraId="358F97A8" w14:textId="7C2558A8">
      <w:pPr>
        <w:spacing w:after="120"/>
        <w:ind w:left="2160"/>
      </w:pPr>
      <w:r>
        <w:t>field@fcc.gov</w:t>
      </w:r>
    </w:p>
    <w:p w:rsidR="00D55FBC" w:rsidP="00D55FBC" w14:paraId="532EE6AF" w14:textId="5033F5BB">
      <w:pPr>
        <w:pStyle w:val="ParaNum"/>
      </w:pPr>
      <w:r w:rsidRPr="00D55FBC">
        <w:t xml:space="preserve">This Notice shall be sent to </w:t>
      </w:r>
      <w:r w:rsidR="00871A68">
        <w:t>Sucremedia, Inc.</w:t>
      </w:r>
      <w:r>
        <w:t xml:space="preserve"> at its </w:t>
      </w:r>
      <w:r w:rsidRPr="00D55FBC">
        <w:t>address of record</w:t>
      </w:r>
      <w:r w:rsidR="00871A68">
        <w:t>.</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35DF2004">
      <w:pPr>
        <w:keepNext/>
        <w:rPr>
          <w:noProof/>
          <w:snapToGrid/>
        </w:rPr>
      </w:pPr>
      <w:r>
        <w:tab/>
      </w:r>
      <w:r>
        <w:tab/>
      </w:r>
      <w:r>
        <w:tab/>
      </w:r>
      <w:r>
        <w:tab/>
      </w:r>
      <w:r>
        <w:tab/>
      </w:r>
      <w:r>
        <w:tab/>
      </w:r>
    </w:p>
    <w:p w:rsidR="004D71FA" w:rsidP="00ED4640" w14:paraId="4BDC147E" w14:textId="77777777">
      <w:pPr>
        <w:keepNext/>
      </w:pPr>
      <w:bookmarkStart w:id="0" w:name="_GoBack"/>
      <w:bookmarkEnd w:id="0"/>
    </w:p>
    <w:p w:rsidR="00D55FBC" w:rsidP="00ED4640" w14:paraId="548E3C75" w14:textId="77777777">
      <w:pPr>
        <w:keepNext/>
      </w:pPr>
    </w:p>
    <w:p w:rsidR="00D55FBC" w:rsidRPr="00D55FBC" w:rsidP="00ED4640" w14:paraId="229D0CA6" w14:textId="37A4F870">
      <w:pPr>
        <w:keepNext/>
      </w:pPr>
      <w:r>
        <w:tab/>
      </w:r>
      <w:r>
        <w:tab/>
      </w:r>
      <w:r>
        <w:tab/>
      </w:r>
      <w:r>
        <w:tab/>
      </w:r>
      <w:r>
        <w:tab/>
      </w:r>
      <w:r>
        <w:tab/>
      </w:r>
      <w:r w:rsidR="00871A68">
        <w:t>Ronald Ramage</w:t>
      </w:r>
    </w:p>
    <w:p w:rsidR="00D55FBC" w:rsidP="00ED4640" w14:paraId="7DFB10BF" w14:textId="12218F64">
      <w:pPr>
        <w:keepNext/>
      </w:pPr>
      <w:r>
        <w:tab/>
      </w:r>
      <w:r>
        <w:tab/>
      </w:r>
      <w:r>
        <w:tab/>
      </w:r>
      <w:r>
        <w:tab/>
      </w:r>
      <w:r>
        <w:tab/>
      </w:r>
      <w:r>
        <w:tab/>
        <w:t xml:space="preserve">Regional Director, Region </w:t>
      </w:r>
      <w:r w:rsidR="00871A68">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2DF" w14:paraId="5682E330" w14:textId="77777777">
      <w:r>
        <w:separator/>
      </w:r>
    </w:p>
  </w:footnote>
  <w:footnote w:type="continuationSeparator" w:id="1">
    <w:p w:rsidR="001E32DF" w:rsidP="00C721AC" w14:paraId="594AEDB6" w14:textId="77777777">
      <w:pPr>
        <w:spacing w:before="120"/>
        <w:rPr>
          <w:sz w:val="20"/>
        </w:rPr>
      </w:pPr>
      <w:r>
        <w:rPr>
          <w:sz w:val="20"/>
        </w:rPr>
        <w:t xml:space="preserve">(Continued from previous page)  </w:t>
      </w:r>
      <w:r>
        <w:rPr>
          <w:sz w:val="20"/>
        </w:rPr>
        <w:separator/>
      </w:r>
    </w:p>
  </w:footnote>
  <w:footnote w:type="continuationNotice" w:id="2">
    <w:p w:rsidR="001E32DF" w:rsidP="00C721AC" w14:paraId="2CE6E3C8"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5C24AF27">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53AE3"/>
    <w:rsid w:val="000875BF"/>
    <w:rsid w:val="00096D8C"/>
    <w:rsid w:val="000C0B65"/>
    <w:rsid w:val="000E05FE"/>
    <w:rsid w:val="000E3D42"/>
    <w:rsid w:val="000E4CD4"/>
    <w:rsid w:val="00122BD5"/>
    <w:rsid w:val="00133F79"/>
    <w:rsid w:val="00141826"/>
    <w:rsid w:val="00182ED8"/>
    <w:rsid w:val="00194A66"/>
    <w:rsid w:val="001C44C4"/>
    <w:rsid w:val="001D6BCF"/>
    <w:rsid w:val="001E01CA"/>
    <w:rsid w:val="001E32DF"/>
    <w:rsid w:val="002337B1"/>
    <w:rsid w:val="0023517C"/>
    <w:rsid w:val="00275CF5"/>
    <w:rsid w:val="0028301F"/>
    <w:rsid w:val="00285017"/>
    <w:rsid w:val="00287E6E"/>
    <w:rsid w:val="002A2D2E"/>
    <w:rsid w:val="002B05F0"/>
    <w:rsid w:val="002C00E8"/>
    <w:rsid w:val="00343749"/>
    <w:rsid w:val="003660ED"/>
    <w:rsid w:val="003B0550"/>
    <w:rsid w:val="003B694F"/>
    <w:rsid w:val="003F171C"/>
    <w:rsid w:val="00404B78"/>
    <w:rsid w:val="00412FC5"/>
    <w:rsid w:val="00422276"/>
    <w:rsid w:val="00423939"/>
    <w:rsid w:val="004242F1"/>
    <w:rsid w:val="00445A00"/>
    <w:rsid w:val="00451B0F"/>
    <w:rsid w:val="0049690C"/>
    <w:rsid w:val="004C2EE3"/>
    <w:rsid w:val="004D71FA"/>
    <w:rsid w:val="004E4A22"/>
    <w:rsid w:val="00511968"/>
    <w:rsid w:val="00526971"/>
    <w:rsid w:val="00534E8E"/>
    <w:rsid w:val="005473E7"/>
    <w:rsid w:val="0055614C"/>
    <w:rsid w:val="00585066"/>
    <w:rsid w:val="005E14C2"/>
    <w:rsid w:val="00607BA5"/>
    <w:rsid w:val="0061180A"/>
    <w:rsid w:val="006140DB"/>
    <w:rsid w:val="00617EAE"/>
    <w:rsid w:val="00626EB6"/>
    <w:rsid w:val="00655D03"/>
    <w:rsid w:val="00683388"/>
    <w:rsid w:val="00683F84"/>
    <w:rsid w:val="006A6A81"/>
    <w:rsid w:val="006F7393"/>
    <w:rsid w:val="0070224F"/>
    <w:rsid w:val="007115F7"/>
    <w:rsid w:val="00747CEE"/>
    <w:rsid w:val="007811E8"/>
    <w:rsid w:val="00785689"/>
    <w:rsid w:val="0079754B"/>
    <w:rsid w:val="007A1E6D"/>
    <w:rsid w:val="007B0EB2"/>
    <w:rsid w:val="00810B6F"/>
    <w:rsid w:val="00822C51"/>
    <w:rsid w:val="00822CE0"/>
    <w:rsid w:val="00841AB1"/>
    <w:rsid w:val="0086027C"/>
    <w:rsid w:val="008661DC"/>
    <w:rsid w:val="00871A68"/>
    <w:rsid w:val="00894B32"/>
    <w:rsid w:val="008C68F1"/>
    <w:rsid w:val="008E28ED"/>
    <w:rsid w:val="008F05EC"/>
    <w:rsid w:val="00920A1A"/>
    <w:rsid w:val="00921803"/>
    <w:rsid w:val="00926503"/>
    <w:rsid w:val="00953B15"/>
    <w:rsid w:val="009726D8"/>
    <w:rsid w:val="009B7C70"/>
    <w:rsid w:val="009C3159"/>
    <w:rsid w:val="009D1838"/>
    <w:rsid w:val="009D627E"/>
    <w:rsid w:val="009E31AD"/>
    <w:rsid w:val="009F76DB"/>
    <w:rsid w:val="00A32C3B"/>
    <w:rsid w:val="00A45F4F"/>
    <w:rsid w:val="00A600A9"/>
    <w:rsid w:val="00AA55B7"/>
    <w:rsid w:val="00AA5B9E"/>
    <w:rsid w:val="00AB2407"/>
    <w:rsid w:val="00AB53DF"/>
    <w:rsid w:val="00AD2A9B"/>
    <w:rsid w:val="00AD6DFD"/>
    <w:rsid w:val="00B07BBC"/>
    <w:rsid w:val="00B07E5C"/>
    <w:rsid w:val="00B811F7"/>
    <w:rsid w:val="00B86C31"/>
    <w:rsid w:val="00BA5DC6"/>
    <w:rsid w:val="00BA6196"/>
    <w:rsid w:val="00BA6852"/>
    <w:rsid w:val="00BC6D8C"/>
    <w:rsid w:val="00BF2EA9"/>
    <w:rsid w:val="00C1069D"/>
    <w:rsid w:val="00C34006"/>
    <w:rsid w:val="00C424F3"/>
    <w:rsid w:val="00C426B1"/>
    <w:rsid w:val="00C66160"/>
    <w:rsid w:val="00C6750B"/>
    <w:rsid w:val="00C721AC"/>
    <w:rsid w:val="00C90D6A"/>
    <w:rsid w:val="00CA247E"/>
    <w:rsid w:val="00CB59AD"/>
    <w:rsid w:val="00CC72B6"/>
    <w:rsid w:val="00D0218D"/>
    <w:rsid w:val="00D25E0E"/>
    <w:rsid w:val="00D25FB5"/>
    <w:rsid w:val="00D433A0"/>
    <w:rsid w:val="00D44223"/>
    <w:rsid w:val="00D55FBC"/>
    <w:rsid w:val="00DA2529"/>
    <w:rsid w:val="00DA4480"/>
    <w:rsid w:val="00DB130A"/>
    <w:rsid w:val="00DB2EBB"/>
    <w:rsid w:val="00DC10A1"/>
    <w:rsid w:val="00DC655F"/>
    <w:rsid w:val="00DD0B59"/>
    <w:rsid w:val="00DD7EBD"/>
    <w:rsid w:val="00DF62B6"/>
    <w:rsid w:val="00DF680E"/>
    <w:rsid w:val="00E02168"/>
    <w:rsid w:val="00E07225"/>
    <w:rsid w:val="00E5409F"/>
    <w:rsid w:val="00E61755"/>
    <w:rsid w:val="00E66C35"/>
    <w:rsid w:val="00E758C7"/>
    <w:rsid w:val="00ED4640"/>
    <w:rsid w:val="00EE6488"/>
    <w:rsid w:val="00EF370C"/>
    <w:rsid w:val="00F021FA"/>
    <w:rsid w:val="00F160E4"/>
    <w:rsid w:val="00F45F23"/>
    <w:rsid w:val="00F62E97"/>
    <w:rsid w:val="00F64209"/>
    <w:rsid w:val="00F70B85"/>
    <w:rsid w:val="00F80304"/>
    <w:rsid w:val="00F811ED"/>
    <w:rsid w:val="00F93BF5"/>
    <w:rsid w:val="00FF3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up">
    <w:name w:val="sup"/>
    <w:basedOn w:val="DefaultParagraphFont"/>
    <w:rsid w:val="00F45F23"/>
  </w:style>
  <w:style w:type="paragraph" w:styleId="BalloonText">
    <w:name w:val="Balloon Text"/>
    <w:basedOn w:val="Normal"/>
    <w:link w:val="BalloonTextChar"/>
    <w:semiHidden/>
    <w:unhideWhenUsed/>
    <w:rsid w:val="00747CEE"/>
    <w:rPr>
      <w:rFonts w:ascii="Segoe UI" w:hAnsi="Segoe UI" w:cs="Segoe UI"/>
      <w:sz w:val="18"/>
      <w:szCs w:val="18"/>
    </w:rPr>
  </w:style>
  <w:style w:type="character" w:customStyle="1" w:styleId="BalloonTextChar">
    <w:name w:val="Balloon Text Char"/>
    <w:basedOn w:val="DefaultParagraphFont"/>
    <w:link w:val="BalloonText"/>
    <w:semiHidden/>
    <w:rsid w:val="00747CEE"/>
    <w:rPr>
      <w:rFonts w:ascii="Segoe UI" w:hAnsi="Segoe UI" w:cs="Segoe UI"/>
      <w:snapToGrid w:val="0"/>
      <w:kern w:val="28"/>
      <w:sz w:val="18"/>
      <w:szCs w:val="18"/>
    </w:rPr>
  </w:style>
  <w:style w:type="character" w:styleId="CommentReference">
    <w:name w:val="annotation reference"/>
    <w:basedOn w:val="DefaultParagraphFont"/>
    <w:rsid w:val="00747CEE"/>
    <w:rPr>
      <w:sz w:val="16"/>
      <w:szCs w:val="16"/>
    </w:rPr>
  </w:style>
  <w:style w:type="paragraph" w:styleId="CommentText">
    <w:name w:val="annotation text"/>
    <w:basedOn w:val="Normal"/>
    <w:link w:val="CommentTextChar"/>
    <w:rsid w:val="00747CEE"/>
    <w:rPr>
      <w:sz w:val="20"/>
    </w:rPr>
  </w:style>
  <w:style w:type="character" w:customStyle="1" w:styleId="CommentTextChar">
    <w:name w:val="Comment Text Char"/>
    <w:basedOn w:val="DefaultParagraphFont"/>
    <w:link w:val="CommentText"/>
    <w:rsid w:val="00747CEE"/>
    <w:rPr>
      <w:snapToGrid w:val="0"/>
      <w:kern w:val="28"/>
    </w:rPr>
  </w:style>
  <w:style w:type="paragraph" w:styleId="CommentSubject">
    <w:name w:val="annotation subject"/>
    <w:basedOn w:val="CommentText"/>
    <w:next w:val="CommentText"/>
    <w:link w:val="CommentSubjectChar"/>
    <w:rsid w:val="00747CEE"/>
    <w:rPr>
      <w:b/>
      <w:bCs/>
    </w:rPr>
  </w:style>
  <w:style w:type="character" w:customStyle="1" w:styleId="CommentSubjectChar">
    <w:name w:val="Comment Subject Char"/>
    <w:basedOn w:val="CommentTextChar"/>
    <w:link w:val="CommentSubject"/>
    <w:rsid w:val="00747CEE"/>
    <w:rPr>
      <w:b/>
      <w:bCs/>
      <w:snapToGrid w:val="0"/>
      <w:kern w:val="28"/>
    </w:rPr>
  </w:style>
  <w:style w:type="paragraph" w:styleId="Revision">
    <w:name w:val="Revision"/>
    <w:hidden/>
    <w:uiPriority w:val="99"/>
    <w:semiHidden/>
    <w:rsid w:val="0023517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