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8B3DE5" w:rsidP="008B3DE5" w14:paraId="2894C86F" w14:textId="77777777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8B3DE5" w:rsidP="008B3DE5" w14:paraId="6EDA1B2B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8B3DE5" w:rsidP="008B3DE5" w14:paraId="40514073" w14:textId="77777777">
      <w:pPr>
        <w:pStyle w:val="StyleBoldCentered"/>
      </w:pPr>
      <w:r>
        <w:rPr>
          <w:caps w:val="0"/>
        </w:rPr>
        <w:t>Washington, D.C. 20554</w:t>
      </w:r>
    </w:p>
    <w:p w:rsidR="008B3DE5" w:rsidP="008B3DE5" w14:paraId="08225120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3E8B1597" w14:textId="77777777" w:rsidTr="009662EA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8B3DE5" w:rsidP="009662EA" w14:paraId="278EE7D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8B3DE5" w:rsidP="009662EA" w14:paraId="30609A7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B3DE5" w:rsidRPr="006252E6" w:rsidP="009662EA" w14:paraId="05138B8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Emergency Broadband Benefit Program</w:t>
            </w:r>
          </w:p>
          <w:p w:rsidR="008B3DE5" w:rsidRPr="006252E6" w:rsidP="009662EA" w14:paraId="59DC4C8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B3DE5" w:rsidRPr="007115F7" w:rsidP="009662EA" w14:paraId="737191E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8B3DE5" w:rsidP="009662EA" w14:paraId="66F6BB6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B3DE5" w:rsidP="009662EA" w14:paraId="22806E0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B3DE5" w:rsidRPr="00DB3FDA" w:rsidP="009662EA" w14:paraId="340AF0C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8B3DE5" w:rsidP="009662EA" w14:paraId="22C4703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B3DE5" w:rsidP="009662EA" w14:paraId="6510D679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8B3DE5" w:rsidRPr="006252E6" w:rsidP="009662EA" w14:paraId="5200D585" w14:textId="77777777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  <w:r>
              <w:rPr>
                <w:spacing w:val="-2"/>
              </w:rPr>
              <w:t>WC</w:t>
            </w:r>
            <w:r w:rsidRPr="006252E6">
              <w:rPr>
                <w:spacing w:val="-2"/>
              </w:rPr>
              <w:t xml:space="preserve"> Docket No. 20-</w:t>
            </w:r>
            <w:r>
              <w:rPr>
                <w:spacing w:val="-2"/>
              </w:rPr>
              <w:t>445</w:t>
            </w:r>
          </w:p>
          <w:p w:rsidR="008B3DE5" w:rsidP="009662EA" w14:paraId="050C28EF" w14:textId="77777777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</w:tc>
      </w:tr>
    </w:tbl>
    <w:p w:rsidR="008B3DE5" w:rsidP="008B3DE5" w14:paraId="78C8279B" w14:textId="77777777"/>
    <w:p w:rsidR="008B3DE5" w:rsidP="008B3DE5" w14:paraId="31A458C6" w14:textId="77777777">
      <w:pPr>
        <w:pStyle w:val="StyleBoldCentered"/>
      </w:pPr>
      <w:r>
        <w:t>Erratum</w:t>
      </w:r>
    </w:p>
    <w:p w:rsidR="008B3DE5" w:rsidP="008B3DE5" w14:paraId="08EE7A53" w14:textId="77777777">
      <w:pPr>
        <w:pStyle w:val="StyleBoldCentered"/>
      </w:pPr>
    </w:p>
    <w:p w:rsidR="008B3DE5" w:rsidP="008B3DE5" w14:paraId="3FD78630" w14:textId="027E32CB">
      <w:pPr>
        <w:jc w:val="right"/>
        <w:rPr>
          <w:spacing w:val="-2"/>
        </w:rPr>
      </w:pPr>
      <w:r>
        <w:rPr>
          <w:b/>
          <w:spacing w:val="-2"/>
        </w:rPr>
        <w:t>Released:  Marc</w:t>
      </w:r>
      <w:r w:rsidR="00AC38BD">
        <w:rPr>
          <w:b/>
          <w:spacing w:val="-2"/>
        </w:rPr>
        <w:t>h 11</w:t>
      </w:r>
      <w:r>
        <w:rPr>
          <w:b/>
          <w:spacing w:val="-2"/>
        </w:rPr>
        <w:t>, 2021</w:t>
      </w:r>
    </w:p>
    <w:p w:rsidR="008B3DE5" w:rsidP="008B3DE5" w14:paraId="4A43B694" w14:textId="77777777"/>
    <w:p w:rsidR="008B3DE5" w:rsidP="008B3DE5" w14:paraId="22C02F1F" w14:textId="77777777">
      <w:pPr>
        <w:rPr>
          <w:spacing w:val="-2"/>
        </w:rPr>
      </w:pPr>
      <w:r>
        <w:t xml:space="preserve">By the </w:t>
      </w:r>
      <w:r>
        <w:rPr>
          <w:spacing w:val="-2"/>
        </w:rPr>
        <w:t>Chief, Wireline Competition Bureau:</w:t>
      </w:r>
    </w:p>
    <w:p w:rsidR="008B3DE5" w:rsidP="008B3DE5" w14:paraId="41DC8C8E" w14:textId="77777777">
      <w:pPr>
        <w:rPr>
          <w:spacing w:val="-2"/>
        </w:rPr>
      </w:pPr>
    </w:p>
    <w:p w:rsidR="008B3DE5" w:rsidP="008B3DE5" w14:paraId="45090AB0" w14:textId="77777777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 w:rsidRPr="006252E6">
        <w:rPr>
          <w:rFonts w:eastAsia="Calibri"/>
          <w:snapToGrid/>
          <w:kern w:val="0"/>
          <w:szCs w:val="22"/>
        </w:rPr>
        <w:t xml:space="preserve">On </w:t>
      </w:r>
      <w:r>
        <w:rPr>
          <w:rFonts w:eastAsia="Calibri"/>
          <w:snapToGrid/>
          <w:kern w:val="0"/>
          <w:szCs w:val="22"/>
        </w:rPr>
        <w:t>February</w:t>
      </w:r>
      <w:r w:rsidRPr="006252E6">
        <w:rPr>
          <w:rFonts w:eastAsia="Calibri"/>
          <w:snapToGrid/>
          <w:kern w:val="0"/>
          <w:szCs w:val="22"/>
        </w:rPr>
        <w:t xml:space="preserve"> 2</w:t>
      </w:r>
      <w:r>
        <w:rPr>
          <w:rFonts w:eastAsia="Calibri"/>
          <w:snapToGrid/>
          <w:kern w:val="0"/>
          <w:szCs w:val="22"/>
        </w:rPr>
        <w:t>6</w:t>
      </w:r>
      <w:r w:rsidRPr="006252E6">
        <w:rPr>
          <w:rFonts w:eastAsia="Calibri"/>
          <w:snapToGrid/>
          <w:kern w:val="0"/>
          <w:szCs w:val="22"/>
        </w:rPr>
        <w:t>, 202</w:t>
      </w:r>
      <w:r>
        <w:rPr>
          <w:rFonts w:eastAsia="Calibri"/>
          <w:snapToGrid/>
          <w:kern w:val="0"/>
          <w:szCs w:val="22"/>
        </w:rPr>
        <w:t>1</w:t>
      </w:r>
      <w:r w:rsidRPr="006252E6">
        <w:rPr>
          <w:rFonts w:eastAsia="Calibri"/>
          <w:snapToGrid/>
          <w:kern w:val="0"/>
          <w:szCs w:val="22"/>
        </w:rPr>
        <w:t xml:space="preserve">, the </w:t>
      </w:r>
      <w:r>
        <w:rPr>
          <w:rFonts w:eastAsia="Calibri"/>
          <w:snapToGrid/>
          <w:kern w:val="0"/>
          <w:szCs w:val="22"/>
        </w:rPr>
        <w:t xml:space="preserve">Commission </w:t>
      </w:r>
      <w:r w:rsidRPr="006252E6">
        <w:rPr>
          <w:rFonts w:eastAsia="Calibri"/>
          <w:snapToGrid/>
          <w:kern w:val="0"/>
          <w:szCs w:val="22"/>
        </w:rPr>
        <w:t xml:space="preserve">released </w:t>
      </w:r>
      <w:r>
        <w:rPr>
          <w:rFonts w:eastAsia="Calibri"/>
          <w:snapToGrid/>
          <w:kern w:val="0"/>
          <w:szCs w:val="22"/>
        </w:rPr>
        <w:t>a</w:t>
      </w:r>
      <w:r w:rsidRPr="006252E6">
        <w:rPr>
          <w:rFonts w:eastAsia="Calibri"/>
          <w:snapToGrid/>
          <w:kern w:val="0"/>
          <w:szCs w:val="22"/>
        </w:rPr>
        <w:t xml:space="preserve"> </w:t>
      </w:r>
      <w:r w:rsidRPr="00FE5042">
        <w:rPr>
          <w:rFonts w:eastAsia="Calibri"/>
          <w:i/>
          <w:iCs/>
          <w:snapToGrid/>
          <w:kern w:val="0"/>
          <w:szCs w:val="22"/>
        </w:rPr>
        <w:t>Report and Order</w:t>
      </w:r>
      <w:r>
        <w:rPr>
          <w:rFonts w:eastAsia="Calibri"/>
          <w:snapToGrid/>
          <w:kern w:val="0"/>
          <w:szCs w:val="22"/>
        </w:rPr>
        <w:t>, FCC 21-29,</w:t>
      </w:r>
      <w:r w:rsidRPr="006252E6">
        <w:rPr>
          <w:rFonts w:eastAsia="Calibri"/>
          <w:snapToGrid/>
          <w:kern w:val="0"/>
          <w:szCs w:val="22"/>
        </w:rPr>
        <w:t xml:space="preserve"> in the above caption</w:t>
      </w:r>
      <w:r>
        <w:rPr>
          <w:rFonts w:eastAsia="Calibri"/>
          <w:snapToGrid/>
          <w:kern w:val="0"/>
          <w:szCs w:val="22"/>
        </w:rPr>
        <w:t>ed</w:t>
      </w:r>
      <w:r w:rsidRPr="006252E6">
        <w:rPr>
          <w:rFonts w:eastAsia="Calibri"/>
          <w:snapToGrid/>
          <w:kern w:val="0"/>
          <w:szCs w:val="22"/>
        </w:rPr>
        <w:t xml:space="preserve"> proceeding.</w:t>
      </w:r>
      <w:r>
        <w:rPr>
          <w:rFonts w:eastAsia="Calibri"/>
          <w:snapToGrid/>
          <w:kern w:val="0"/>
          <w:szCs w:val="22"/>
        </w:rPr>
        <w:t xml:space="preserve">  </w:t>
      </w:r>
      <w:r w:rsidRPr="006252E6">
        <w:rPr>
          <w:rFonts w:eastAsia="Calibri"/>
          <w:snapToGrid/>
          <w:kern w:val="0"/>
          <w:szCs w:val="22"/>
        </w:rPr>
        <w:t xml:space="preserve">This Erratum </w:t>
      </w:r>
      <w:r>
        <w:rPr>
          <w:rFonts w:eastAsia="Calibri"/>
          <w:snapToGrid/>
          <w:kern w:val="0"/>
          <w:szCs w:val="22"/>
        </w:rPr>
        <w:t xml:space="preserve">amends </w:t>
      </w:r>
      <w:r w:rsidRPr="00FE5042">
        <w:rPr>
          <w:rFonts w:eastAsia="Calibri"/>
          <w:b/>
          <w:bCs/>
          <w:snapToGrid/>
          <w:kern w:val="0"/>
          <w:szCs w:val="22"/>
        </w:rPr>
        <w:t>Appendix A</w:t>
      </w:r>
      <w:r>
        <w:rPr>
          <w:rFonts w:eastAsia="Calibri"/>
          <w:snapToGrid/>
          <w:kern w:val="0"/>
          <w:szCs w:val="22"/>
        </w:rPr>
        <w:t xml:space="preserve"> of the </w:t>
      </w:r>
      <w:r w:rsidRPr="00330F74">
        <w:rPr>
          <w:rFonts w:eastAsia="Calibri"/>
          <w:i/>
          <w:iCs/>
          <w:snapToGrid/>
          <w:kern w:val="0"/>
          <w:szCs w:val="22"/>
        </w:rPr>
        <w:t>Report and Order</w:t>
      </w:r>
      <w:r>
        <w:rPr>
          <w:rFonts w:eastAsia="Calibri"/>
          <w:snapToGrid/>
          <w:kern w:val="0"/>
          <w:szCs w:val="22"/>
        </w:rPr>
        <w:t xml:space="preserve"> as indicated below:</w:t>
      </w:r>
    </w:p>
    <w:p w:rsidR="008B3DE5" w:rsidRPr="006252E6" w:rsidP="008B3DE5" w14:paraId="06EBD962" w14:textId="77777777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snapToGrid/>
        </w:rPr>
        <w:t xml:space="preserve">On page 79, </w:t>
      </w:r>
      <w:r>
        <w:rPr>
          <w:rFonts w:eastAsia="Calibri"/>
          <w:snapToGrid/>
          <w:kern w:val="0"/>
          <w:szCs w:val="22"/>
        </w:rPr>
        <w:t>Section</w:t>
      </w:r>
      <w:r w:rsidRPr="00653425">
        <w:rPr>
          <w:snapToGrid/>
        </w:rPr>
        <w:t xml:space="preserve"> 54.1604</w:t>
      </w:r>
      <w:r>
        <w:rPr>
          <w:snapToGrid/>
        </w:rPr>
        <w:t xml:space="preserve"> is corrected to read as follows:</w:t>
      </w:r>
      <w:r>
        <w:rPr>
          <w:rFonts w:eastAsia="Calibri"/>
          <w:snapToGrid/>
          <w:kern w:val="0"/>
          <w:szCs w:val="22"/>
        </w:rPr>
        <w:t xml:space="preserve">  </w:t>
      </w:r>
    </w:p>
    <w:p w:rsidR="008B3DE5" w:rsidP="008B3DE5" w14:paraId="20FF371B" w14:textId="77777777">
      <w:pPr>
        <w:pStyle w:val="ParaNum"/>
        <w:numPr>
          <w:ilvl w:val="0"/>
          <w:numId w:val="0"/>
        </w:numPr>
        <w:ind w:left="720" w:hanging="90"/>
        <w:rPr>
          <w:bCs/>
          <w:snapToGrid/>
        </w:rPr>
      </w:pPr>
      <w:r>
        <w:rPr>
          <w:b/>
          <w:snapToGrid/>
          <w:u w:val="single"/>
        </w:rPr>
        <w:t>“</w:t>
      </w:r>
      <w:r w:rsidRPr="00F633D6">
        <w:rPr>
          <w:b/>
          <w:snapToGrid/>
          <w:u w:val="single"/>
        </w:rPr>
        <w:t>§ 54.1604 Participating provider obligation to offer Emergency Broadband Benefit Program</w:t>
      </w:r>
      <w:r w:rsidRPr="00653425">
        <w:rPr>
          <w:bCs/>
          <w:snapToGrid/>
        </w:rPr>
        <w:t xml:space="preserve">.  </w:t>
      </w:r>
    </w:p>
    <w:p w:rsidR="008B3DE5" w:rsidRPr="00653425" w:rsidP="008B3DE5" w14:paraId="79F1CA9E" w14:textId="77777777">
      <w:pPr>
        <w:widowControl/>
        <w:shd w:val="clear" w:color="auto" w:fill="FFFFFF"/>
        <w:spacing w:after="120"/>
        <w:ind w:left="720"/>
        <w:rPr>
          <w:b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>(a) All participating providers in the Emergency Broadband Benefit Program must m</w:t>
      </w:r>
      <w:r w:rsidRPr="00653425">
        <w:rPr>
          <w:bCs/>
          <w:snapToGrid/>
          <w:kern w:val="0"/>
          <w:szCs w:val="22"/>
        </w:rPr>
        <w:t>ake available the Emergency Broadband Benefit</w:t>
      </w:r>
      <w:r>
        <w:rPr>
          <w:bCs/>
          <w:snapToGrid/>
          <w:kern w:val="0"/>
          <w:szCs w:val="22"/>
        </w:rPr>
        <w:t xml:space="preserve"> Program</w:t>
      </w:r>
      <w:r w:rsidRPr="00653425">
        <w:rPr>
          <w:bCs/>
          <w:snapToGrid/>
          <w:kern w:val="0"/>
          <w:szCs w:val="22"/>
        </w:rPr>
        <w:t xml:space="preserve"> to qualifying low-income consumers.</w:t>
      </w:r>
    </w:p>
    <w:p w:rsidR="008B3DE5" w:rsidRPr="00653425" w:rsidP="008B3DE5" w14:paraId="4BF6F7FF" w14:textId="77777777">
      <w:pPr>
        <w:widowControl/>
        <w:shd w:val="clear" w:color="auto" w:fill="FFFFFF"/>
        <w:spacing w:after="120"/>
        <w:ind w:left="720"/>
        <w:rPr>
          <w:b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>(b) All participating providers in the Emergency Broadband Benefit Program are encouraged to:</w:t>
      </w:r>
    </w:p>
    <w:p w:rsidR="008B3DE5" w:rsidRPr="00653425" w:rsidP="008B3DE5" w14:paraId="5C94E15A" w14:textId="77777777">
      <w:pPr>
        <w:widowControl/>
        <w:spacing w:after="120"/>
        <w:ind w:left="1440"/>
        <w:rPr>
          <w:bCs/>
          <w:snapToGrid/>
          <w:kern w:val="0"/>
          <w:szCs w:val="22"/>
        </w:rPr>
      </w:pPr>
      <w:r w:rsidRPr="00653425">
        <w:rPr>
          <w:bCs/>
          <w:snapToGrid/>
          <w:kern w:val="0"/>
          <w:szCs w:val="22"/>
        </w:rPr>
        <w:t>(</w:t>
      </w:r>
      <w:r>
        <w:rPr>
          <w:bCs/>
          <w:snapToGrid/>
          <w:kern w:val="0"/>
          <w:szCs w:val="22"/>
        </w:rPr>
        <w:t>1</w:t>
      </w:r>
      <w:r w:rsidRPr="00653425">
        <w:rPr>
          <w:bCs/>
          <w:snapToGrid/>
          <w:kern w:val="0"/>
          <w:szCs w:val="22"/>
        </w:rPr>
        <w:t xml:space="preserve">) Publicize the availability of the Emergency Broadband Benefit </w:t>
      </w:r>
      <w:r>
        <w:rPr>
          <w:bCs/>
          <w:snapToGrid/>
          <w:kern w:val="0"/>
          <w:szCs w:val="22"/>
        </w:rPr>
        <w:t xml:space="preserve">Program </w:t>
      </w:r>
      <w:r w:rsidRPr="00653425">
        <w:rPr>
          <w:bCs/>
          <w:snapToGrid/>
          <w:kern w:val="0"/>
          <w:szCs w:val="22"/>
        </w:rPr>
        <w:t>in a manner reasonably designed to reach those likely to qualify for the service.</w:t>
      </w:r>
    </w:p>
    <w:p w:rsidR="008B3DE5" w:rsidP="008B3DE5" w14:paraId="5696333A" w14:textId="77777777">
      <w:pPr>
        <w:widowControl/>
        <w:spacing w:after="120"/>
        <w:ind w:left="1440"/>
        <w:rPr>
          <w:bCs/>
          <w:kern w:val="0"/>
          <w:szCs w:val="22"/>
        </w:rPr>
      </w:pPr>
      <w:r w:rsidRPr="00653425">
        <w:rPr>
          <w:bCs/>
          <w:kern w:val="0"/>
          <w:szCs w:val="22"/>
        </w:rPr>
        <w:t>(</w:t>
      </w:r>
      <w:r>
        <w:rPr>
          <w:bCs/>
          <w:kern w:val="0"/>
          <w:szCs w:val="22"/>
        </w:rPr>
        <w:t>2</w:t>
      </w:r>
      <w:r w:rsidRPr="00653425">
        <w:rPr>
          <w:bCs/>
          <w:kern w:val="0"/>
          <w:szCs w:val="22"/>
        </w:rPr>
        <w:t>) Indicate on all materials describing the Emergency Broadband Benefit</w:t>
      </w:r>
      <w:r>
        <w:rPr>
          <w:bCs/>
          <w:kern w:val="0"/>
          <w:szCs w:val="22"/>
        </w:rPr>
        <w:t xml:space="preserve"> Program</w:t>
      </w:r>
      <w:r w:rsidRPr="00653425">
        <w:rPr>
          <w:bCs/>
          <w:kern w:val="0"/>
          <w:szCs w:val="22"/>
        </w:rPr>
        <w:t>, using easily understood language in the dominant languages of the communities the provider serves:</w:t>
      </w:r>
    </w:p>
    <w:p w:rsidR="008B3DE5" w:rsidRPr="00653425" w:rsidP="008B3DE5" w14:paraId="5B3829BC" w14:textId="77777777">
      <w:pPr>
        <w:widowControl/>
        <w:spacing w:after="120"/>
        <w:ind w:left="2160"/>
        <w:rPr>
          <w:bCs/>
          <w:kern w:val="0"/>
          <w:szCs w:val="22"/>
        </w:rPr>
      </w:pPr>
      <w:r w:rsidRPr="00653425">
        <w:rPr>
          <w:bCs/>
          <w:kern w:val="0"/>
          <w:szCs w:val="22"/>
        </w:rPr>
        <w:t>(</w:t>
      </w:r>
      <w:r>
        <w:rPr>
          <w:bCs/>
          <w:kern w:val="0"/>
          <w:szCs w:val="22"/>
        </w:rPr>
        <w:t>A</w:t>
      </w:r>
      <w:r w:rsidRPr="00653425">
        <w:rPr>
          <w:bCs/>
          <w:kern w:val="0"/>
          <w:szCs w:val="22"/>
        </w:rPr>
        <w:t xml:space="preserve">) </w:t>
      </w:r>
      <w:r>
        <w:rPr>
          <w:bCs/>
          <w:kern w:val="0"/>
          <w:szCs w:val="22"/>
        </w:rPr>
        <w:t>T</w:t>
      </w:r>
      <w:r w:rsidRPr="00653425">
        <w:rPr>
          <w:bCs/>
          <w:kern w:val="0"/>
          <w:szCs w:val="22"/>
        </w:rPr>
        <w:t>he eligibility requirements for consumer participation;</w:t>
      </w:r>
    </w:p>
    <w:p w:rsidR="008B3DE5" w:rsidP="008B3DE5" w14:paraId="14A60032" w14:textId="77777777">
      <w:pPr>
        <w:widowControl/>
        <w:spacing w:after="120"/>
        <w:ind w:left="2160"/>
        <w:rPr>
          <w:kern w:val="0"/>
        </w:rPr>
      </w:pPr>
      <w:r w:rsidRPr="3DC60743">
        <w:rPr>
          <w:kern w:val="0"/>
        </w:rPr>
        <w:t>(</w:t>
      </w:r>
      <w:r>
        <w:rPr>
          <w:kern w:val="0"/>
        </w:rPr>
        <w:t>B</w:t>
      </w:r>
      <w:r w:rsidRPr="3DC60743">
        <w:rPr>
          <w:kern w:val="0"/>
        </w:rPr>
        <w:t xml:space="preserve">) </w:t>
      </w:r>
      <w:r>
        <w:rPr>
          <w:kern w:val="0"/>
        </w:rPr>
        <w:t>T</w:t>
      </w:r>
      <w:r w:rsidRPr="3DC60743">
        <w:rPr>
          <w:kern w:val="0"/>
        </w:rPr>
        <w:t>hat the Emergency Broadband Benefit is non-transferable and is limited to one discount per household;</w:t>
      </w:r>
    </w:p>
    <w:p w:rsidR="008B3DE5" w:rsidP="008B3DE5" w14:paraId="3F622B0C" w14:textId="77777777">
      <w:pPr>
        <w:widowControl/>
        <w:spacing w:after="120"/>
        <w:ind w:left="2160"/>
        <w:rPr>
          <w:bCs/>
          <w:kern w:val="0"/>
          <w:szCs w:val="22"/>
        </w:rPr>
      </w:pPr>
      <w:r w:rsidRPr="00653425">
        <w:rPr>
          <w:bCs/>
          <w:kern w:val="0"/>
          <w:szCs w:val="22"/>
        </w:rPr>
        <w:t>(</w:t>
      </w:r>
      <w:r>
        <w:rPr>
          <w:bCs/>
          <w:kern w:val="0"/>
          <w:szCs w:val="22"/>
        </w:rPr>
        <w:t>C</w:t>
      </w:r>
      <w:r w:rsidRPr="00653425">
        <w:rPr>
          <w:bCs/>
          <w:kern w:val="0"/>
          <w:szCs w:val="22"/>
        </w:rPr>
        <w:t xml:space="preserve">) </w:t>
      </w:r>
      <w:r>
        <w:rPr>
          <w:bCs/>
          <w:kern w:val="0"/>
          <w:szCs w:val="22"/>
        </w:rPr>
        <w:t>T</w:t>
      </w:r>
      <w:r w:rsidRPr="00653425">
        <w:rPr>
          <w:bCs/>
          <w:kern w:val="0"/>
          <w:szCs w:val="22"/>
        </w:rPr>
        <w:t>he monetary charges to the customer;</w:t>
      </w:r>
    </w:p>
    <w:p w:rsidR="008B3DE5" w:rsidP="008B3DE5" w14:paraId="341A3DA2" w14:textId="77777777">
      <w:pPr>
        <w:widowControl/>
        <w:spacing w:after="120"/>
        <w:ind w:left="2160"/>
        <w:rPr>
          <w:bCs/>
          <w:kern w:val="0"/>
          <w:szCs w:val="22"/>
        </w:rPr>
      </w:pPr>
      <w:r w:rsidRPr="00653425">
        <w:rPr>
          <w:bCs/>
          <w:kern w:val="0"/>
          <w:szCs w:val="22"/>
        </w:rPr>
        <w:t>(</w:t>
      </w:r>
      <w:r>
        <w:rPr>
          <w:bCs/>
          <w:kern w:val="0"/>
          <w:szCs w:val="22"/>
        </w:rPr>
        <w:t>D</w:t>
      </w:r>
      <w:r w:rsidRPr="00653425">
        <w:rPr>
          <w:bCs/>
          <w:kern w:val="0"/>
          <w:szCs w:val="22"/>
        </w:rPr>
        <w:t xml:space="preserve">) </w:t>
      </w:r>
      <w:r>
        <w:rPr>
          <w:bCs/>
          <w:kern w:val="0"/>
          <w:szCs w:val="22"/>
        </w:rPr>
        <w:t>T</w:t>
      </w:r>
      <w:r w:rsidRPr="00653425">
        <w:rPr>
          <w:bCs/>
          <w:kern w:val="0"/>
          <w:szCs w:val="22"/>
        </w:rPr>
        <w:t>he available upload/download speeds and data caps for the covered services, and a list of connected devices, if any, with descriptions;</w:t>
      </w:r>
    </w:p>
    <w:p w:rsidR="008B3DE5" w:rsidP="008B3DE5" w14:paraId="6DBB3442" w14:textId="77777777">
      <w:pPr>
        <w:widowControl/>
        <w:spacing w:after="120"/>
        <w:ind w:left="2160"/>
        <w:rPr>
          <w:bCs/>
          <w:kern w:val="0"/>
          <w:szCs w:val="22"/>
        </w:rPr>
      </w:pPr>
      <w:r w:rsidRPr="00653425">
        <w:rPr>
          <w:bCs/>
          <w:kern w:val="0"/>
          <w:szCs w:val="22"/>
        </w:rPr>
        <w:t>(</w:t>
      </w:r>
      <w:r>
        <w:rPr>
          <w:bCs/>
          <w:kern w:val="0"/>
          <w:szCs w:val="22"/>
        </w:rPr>
        <w:t>E</w:t>
      </w:r>
      <w:r w:rsidRPr="00653425">
        <w:rPr>
          <w:bCs/>
          <w:kern w:val="0"/>
          <w:szCs w:val="22"/>
        </w:rPr>
        <w:t xml:space="preserve">) </w:t>
      </w:r>
      <w:r>
        <w:rPr>
          <w:bCs/>
          <w:kern w:val="0"/>
          <w:szCs w:val="22"/>
        </w:rPr>
        <w:t>T</w:t>
      </w:r>
      <w:r w:rsidRPr="00653425">
        <w:rPr>
          <w:bCs/>
          <w:kern w:val="0"/>
          <w:szCs w:val="22"/>
        </w:rPr>
        <w:t>he provider’s customer service telephone number, which must be prominently displayed on all promotional materials and adequately staffed by customer service representatives; and</w:t>
      </w:r>
    </w:p>
    <w:p w:rsidR="008B3DE5" w:rsidP="008B3DE5" w14:paraId="41D0C1F6" w14:textId="691EE4EA">
      <w:pPr>
        <w:keepNext/>
        <w:widowControl/>
        <w:spacing w:after="120"/>
        <w:ind w:left="2160"/>
      </w:pPr>
      <w:r w:rsidRPr="00653425">
        <w:rPr>
          <w:bCs/>
          <w:kern w:val="0"/>
          <w:szCs w:val="22"/>
        </w:rPr>
        <w:t>(</w:t>
      </w:r>
      <w:r>
        <w:rPr>
          <w:bCs/>
          <w:kern w:val="0"/>
          <w:szCs w:val="22"/>
        </w:rPr>
        <w:t>F</w:t>
      </w:r>
      <w:r w:rsidRPr="00653425">
        <w:rPr>
          <w:bCs/>
          <w:kern w:val="0"/>
          <w:szCs w:val="22"/>
        </w:rPr>
        <w:t xml:space="preserve">) </w:t>
      </w:r>
      <w:r>
        <w:t>T</w:t>
      </w:r>
      <w:r w:rsidRPr="00653425">
        <w:t xml:space="preserve">hat the </w:t>
      </w:r>
      <w:r>
        <w:t>Emergency Broadband Benefit</w:t>
      </w:r>
      <w:r w:rsidRPr="00653425">
        <w:t xml:space="preserve"> Program is a temporary emergency federal government benefit program</w:t>
      </w:r>
      <w:r w:rsidRPr="00653425">
        <w:rPr>
          <w:kern w:val="0"/>
          <w:shd w:val="clear" w:color="auto" w:fill="FFFFFF"/>
        </w:rPr>
        <w:t xml:space="preserve"> operated by the Federal Communications Commission</w:t>
      </w:r>
      <w:r w:rsidRPr="00653425">
        <w:t xml:space="preserve"> and, upon its conclusion, customers will be subject to the provider’s regular rates, terms, and conditions</w:t>
      </w:r>
      <w:r w:rsidR="000F721A">
        <w:t>.</w:t>
      </w:r>
      <w:r>
        <w:t>”</w:t>
      </w:r>
    </w:p>
    <w:p w:rsidR="008B3DE5" w:rsidP="008B3DE5" w14:paraId="00ADC91F" w14:textId="77777777">
      <w:pPr>
        <w:keepNext/>
        <w:widowControl/>
      </w:pPr>
    </w:p>
    <w:p w:rsidR="008B3DE5" w:rsidP="008B3DE5" w14:paraId="26095A11" w14:textId="77777777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8B3DE5" w:rsidP="008B3DE5" w14:paraId="4FD113AB" w14:textId="77777777">
      <w:pPr>
        <w:keepNext/>
        <w:widowControl/>
      </w:pPr>
    </w:p>
    <w:p w:rsidR="008B3DE5" w:rsidP="008B3DE5" w14:paraId="22EC7621" w14:textId="77777777">
      <w:pPr>
        <w:keepNext/>
        <w:widowControl/>
      </w:pPr>
    </w:p>
    <w:p w:rsidR="008B3DE5" w:rsidP="008B3DE5" w14:paraId="647C9A77" w14:textId="77777777">
      <w:pPr>
        <w:keepNext/>
        <w:widowControl/>
      </w:pPr>
    </w:p>
    <w:p w:rsidR="008B3DE5" w:rsidP="008B3DE5" w14:paraId="1B3EB634" w14:textId="77777777">
      <w:pPr>
        <w:keepNext/>
        <w:widowControl/>
      </w:pPr>
    </w:p>
    <w:p w:rsidR="008B3DE5" w:rsidP="008B3DE5" w14:paraId="4FE09CBE" w14:textId="77777777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 Anne Monteith </w:t>
      </w:r>
    </w:p>
    <w:p w:rsidR="008B3DE5" w:rsidP="008B3DE5" w14:paraId="76E9F32C" w14:textId="77777777">
      <w:r>
        <w:tab/>
      </w:r>
      <w:r>
        <w:tab/>
      </w:r>
      <w:r>
        <w:tab/>
      </w:r>
      <w:r>
        <w:tab/>
      </w:r>
      <w:r>
        <w:tab/>
      </w:r>
      <w:r>
        <w:tab/>
        <w:t>Chief, Wireline Competition Bureau</w:t>
      </w:r>
    </w:p>
    <w:p w:rsidR="00412FC5" w:rsidP="008B3DE5" w14:paraId="71F4F337" w14:textId="77777777">
      <w:pPr>
        <w:pStyle w:val="Heading1"/>
        <w:numPr>
          <w:ilvl w:val="0"/>
          <w:numId w:val="0"/>
        </w:numPr>
        <w:ind w:left="720" w:hanging="720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C62520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2F2C8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B3DE5" w14:paraId="74F49443" w14:textId="38267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D99F397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2360D62" w14:textId="21A0FD6A">
    <w:pPr>
      <w:pStyle w:val="Header"/>
      <w:rPr>
        <w:b w:val="0"/>
      </w:rPr>
    </w:pPr>
    <w:r>
      <w:tab/>
      <w:t>Federal Communications Commission</w:t>
    </w:r>
    <w:r>
      <w:tab/>
    </w:r>
  </w:p>
  <w:p w:rsidR="00D25FB5" w14:paraId="7EAC5B0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352C904E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00633B5" w14:textId="0AA50E9B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5"/>
    <w:rsid w:val="00036039"/>
    <w:rsid w:val="00037F90"/>
    <w:rsid w:val="000875BF"/>
    <w:rsid w:val="00096D8C"/>
    <w:rsid w:val="000C0B65"/>
    <w:rsid w:val="000E05FE"/>
    <w:rsid w:val="000E3D42"/>
    <w:rsid w:val="000F721A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30F74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6D06"/>
    <w:rsid w:val="005E14C2"/>
    <w:rsid w:val="00607BA5"/>
    <w:rsid w:val="0061180A"/>
    <w:rsid w:val="006252E6"/>
    <w:rsid w:val="00626EB6"/>
    <w:rsid w:val="00653425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B3DE5"/>
    <w:rsid w:val="008C68F1"/>
    <w:rsid w:val="00921803"/>
    <w:rsid w:val="00926503"/>
    <w:rsid w:val="009662EA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AC38BD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66182"/>
    <w:rsid w:val="00DA2529"/>
    <w:rsid w:val="00DB130A"/>
    <w:rsid w:val="00DB2EBB"/>
    <w:rsid w:val="00DB3FDA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33D6"/>
    <w:rsid w:val="00F64209"/>
    <w:rsid w:val="00F93BF5"/>
    <w:rsid w:val="00FE5042"/>
    <w:rsid w:val="3DC607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F34B84E-9E45-4A6A-AEA9-C987F39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