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059744CD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ECE1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990F2CF" w14:textId="1F349C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 w:rsidR="003A384A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3A384A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3A384A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68BFAB5D" w14:textId="17B501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3A384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3A384A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C1E09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74A3" w:rsidP="00D861EE" w14:paraId="6861981A" w14:textId="29C772D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PROPOSES</w:t>
            </w:r>
            <w:r w:rsidR="00C27875">
              <w:rPr>
                <w:b/>
                <w:bCs/>
                <w:sz w:val="26"/>
                <w:szCs w:val="26"/>
              </w:rPr>
              <w:t xml:space="preserve"> BAN ON </w:t>
            </w:r>
            <w:r w:rsidR="007E0D90">
              <w:rPr>
                <w:b/>
                <w:bCs/>
                <w:sz w:val="26"/>
                <w:szCs w:val="26"/>
              </w:rPr>
              <w:t xml:space="preserve">EQUIPMENT </w:t>
            </w:r>
            <w:r w:rsidR="0089398C">
              <w:rPr>
                <w:b/>
                <w:bCs/>
                <w:sz w:val="26"/>
                <w:szCs w:val="26"/>
              </w:rPr>
              <w:t>AUTHORIZATIONS</w:t>
            </w:r>
            <w:r w:rsidR="00C27875">
              <w:rPr>
                <w:b/>
                <w:bCs/>
                <w:sz w:val="26"/>
                <w:szCs w:val="26"/>
              </w:rPr>
              <w:t xml:space="preserve"> </w:t>
            </w:r>
            <w:r w:rsidR="00314EDA">
              <w:rPr>
                <w:b/>
                <w:bCs/>
                <w:sz w:val="26"/>
                <w:szCs w:val="26"/>
              </w:rPr>
              <w:t>FOR</w:t>
            </w:r>
            <w:r w:rsidR="00C27875">
              <w:rPr>
                <w:b/>
                <w:bCs/>
                <w:sz w:val="26"/>
                <w:szCs w:val="26"/>
              </w:rPr>
              <w:t xml:space="preserve"> </w:t>
            </w:r>
            <w:r w:rsidR="007E0D90">
              <w:rPr>
                <w:b/>
                <w:bCs/>
                <w:sz w:val="26"/>
                <w:szCs w:val="26"/>
              </w:rPr>
              <w:t xml:space="preserve">DEVICES </w:t>
            </w:r>
            <w:r w:rsidR="00C27875">
              <w:rPr>
                <w:b/>
                <w:bCs/>
                <w:sz w:val="26"/>
                <w:szCs w:val="26"/>
              </w:rPr>
              <w:t xml:space="preserve">DEEMED TO </w:t>
            </w:r>
            <w:r w:rsidR="008F79BF">
              <w:rPr>
                <w:b/>
                <w:bCs/>
                <w:sz w:val="26"/>
                <w:szCs w:val="26"/>
              </w:rPr>
              <w:t>POSE</w:t>
            </w:r>
            <w:r w:rsidR="00C27875">
              <w:rPr>
                <w:b/>
                <w:bCs/>
                <w:sz w:val="26"/>
                <w:szCs w:val="26"/>
              </w:rPr>
              <w:t xml:space="preserve"> A </w:t>
            </w:r>
            <w:r>
              <w:rPr>
                <w:b/>
                <w:bCs/>
                <w:sz w:val="26"/>
                <w:szCs w:val="26"/>
              </w:rPr>
              <w:t>THREAT TO NATIONAL SECURITY</w:t>
            </w:r>
          </w:p>
          <w:p w:rsidR="004B4991" w:rsidP="00040127" w14:paraId="541A2421" w14:textId="3925A823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Seeks Comment on </w:t>
            </w:r>
            <w:r w:rsidR="0089398C">
              <w:rPr>
                <w:b/>
                <w:bCs/>
                <w:i/>
              </w:rPr>
              <w:t>Whether to Revoke Previously Granted Authorizations for Equipment on the Supply Chain Covered Lis</w:t>
            </w:r>
            <w:r w:rsidR="00212CC6">
              <w:rPr>
                <w:b/>
                <w:bCs/>
                <w:i/>
              </w:rPr>
              <w:t xml:space="preserve">t </w:t>
            </w:r>
          </w:p>
          <w:p w:rsidR="004B4991" w:rsidP="002E165B" w14:paraId="4566DF1F" w14:textId="77777777">
            <w:pPr>
              <w:rPr>
                <w:b/>
                <w:bCs/>
                <w:i/>
              </w:rPr>
            </w:pPr>
          </w:p>
          <w:p w:rsidR="00781EC4" w:rsidP="002E165B" w14:paraId="102E1DC3" w14:textId="15309825">
            <w:pPr>
              <w:rPr>
                <w:sz w:val="22"/>
                <w:szCs w:val="22"/>
              </w:rPr>
            </w:pPr>
            <w:r w:rsidRPr="00E5021F">
              <w:rPr>
                <w:sz w:val="22"/>
                <w:szCs w:val="22"/>
              </w:rPr>
              <w:t>WASHINGTON,</w:t>
            </w:r>
            <w:r w:rsidR="003B2FB7">
              <w:rPr>
                <w:sz w:val="22"/>
                <w:szCs w:val="22"/>
              </w:rPr>
              <w:t xml:space="preserve"> June 17</w:t>
            </w:r>
            <w:r w:rsidRPr="00E5021F" w:rsidR="00065E2D">
              <w:rPr>
                <w:sz w:val="22"/>
                <w:szCs w:val="22"/>
              </w:rPr>
              <w:t>, 20</w:t>
            </w:r>
            <w:r w:rsidRPr="00E5021F" w:rsidR="006D16EF">
              <w:rPr>
                <w:sz w:val="22"/>
                <w:szCs w:val="22"/>
              </w:rPr>
              <w:t>2</w:t>
            </w:r>
            <w:r w:rsidRPr="00E5021F" w:rsidR="00E34C0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89398C">
              <w:rPr>
                <w:sz w:val="22"/>
                <w:szCs w:val="22"/>
              </w:rPr>
              <w:t>The Federal Communications Commission</w:t>
            </w:r>
            <w:r w:rsidR="00D400A3">
              <w:rPr>
                <w:sz w:val="22"/>
                <w:szCs w:val="22"/>
              </w:rPr>
              <w:t xml:space="preserve">, which plays an important role in protecting the security of America’s communications </w:t>
            </w:r>
            <w:r w:rsidR="000D2F63">
              <w:rPr>
                <w:sz w:val="22"/>
                <w:szCs w:val="22"/>
              </w:rPr>
              <w:t>networks,</w:t>
            </w:r>
            <w:r w:rsidR="0089398C">
              <w:rPr>
                <w:sz w:val="22"/>
                <w:szCs w:val="22"/>
              </w:rPr>
              <w:t xml:space="preserve"> today </w:t>
            </w:r>
            <w:r w:rsidR="00314EDA">
              <w:rPr>
                <w:sz w:val="22"/>
                <w:szCs w:val="22"/>
              </w:rPr>
              <w:t xml:space="preserve">proposed rules that would prohibit all future authorizations for </w:t>
            </w:r>
            <w:r w:rsidR="00AD059B">
              <w:rPr>
                <w:sz w:val="22"/>
                <w:szCs w:val="22"/>
              </w:rPr>
              <w:t xml:space="preserve">communications </w:t>
            </w:r>
            <w:r w:rsidR="006D1D55">
              <w:rPr>
                <w:sz w:val="22"/>
                <w:szCs w:val="22"/>
              </w:rPr>
              <w:t>equipment deemed to pose an unacceptable risk to national securit</w:t>
            </w:r>
            <w:r w:rsidR="00D6523C">
              <w:rPr>
                <w:sz w:val="22"/>
                <w:szCs w:val="22"/>
              </w:rPr>
              <w:t>y</w:t>
            </w:r>
            <w:r w:rsidR="008F79BF">
              <w:rPr>
                <w:sz w:val="22"/>
                <w:szCs w:val="22"/>
              </w:rPr>
              <w:t>.</w:t>
            </w:r>
            <w:r w:rsidR="00AD059B">
              <w:rPr>
                <w:sz w:val="22"/>
                <w:szCs w:val="22"/>
              </w:rPr>
              <w:t xml:space="preserve">  </w:t>
            </w:r>
            <w:r w:rsidR="000D2F63">
              <w:rPr>
                <w:sz w:val="22"/>
                <w:szCs w:val="22"/>
              </w:rPr>
              <w:t xml:space="preserve">In recent years, </w:t>
            </w:r>
            <w:r w:rsidRPr="00CD4C1A" w:rsidR="00CD4C1A">
              <w:rPr>
                <w:sz w:val="22"/>
                <w:szCs w:val="22"/>
              </w:rPr>
              <w:t>the Commission, Congress, and the Executive Branch have taken multiple actions to guard against potential threats to the supply chain of equipment and services within the United States</w:t>
            </w:r>
            <w:r w:rsidR="002D5ABD">
              <w:rPr>
                <w:sz w:val="22"/>
                <w:szCs w:val="22"/>
              </w:rPr>
              <w:t xml:space="preserve">, </w:t>
            </w:r>
            <w:r w:rsidR="00AD059B">
              <w:rPr>
                <w:sz w:val="22"/>
                <w:szCs w:val="22"/>
              </w:rPr>
              <w:t>including</w:t>
            </w:r>
            <w:r w:rsidR="008F79BF">
              <w:rPr>
                <w:sz w:val="22"/>
                <w:szCs w:val="22"/>
              </w:rPr>
              <w:t xml:space="preserve"> </w:t>
            </w:r>
            <w:r w:rsidR="0030754C">
              <w:rPr>
                <w:sz w:val="22"/>
                <w:szCs w:val="22"/>
              </w:rPr>
              <w:t>ensur</w:t>
            </w:r>
            <w:r w:rsidR="00AD059B">
              <w:rPr>
                <w:sz w:val="22"/>
                <w:szCs w:val="22"/>
              </w:rPr>
              <w:t>ing</w:t>
            </w:r>
            <w:r w:rsidR="0030754C">
              <w:rPr>
                <w:sz w:val="22"/>
                <w:szCs w:val="22"/>
              </w:rPr>
              <w:t xml:space="preserve"> that public funds are not used to undermine </w:t>
            </w:r>
            <w:r w:rsidR="006E3A22">
              <w:rPr>
                <w:sz w:val="22"/>
                <w:szCs w:val="22"/>
              </w:rPr>
              <w:t xml:space="preserve">or pose a threat to </w:t>
            </w:r>
            <w:r w:rsidR="0030754C">
              <w:rPr>
                <w:sz w:val="22"/>
                <w:szCs w:val="22"/>
              </w:rPr>
              <w:t>national security</w:t>
            </w:r>
            <w:r w:rsidR="00C84A4E">
              <w:rPr>
                <w:sz w:val="22"/>
                <w:szCs w:val="22"/>
              </w:rPr>
              <w:t>.</w:t>
            </w:r>
          </w:p>
          <w:p w:rsidR="00781EC4" w:rsidP="002E165B" w14:paraId="13EB4242" w14:textId="77777777">
            <w:pPr>
              <w:rPr>
                <w:sz w:val="22"/>
                <w:szCs w:val="22"/>
              </w:rPr>
            </w:pPr>
          </w:p>
          <w:p w:rsidR="00B96CA3" w:rsidP="002E165B" w14:paraId="5230ED33" w14:textId="3D54A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</w:t>
            </w:r>
            <w:r w:rsidR="007E60DF">
              <w:rPr>
                <w:sz w:val="22"/>
                <w:szCs w:val="22"/>
              </w:rPr>
              <w:t xml:space="preserve">otice of Proposed Rulemaking </w:t>
            </w:r>
            <w:r w:rsidR="00C37AC4">
              <w:rPr>
                <w:sz w:val="22"/>
                <w:szCs w:val="22"/>
              </w:rPr>
              <w:t xml:space="preserve">and </w:t>
            </w:r>
            <w:r w:rsidR="008E4B4B">
              <w:rPr>
                <w:sz w:val="22"/>
                <w:szCs w:val="22"/>
              </w:rPr>
              <w:t xml:space="preserve">Notice of Inquiry </w:t>
            </w:r>
            <w:r w:rsidR="00CD5926">
              <w:rPr>
                <w:sz w:val="22"/>
                <w:szCs w:val="22"/>
              </w:rPr>
              <w:t xml:space="preserve">adopted today </w:t>
            </w:r>
            <w:r w:rsidR="00C37AC4">
              <w:rPr>
                <w:sz w:val="22"/>
                <w:szCs w:val="22"/>
              </w:rPr>
              <w:t xml:space="preserve">build on the Commission’s </w:t>
            </w:r>
            <w:r w:rsidR="00781EC4">
              <w:rPr>
                <w:sz w:val="22"/>
                <w:szCs w:val="22"/>
              </w:rPr>
              <w:t xml:space="preserve">ongoing </w:t>
            </w:r>
            <w:r w:rsidR="00C37AC4">
              <w:rPr>
                <w:sz w:val="22"/>
                <w:szCs w:val="22"/>
              </w:rPr>
              <w:t>efforts to protect</w:t>
            </w:r>
            <w:r w:rsidR="00AC5FC3">
              <w:rPr>
                <w:sz w:val="22"/>
                <w:szCs w:val="22"/>
              </w:rPr>
              <w:t xml:space="preserve"> our nation’s communications networks.  </w:t>
            </w:r>
            <w:r w:rsidR="007C62F4">
              <w:rPr>
                <w:sz w:val="22"/>
                <w:szCs w:val="22"/>
              </w:rPr>
              <w:t xml:space="preserve">In addition to proposing to prohibit </w:t>
            </w:r>
            <w:r w:rsidR="00116E78">
              <w:rPr>
                <w:sz w:val="22"/>
                <w:szCs w:val="22"/>
              </w:rPr>
              <w:t xml:space="preserve">authorization of equipment that poses an unacceptable risk to national security, the </w:t>
            </w:r>
            <w:r w:rsidR="00CB7D98">
              <w:rPr>
                <w:sz w:val="22"/>
                <w:szCs w:val="22"/>
              </w:rPr>
              <w:t>NPRM seeks comment on possible changes to the competitive bidding rules for auctions</w:t>
            </w:r>
            <w:r w:rsidR="0014470D">
              <w:rPr>
                <w:sz w:val="22"/>
                <w:szCs w:val="22"/>
              </w:rPr>
              <w:t xml:space="preserve"> to protect national security</w:t>
            </w:r>
            <w:r w:rsidR="004A1719">
              <w:rPr>
                <w:sz w:val="22"/>
                <w:szCs w:val="22"/>
              </w:rPr>
              <w:t>.</w:t>
            </w:r>
          </w:p>
          <w:p w:rsidR="00B96CA3" w:rsidP="002E165B" w14:paraId="79D13E38" w14:textId="77777777">
            <w:pPr>
              <w:rPr>
                <w:sz w:val="22"/>
                <w:szCs w:val="22"/>
              </w:rPr>
            </w:pPr>
          </w:p>
          <w:p w:rsidR="00781EC4" w:rsidRPr="00B330D8" w:rsidP="00B330D8" w14:paraId="645586BA" w14:textId="74FC7E82">
            <w:pPr>
              <w:rPr>
                <w:sz w:val="22"/>
                <w:szCs w:val="22"/>
              </w:rPr>
            </w:pPr>
            <w:r w:rsidRPr="00B330D8">
              <w:rPr>
                <w:sz w:val="22"/>
                <w:szCs w:val="22"/>
              </w:rPr>
              <w:t>Specifically,</w:t>
            </w:r>
            <w:r w:rsidRPr="00B330D8" w:rsidR="0014715C">
              <w:rPr>
                <w:sz w:val="22"/>
                <w:szCs w:val="22"/>
              </w:rPr>
              <w:t xml:space="preserve"> </w:t>
            </w:r>
            <w:r w:rsidRPr="00B330D8">
              <w:rPr>
                <w:sz w:val="22"/>
                <w:szCs w:val="22"/>
              </w:rPr>
              <w:t xml:space="preserve">the </w:t>
            </w:r>
            <w:r w:rsidR="00B330D8">
              <w:rPr>
                <w:sz w:val="22"/>
                <w:szCs w:val="22"/>
              </w:rPr>
              <w:t xml:space="preserve">NPRM seeks comment on a </w:t>
            </w:r>
            <w:r w:rsidRPr="00B330D8" w:rsidR="004B19C4">
              <w:rPr>
                <w:sz w:val="22"/>
                <w:szCs w:val="22"/>
              </w:rPr>
              <w:t xml:space="preserve">proposal to prohibit all future authorizations </w:t>
            </w:r>
            <w:r w:rsidRPr="00B330D8" w:rsidR="00CF53FA">
              <w:rPr>
                <w:sz w:val="22"/>
                <w:szCs w:val="22"/>
              </w:rPr>
              <w:t>of</w:t>
            </w:r>
            <w:r w:rsidRPr="00B330D8" w:rsidR="004B19C4">
              <w:rPr>
                <w:sz w:val="22"/>
                <w:szCs w:val="22"/>
              </w:rPr>
              <w:t xml:space="preserve"> </w:t>
            </w:r>
            <w:r w:rsidRPr="00B330D8" w:rsidR="00A31880">
              <w:rPr>
                <w:sz w:val="22"/>
                <w:szCs w:val="22"/>
              </w:rPr>
              <w:t xml:space="preserve">communications </w:t>
            </w:r>
            <w:r w:rsidRPr="00B330D8" w:rsidR="004B19C4">
              <w:rPr>
                <w:sz w:val="22"/>
                <w:szCs w:val="22"/>
              </w:rPr>
              <w:t>equipment</w:t>
            </w:r>
            <w:r w:rsidRPr="00B330D8" w:rsidR="00324105">
              <w:rPr>
                <w:sz w:val="22"/>
                <w:szCs w:val="22"/>
              </w:rPr>
              <w:t xml:space="preserve"> </w:t>
            </w:r>
            <w:r w:rsidRPr="00B330D8" w:rsidR="008E4B4B">
              <w:rPr>
                <w:sz w:val="22"/>
                <w:szCs w:val="22"/>
              </w:rPr>
              <w:t>that</w:t>
            </w:r>
            <w:r w:rsidRPr="00B330D8" w:rsidR="009823B4">
              <w:rPr>
                <w:sz w:val="22"/>
                <w:szCs w:val="22"/>
              </w:rPr>
              <w:t xml:space="preserve"> has </w:t>
            </w:r>
            <w:r w:rsidRPr="00B330D8" w:rsidR="009E3C7D">
              <w:rPr>
                <w:sz w:val="22"/>
                <w:szCs w:val="22"/>
              </w:rPr>
              <w:t>been determined</w:t>
            </w:r>
            <w:r w:rsidRPr="00B330D8" w:rsidR="00212CC6">
              <w:rPr>
                <w:sz w:val="22"/>
                <w:szCs w:val="22"/>
              </w:rPr>
              <w:t xml:space="preserve"> to </w:t>
            </w:r>
            <w:r w:rsidRPr="00B330D8" w:rsidR="002D134C">
              <w:rPr>
                <w:sz w:val="22"/>
                <w:szCs w:val="22"/>
              </w:rPr>
              <w:t>pose an unacceptable risk to U.S. national security</w:t>
            </w:r>
            <w:r w:rsidRPr="00B330D8" w:rsidR="008E4B4B">
              <w:rPr>
                <w:sz w:val="22"/>
                <w:szCs w:val="22"/>
              </w:rPr>
              <w:t xml:space="preserve">, as identified on the </w:t>
            </w:r>
            <w:hyperlink r:id="rId5" w:history="1">
              <w:r w:rsidRPr="00B330D8" w:rsidR="00B330D8">
                <w:rPr>
                  <w:rStyle w:val="Hyperlink"/>
                  <w:sz w:val="22"/>
                  <w:szCs w:val="22"/>
                </w:rPr>
                <w:t>Covered List</w:t>
              </w:r>
            </w:hyperlink>
            <w:r w:rsidRPr="00B330D8" w:rsidR="00B330D8">
              <w:rPr>
                <w:sz w:val="22"/>
                <w:szCs w:val="22"/>
              </w:rPr>
              <w:t xml:space="preserve"> </w:t>
            </w:r>
            <w:r w:rsidRPr="00B330D8" w:rsidR="00324105">
              <w:rPr>
                <w:sz w:val="22"/>
                <w:szCs w:val="22"/>
              </w:rPr>
              <w:t>published by the Public Safety and Homeland Security Bureau</w:t>
            </w:r>
            <w:r w:rsidRPr="00B330D8" w:rsidR="00E94533">
              <w:rPr>
                <w:sz w:val="22"/>
                <w:szCs w:val="22"/>
              </w:rPr>
              <w:t xml:space="preserve">.  </w:t>
            </w:r>
            <w:r w:rsidRPr="00B330D8" w:rsidR="008E4B4B">
              <w:rPr>
                <w:sz w:val="22"/>
                <w:szCs w:val="22"/>
              </w:rPr>
              <w:t>T</w:t>
            </w:r>
            <w:r w:rsidRPr="00B330D8" w:rsidR="00E94533">
              <w:rPr>
                <w:sz w:val="22"/>
                <w:szCs w:val="22"/>
              </w:rPr>
              <w:t xml:space="preserve">he </w:t>
            </w:r>
            <w:r w:rsidRPr="00B330D8" w:rsidR="008E4B4B">
              <w:rPr>
                <w:sz w:val="22"/>
                <w:szCs w:val="22"/>
              </w:rPr>
              <w:t>proposal</w:t>
            </w:r>
            <w:r w:rsidRPr="00B330D8" w:rsidR="00E94533">
              <w:rPr>
                <w:sz w:val="22"/>
                <w:szCs w:val="22"/>
              </w:rPr>
              <w:t xml:space="preserve"> would </w:t>
            </w:r>
            <w:r w:rsidRPr="00B330D8" w:rsidR="00FA7E41">
              <w:rPr>
                <w:sz w:val="22"/>
                <w:szCs w:val="22"/>
              </w:rPr>
              <w:t xml:space="preserve">prohibit the </w:t>
            </w:r>
            <w:r w:rsidRPr="00B330D8" w:rsidR="0045230F">
              <w:rPr>
                <w:sz w:val="22"/>
                <w:szCs w:val="22"/>
              </w:rPr>
              <w:t xml:space="preserve">authorization </w:t>
            </w:r>
            <w:r w:rsidRPr="00B330D8" w:rsidR="00197F3F">
              <w:rPr>
                <w:sz w:val="22"/>
                <w:szCs w:val="22"/>
              </w:rPr>
              <w:t>of equipment through</w:t>
            </w:r>
            <w:r w:rsidRPr="00B330D8" w:rsidR="00484BDD">
              <w:rPr>
                <w:sz w:val="22"/>
                <w:szCs w:val="22"/>
              </w:rPr>
              <w:t xml:space="preserve"> either the FCC’s </w:t>
            </w:r>
            <w:r w:rsidRPr="00B330D8" w:rsidR="00E356F0">
              <w:rPr>
                <w:sz w:val="22"/>
                <w:szCs w:val="22"/>
              </w:rPr>
              <w:t>C</w:t>
            </w:r>
            <w:r w:rsidRPr="00B330D8" w:rsidR="00484BDD">
              <w:rPr>
                <w:sz w:val="22"/>
                <w:szCs w:val="22"/>
              </w:rPr>
              <w:t>ertification or Supplier’s Declaration of Conformity</w:t>
            </w:r>
            <w:r w:rsidRPr="00B330D8" w:rsidR="00E075EA">
              <w:rPr>
                <w:sz w:val="22"/>
                <w:szCs w:val="22"/>
              </w:rPr>
              <w:t xml:space="preserve"> </w:t>
            </w:r>
            <w:r w:rsidRPr="00B330D8" w:rsidR="00E356F0">
              <w:rPr>
                <w:sz w:val="22"/>
                <w:szCs w:val="22"/>
              </w:rPr>
              <w:t xml:space="preserve">equipment authorization </w:t>
            </w:r>
            <w:r w:rsidRPr="00B330D8" w:rsidR="00E075EA">
              <w:rPr>
                <w:sz w:val="22"/>
                <w:szCs w:val="22"/>
              </w:rPr>
              <w:t>processes</w:t>
            </w:r>
            <w:r w:rsidRPr="00B330D8" w:rsidR="00324105">
              <w:rPr>
                <w:sz w:val="22"/>
                <w:szCs w:val="22"/>
              </w:rPr>
              <w:t xml:space="preserve">.  </w:t>
            </w:r>
            <w:r w:rsidRPr="00B330D8" w:rsidR="005C5035">
              <w:rPr>
                <w:sz w:val="22"/>
                <w:szCs w:val="22"/>
              </w:rPr>
              <w:t xml:space="preserve">The </w:t>
            </w:r>
            <w:r w:rsidRPr="00B330D8" w:rsidR="003B7223">
              <w:rPr>
                <w:sz w:val="22"/>
                <w:szCs w:val="22"/>
              </w:rPr>
              <w:t xml:space="preserve">proposal </w:t>
            </w:r>
            <w:r w:rsidRPr="00B330D8" w:rsidR="00CF53FA">
              <w:rPr>
                <w:sz w:val="22"/>
                <w:szCs w:val="22"/>
              </w:rPr>
              <w:t xml:space="preserve">also seeks comment </w:t>
            </w:r>
            <w:r w:rsidRPr="00B330D8" w:rsidR="008E4B4B">
              <w:rPr>
                <w:sz w:val="22"/>
                <w:szCs w:val="22"/>
              </w:rPr>
              <w:t xml:space="preserve">on </w:t>
            </w:r>
            <w:r w:rsidRPr="00B330D8" w:rsidR="00860E81">
              <w:rPr>
                <w:sz w:val="22"/>
                <w:szCs w:val="22"/>
              </w:rPr>
              <w:t>whether to revise rules concerning equipment currently exempted from the equipment authorization requirements to no longer permit this exemption for equipment on the Covered List</w:t>
            </w:r>
            <w:r w:rsidRPr="00B330D8" w:rsidR="003C7045">
              <w:rPr>
                <w:sz w:val="22"/>
                <w:szCs w:val="22"/>
              </w:rPr>
              <w:t>.</w:t>
            </w:r>
          </w:p>
          <w:p w:rsidR="00781EC4" w:rsidP="002E165B" w14:paraId="6F03B8AB" w14:textId="77777777">
            <w:pPr>
              <w:rPr>
                <w:sz w:val="22"/>
                <w:szCs w:val="22"/>
              </w:rPr>
            </w:pPr>
          </w:p>
          <w:p w:rsidR="002D134C" w:rsidP="002E165B" w14:paraId="7A3DB63B" w14:textId="7661A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12CC6">
              <w:rPr>
                <w:sz w:val="22"/>
                <w:szCs w:val="22"/>
              </w:rPr>
              <w:t>he Commission</w:t>
            </w:r>
            <w:r>
              <w:rPr>
                <w:sz w:val="22"/>
                <w:szCs w:val="22"/>
              </w:rPr>
              <w:t xml:space="preserve"> </w:t>
            </w:r>
            <w:r w:rsidR="00212CC6">
              <w:rPr>
                <w:sz w:val="22"/>
                <w:szCs w:val="22"/>
              </w:rPr>
              <w:t xml:space="preserve">also </w:t>
            </w:r>
            <w:r w:rsidR="005E3C16">
              <w:rPr>
                <w:sz w:val="22"/>
                <w:szCs w:val="22"/>
              </w:rPr>
              <w:t xml:space="preserve">seeks comment on </w:t>
            </w:r>
            <w:r w:rsidR="00260B1C">
              <w:rPr>
                <w:sz w:val="22"/>
                <w:szCs w:val="22"/>
              </w:rPr>
              <w:t>whether</w:t>
            </w:r>
            <w:r w:rsidRPr="00904B9D" w:rsidR="00904B9D">
              <w:rPr>
                <w:sz w:val="22"/>
                <w:szCs w:val="22"/>
              </w:rPr>
              <w:t xml:space="preserve"> it should revoke prior authorizations for any equipment on the Covered List and, if so, the procedures it should use</w:t>
            </w:r>
            <w:r w:rsidR="008E4B4B">
              <w:rPr>
                <w:sz w:val="22"/>
                <w:szCs w:val="22"/>
              </w:rPr>
              <w:t xml:space="preserve"> to do so</w:t>
            </w:r>
            <w:r w:rsidR="00E7344E">
              <w:rPr>
                <w:sz w:val="22"/>
                <w:szCs w:val="22"/>
              </w:rPr>
              <w:t xml:space="preserve">.  </w:t>
            </w:r>
            <w:r w:rsidR="000A1784">
              <w:rPr>
                <w:sz w:val="22"/>
                <w:szCs w:val="22"/>
              </w:rPr>
              <w:t>Finally, wi</w:t>
            </w:r>
            <w:r w:rsidR="001E6E48">
              <w:rPr>
                <w:sz w:val="22"/>
                <w:szCs w:val="22"/>
              </w:rPr>
              <w:t xml:space="preserve">th regard to the </w:t>
            </w:r>
            <w:r w:rsidR="00A058CC">
              <w:rPr>
                <w:sz w:val="22"/>
                <w:szCs w:val="22"/>
              </w:rPr>
              <w:t>FCC’s</w:t>
            </w:r>
            <w:r w:rsidR="001E6E48">
              <w:rPr>
                <w:sz w:val="22"/>
                <w:szCs w:val="22"/>
              </w:rPr>
              <w:t xml:space="preserve"> competitive bidding rules, the Commission seeks comment on</w:t>
            </w:r>
            <w:r w:rsidR="005E3C16">
              <w:rPr>
                <w:sz w:val="22"/>
                <w:szCs w:val="22"/>
              </w:rPr>
              <w:t xml:space="preserve"> </w:t>
            </w:r>
            <w:r w:rsidR="00212CC6">
              <w:rPr>
                <w:sz w:val="22"/>
                <w:szCs w:val="22"/>
              </w:rPr>
              <w:t xml:space="preserve">whether to require applicants who wish to participate in </w:t>
            </w:r>
            <w:r w:rsidR="00BD4AC0">
              <w:rPr>
                <w:sz w:val="22"/>
                <w:szCs w:val="22"/>
              </w:rPr>
              <w:t xml:space="preserve">FCC </w:t>
            </w:r>
            <w:r w:rsidR="00212CC6">
              <w:rPr>
                <w:sz w:val="22"/>
                <w:szCs w:val="22"/>
              </w:rPr>
              <w:t>auctions</w:t>
            </w:r>
            <w:r w:rsidR="005E3C16">
              <w:rPr>
                <w:sz w:val="22"/>
                <w:szCs w:val="22"/>
              </w:rPr>
              <w:t xml:space="preserve"> to provide additional certifications relating to national security</w:t>
            </w:r>
            <w:r w:rsidR="00F574C9">
              <w:rPr>
                <w:sz w:val="22"/>
                <w:szCs w:val="22"/>
              </w:rPr>
              <w:t xml:space="preserve">.  </w:t>
            </w:r>
            <w:r w:rsidR="001E0F95">
              <w:rPr>
                <w:sz w:val="22"/>
                <w:szCs w:val="22"/>
              </w:rPr>
              <w:t>T</w:t>
            </w:r>
            <w:r w:rsidR="00F574C9">
              <w:rPr>
                <w:sz w:val="22"/>
                <w:szCs w:val="22"/>
              </w:rPr>
              <w:t xml:space="preserve">he </w:t>
            </w:r>
            <w:r w:rsidR="00664425">
              <w:rPr>
                <w:sz w:val="22"/>
                <w:szCs w:val="22"/>
              </w:rPr>
              <w:t>NOI</w:t>
            </w:r>
            <w:r w:rsidR="00F574C9">
              <w:rPr>
                <w:sz w:val="22"/>
                <w:szCs w:val="22"/>
              </w:rPr>
              <w:t xml:space="preserve"> seeks comm</w:t>
            </w:r>
            <w:r w:rsidR="00D6523C">
              <w:rPr>
                <w:sz w:val="22"/>
                <w:szCs w:val="22"/>
              </w:rPr>
              <w:t>ent on other actions that could create incentives in the equipment authorization processes for improved trust through adoption of cybersecurity best practices in consumer devices.</w:t>
            </w:r>
          </w:p>
          <w:p w:rsidR="009E33F2" w:rsidP="002E165B" w14:paraId="2A7D399E" w14:textId="21182982">
            <w:pPr>
              <w:rPr>
                <w:sz w:val="22"/>
                <w:szCs w:val="22"/>
              </w:rPr>
            </w:pPr>
          </w:p>
          <w:p w:rsidR="002F72FF" w:rsidP="002E165B" w14:paraId="581308AD" w14:textId="1AA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Commission’s equipment authorization rules play a critical role in promoting efficient use of the radio spectrum and ensuring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devices comply with technical and </w:t>
            </w:r>
            <w:r w:rsidR="00260B1C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requirements before they can be marketed or imported in the United States.  The </w:t>
            </w:r>
            <w:r w:rsidR="006455BD">
              <w:rPr>
                <w:sz w:val="22"/>
                <w:szCs w:val="22"/>
              </w:rPr>
              <w:t xml:space="preserve">equipment authorization and </w:t>
            </w:r>
            <w:r w:rsidR="00A70878">
              <w:rPr>
                <w:sz w:val="22"/>
                <w:szCs w:val="22"/>
              </w:rPr>
              <w:t xml:space="preserve">competitive bidding </w:t>
            </w:r>
            <w:r>
              <w:rPr>
                <w:sz w:val="22"/>
                <w:szCs w:val="22"/>
              </w:rPr>
              <w:t xml:space="preserve">rules have been revised through the years to meet the challenges of an </w:t>
            </w:r>
            <w:r>
              <w:rPr>
                <w:sz w:val="22"/>
                <w:szCs w:val="22"/>
              </w:rPr>
              <w:t>evolving ecosystem</w:t>
            </w:r>
            <w:r>
              <w:rPr>
                <w:sz w:val="22"/>
                <w:szCs w:val="22"/>
              </w:rPr>
              <w:t xml:space="preserve">.  The </w:t>
            </w:r>
            <w:r w:rsidR="00664425">
              <w:rPr>
                <w:sz w:val="22"/>
                <w:szCs w:val="22"/>
              </w:rPr>
              <w:t xml:space="preserve">NPRM and NOI </w:t>
            </w:r>
            <w:r>
              <w:rPr>
                <w:sz w:val="22"/>
                <w:szCs w:val="22"/>
              </w:rPr>
              <w:t xml:space="preserve">adopted today </w:t>
            </w:r>
            <w:r w:rsidR="00E356F0">
              <w:rPr>
                <w:sz w:val="22"/>
                <w:szCs w:val="22"/>
              </w:rPr>
              <w:t>focus</w:t>
            </w:r>
            <w:r>
              <w:rPr>
                <w:sz w:val="22"/>
                <w:szCs w:val="22"/>
              </w:rPr>
              <w:t xml:space="preserve"> on </w:t>
            </w:r>
            <w:r w:rsidR="00E4122A">
              <w:rPr>
                <w:sz w:val="22"/>
                <w:szCs w:val="22"/>
              </w:rPr>
              <w:t>providing fu</w:t>
            </w:r>
            <w:r w:rsidR="00BD452F">
              <w:rPr>
                <w:sz w:val="22"/>
                <w:szCs w:val="22"/>
              </w:rPr>
              <w:t>rther protections to the nation’s communications equipment and supply chains</w:t>
            </w:r>
            <w:r w:rsidR="00E356F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keeping untrusted vendors and equipment out of U.S. networks</w:t>
            </w:r>
            <w:r w:rsidR="00CB2369">
              <w:rPr>
                <w:sz w:val="22"/>
                <w:szCs w:val="22"/>
              </w:rPr>
              <w:t>.</w:t>
            </w:r>
            <w:r w:rsidR="00B86ACE">
              <w:rPr>
                <w:sz w:val="22"/>
                <w:szCs w:val="22"/>
              </w:rPr>
              <w:t xml:space="preserve">  </w:t>
            </w:r>
          </w:p>
          <w:p w:rsidR="001F6369" w:rsidP="002E165B" w14:paraId="6D4460B1" w14:textId="79DDEAC8">
            <w:pPr>
              <w:rPr>
                <w:sz w:val="22"/>
                <w:szCs w:val="22"/>
              </w:rPr>
            </w:pPr>
          </w:p>
          <w:p w:rsidR="00124C74" w:rsidRPr="00124C74" w:rsidP="00124C74" w14:paraId="6C629EAD" w14:textId="77777777">
            <w:pPr>
              <w:rPr>
                <w:sz w:val="22"/>
                <w:szCs w:val="22"/>
              </w:rPr>
            </w:pPr>
            <w:r w:rsidRPr="00124C74">
              <w:rPr>
                <w:sz w:val="22"/>
                <w:szCs w:val="22"/>
              </w:rPr>
              <w:t>Action by the Commission June 17, 2021 by Notice of Proposed Rulemaking and Notice of Inquiry (FCC 21-73).  Acting Chairwoman Rosenworcel, Commissioners Carr, Starks, and Simington approving and issuing separate statements.</w:t>
            </w:r>
          </w:p>
          <w:p w:rsidR="00124C74" w:rsidRPr="00124C74" w:rsidP="00124C74" w14:paraId="1E6E3D40" w14:textId="77777777">
            <w:pPr>
              <w:rPr>
                <w:sz w:val="22"/>
                <w:szCs w:val="22"/>
              </w:rPr>
            </w:pPr>
          </w:p>
          <w:p w:rsidR="00124C74" w:rsidP="00124C74" w14:paraId="5184FBC2" w14:textId="06307108">
            <w:pPr>
              <w:rPr>
                <w:sz w:val="22"/>
                <w:szCs w:val="22"/>
              </w:rPr>
            </w:pPr>
            <w:r w:rsidRPr="00124C74">
              <w:rPr>
                <w:sz w:val="22"/>
                <w:szCs w:val="22"/>
              </w:rPr>
              <w:t>ET Docket No. 21-232; EA Docket No. 21-233</w:t>
            </w:r>
          </w:p>
          <w:p w:rsidR="00124C74" w:rsidRPr="002E165B" w:rsidP="002E165B" w14:paraId="25E5C62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2500C"/>
    <w:rsid w:val="000311FC"/>
    <w:rsid w:val="00035BB4"/>
    <w:rsid w:val="00040127"/>
    <w:rsid w:val="000656F4"/>
    <w:rsid w:val="0006570F"/>
    <w:rsid w:val="00065E2D"/>
    <w:rsid w:val="00070A72"/>
    <w:rsid w:val="00081232"/>
    <w:rsid w:val="00091E65"/>
    <w:rsid w:val="00096D4A"/>
    <w:rsid w:val="000A1784"/>
    <w:rsid w:val="000A38EA"/>
    <w:rsid w:val="000C1E47"/>
    <w:rsid w:val="000C26F3"/>
    <w:rsid w:val="000D2F63"/>
    <w:rsid w:val="000E049E"/>
    <w:rsid w:val="000E2653"/>
    <w:rsid w:val="0010799B"/>
    <w:rsid w:val="00110405"/>
    <w:rsid w:val="00116E78"/>
    <w:rsid w:val="00117DB2"/>
    <w:rsid w:val="00120F70"/>
    <w:rsid w:val="00123ED2"/>
    <w:rsid w:val="00124C74"/>
    <w:rsid w:val="00125BE0"/>
    <w:rsid w:val="00137478"/>
    <w:rsid w:val="00142C13"/>
    <w:rsid w:val="0014470D"/>
    <w:rsid w:val="0014715C"/>
    <w:rsid w:val="00152776"/>
    <w:rsid w:val="00153222"/>
    <w:rsid w:val="0015778D"/>
    <w:rsid w:val="001577D3"/>
    <w:rsid w:val="00166B61"/>
    <w:rsid w:val="001733A6"/>
    <w:rsid w:val="00175041"/>
    <w:rsid w:val="001803FB"/>
    <w:rsid w:val="001865A9"/>
    <w:rsid w:val="00187DB2"/>
    <w:rsid w:val="00196467"/>
    <w:rsid w:val="00197F3F"/>
    <w:rsid w:val="001A6728"/>
    <w:rsid w:val="001A6E15"/>
    <w:rsid w:val="001B20BB"/>
    <w:rsid w:val="001C4370"/>
    <w:rsid w:val="001D3779"/>
    <w:rsid w:val="001E0F95"/>
    <w:rsid w:val="001E6E48"/>
    <w:rsid w:val="001F0469"/>
    <w:rsid w:val="001F6369"/>
    <w:rsid w:val="00203A98"/>
    <w:rsid w:val="00206EDD"/>
    <w:rsid w:val="0021247E"/>
    <w:rsid w:val="00212CC6"/>
    <w:rsid w:val="002146F6"/>
    <w:rsid w:val="00216112"/>
    <w:rsid w:val="00222FEB"/>
    <w:rsid w:val="00231C32"/>
    <w:rsid w:val="002336FA"/>
    <w:rsid w:val="00240345"/>
    <w:rsid w:val="002421F0"/>
    <w:rsid w:val="00247274"/>
    <w:rsid w:val="0025030C"/>
    <w:rsid w:val="00260B1C"/>
    <w:rsid w:val="00266966"/>
    <w:rsid w:val="00282122"/>
    <w:rsid w:val="0028421E"/>
    <w:rsid w:val="00285C36"/>
    <w:rsid w:val="00294654"/>
    <w:rsid w:val="00294C0C"/>
    <w:rsid w:val="002A0934"/>
    <w:rsid w:val="002B1013"/>
    <w:rsid w:val="002C251A"/>
    <w:rsid w:val="002D03E5"/>
    <w:rsid w:val="002D134C"/>
    <w:rsid w:val="002D5ABD"/>
    <w:rsid w:val="002E165B"/>
    <w:rsid w:val="002E3F1D"/>
    <w:rsid w:val="002F31D0"/>
    <w:rsid w:val="002F72FF"/>
    <w:rsid w:val="00300359"/>
    <w:rsid w:val="0030754C"/>
    <w:rsid w:val="00314EDA"/>
    <w:rsid w:val="0031773E"/>
    <w:rsid w:val="00324105"/>
    <w:rsid w:val="00333871"/>
    <w:rsid w:val="00334F30"/>
    <w:rsid w:val="00341B35"/>
    <w:rsid w:val="00342248"/>
    <w:rsid w:val="00347716"/>
    <w:rsid w:val="003506E1"/>
    <w:rsid w:val="00350FD4"/>
    <w:rsid w:val="00361E38"/>
    <w:rsid w:val="003727E3"/>
    <w:rsid w:val="00385A93"/>
    <w:rsid w:val="003864D1"/>
    <w:rsid w:val="003910F1"/>
    <w:rsid w:val="003A384A"/>
    <w:rsid w:val="003B2FB7"/>
    <w:rsid w:val="003B7223"/>
    <w:rsid w:val="003C117E"/>
    <w:rsid w:val="003C7045"/>
    <w:rsid w:val="003E42FC"/>
    <w:rsid w:val="003E5991"/>
    <w:rsid w:val="003F344A"/>
    <w:rsid w:val="003F3704"/>
    <w:rsid w:val="004005E2"/>
    <w:rsid w:val="00403FF0"/>
    <w:rsid w:val="00415A88"/>
    <w:rsid w:val="0042046D"/>
    <w:rsid w:val="0042116E"/>
    <w:rsid w:val="00425AEF"/>
    <w:rsid w:val="00426518"/>
    <w:rsid w:val="00427B06"/>
    <w:rsid w:val="00441F59"/>
    <w:rsid w:val="00444E07"/>
    <w:rsid w:val="00444FA9"/>
    <w:rsid w:val="0045230F"/>
    <w:rsid w:val="00473E9C"/>
    <w:rsid w:val="00480099"/>
    <w:rsid w:val="004809A4"/>
    <w:rsid w:val="0048284C"/>
    <w:rsid w:val="004837A3"/>
    <w:rsid w:val="00484BDD"/>
    <w:rsid w:val="00491EB9"/>
    <w:rsid w:val="004941A2"/>
    <w:rsid w:val="00497858"/>
    <w:rsid w:val="004A1719"/>
    <w:rsid w:val="004A2E12"/>
    <w:rsid w:val="004A3BCF"/>
    <w:rsid w:val="004A70FD"/>
    <w:rsid w:val="004A729A"/>
    <w:rsid w:val="004B19C4"/>
    <w:rsid w:val="004B4991"/>
    <w:rsid w:val="004B4FEA"/>
    <w:rsid w:val="004B7141"/>
    <w:rsid w:val="004C0ADA"/>
    <w:rsid w:val="004C433E"/>
    <w:rsid w:val="004C4512"/>
    <w:rsid w:val="004C4F36"/>
    <w:rsid w:val="004D3D85"/>
    <w:rsid w:val="004E0FCB"/>
    <w:rsid w:val="004E2BD8"/>
    <w:rsid w:val="004F0F1F"/>
    <w:rsid w:val="005022AA"/>
    <w:rsid w:val="00504845"/>
    <w:rsid w:val="0050757F"/>
    <w:rsid w:val="00516AD2"/>
    <w:rsid w:val="00545DAE"/>
    <w:rsid w:val="0055749F"/>
    <w:rsid w:val="00560B42"/>
    <w:rsid w:val="00571B83"/>
    <w:rsid w:val="005759D5"/>
    <w:rsid w:val="00575A00"/>
    <w:rsid w:val="00575E61"/>
    <w:rsid w:val="00584AA7"/>
    <w:rsid w:val="00586417"/>
    <w:rsid w:val="0058673C"/>
    <w:rsid w:val="00587088"/>
    <w:rsid w:val="00590853"/>
    <w:rsid w:val="005917FB"/>
    <w:rsid w:val="005A7972"/>
    <w:rsid w:val="005B1569"/>
    <w:rsid w:val="005B17E7"/>
    <w:rsid w:val="005B2643"/>
    <w:rsid w:val="005C22F6"/>
    <w:rsid w:val="005C5035"/>
    <w:rsid w:val="005C7FC2"/>
    <w:rsid w:val="005D17FD"/>
    <w:rsid w:val="005D32BE"/>
    <w:rsid w:val="005E3C16"/>
    <w:rsid w:val="005F0D55"/>
    <w:rsid w:val="005F183E"/>
    <w:rsid w:val="00600DDA"/>
    <w:rsid w:val="00603A30"/>
    <w:rsid w:val="00604211"/>
    <w:rsid w:val="00611D04"/>
    <w:rsid w:val="006121A1"/>
    <w:rsid w:val="00613498"/>
    <w:rsid w:val="00617B94"/>
    <w:rsid w:val="00617F9C"/>
    <w:rsid w:val="00620BED"/>
    <w:rsid w:val="00627EFD"/>
    <w:rsid w:val="006415B4"/>
    <w:rsid w:val="00643B23"/>
    <w:rsid w:val="00644E3D"/>
    <w:rsid w:val="006455BD"/>
    <w:rsid w:val="00651B9E"/>
    <w:rsid w:val="00652019"/>
    <w:rsid w:val="00657EC9"/>
    <w:rsid w:val="00664425"/>
    <w:rsid w:val="00665633"/>
    <w:rsid w:val="00670F50"/>
    <w:rsid w:val="0067270D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1D55"/>
    <w:rsid w:val="006D5D22"/>
    <w:rsid w:val="006E0324"/>
    <w:rsid w:val="006E3A22"/>
    <w:rsid w:val="006E4A76"/>
    <w:rsid w:val="006F1DBD"/>
    <w:rsid w:val="006F35A6"/>
    <w:rsid w:val="00700556"/>
    <w:rsid w:val="00703D3F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1EC4"/>
    <w:rsid w:val="007933DE"/>
    <w:rsid w:val="00793D6F"/>
    <w:rsid w:val="00794090"/>
    <w:rsid w:val="0079674E"/>
    <w:rsid w:val="00796B2B"/>
    <w:rsid w:val="007A44F8"/>
    <w:rsid w:val="007C62F4"/>
    <w:rsid w:val="007D21BF"/>
    <w:rsid w:val="007E0D90"/>
    <w:rsid w:val="007E190B"/>
    <w:rsid w:val="007E60DF"/>
    <w:rsid w:val="007E6BF7"/>
    <w:rsid w:val="007F3C12"/>
    <w:rsid w:val="007F5205"/>
    <w:rsid w:val="007F7BD9"/>
    <w:rsid w:val="0080486B"/>
    <w:rsid w:val="00811B7F"/>
    <w:rsid w:val="008215E7"/>
    <w:rsid w:val="00830FC6"/>
    <w:rsid w:val="00837C16"/>
    <w:rsid w:val="00850E26"/>
    <w:rsid w:val="00860E81"/>
    <w:rsid w:val="00865EAA"/>
    <w:rsid w:val="00866F06"/>
    <w:rsid w:val="008728F5"/>
    <w:rsid w:val="00873F98"/>
    <w:rsid w:val="00880150"/>
    <w:rsid w:val="008824C2"/>
    <w:rsid w:val="008844F2"/>
    <w:rsid w:val="0088711D"/>
    <w:rsid w:val="0089398C"/>
    <w:rsid w:val="008960E4"/>
    <w:rsid w:val="008A1D9E"/>
    <w:rsid w:val="008A3940"/>
    <w:rsid w:val="008B13C9"/>
    <w:rsid w:val="008B3529"/>
    <w:rsid w:val="008C248C"/>
    <w:rsid w:val="008C5432"/>
    <w:rsid w:val="008C5FDE"/>
    <w:rsid w:val="008C7BF1"/>
    <w:rsid w:val="008D00D6"/>
    <w:rsid w:val="008D4D00"/>
    <w:rsid w:val="008D4E5E"/>
    <w:rsid w:val="008D7ABD"/>
    <w:rsid w:val="008E4B4B"/>
    <w:rsid w:val="008E55A2"/>
    <w:rsid w:val="008E6742"/>
    <w:rsid w:val="008F1609"/>
    <w:rsid w:val="008F78D8"/>
    <w:rsid w:val="008F79BF"/>
    <w:rsid w:val="00904B9D"/>
    <w:rsid w:val="00913961"/>
    <w:rsid w:val="00925119"/>
    <w:rsid w:val="0093373C"/>
    <w:rsid w:val="00937046"/>
    <w:rsid w:val="00947C05"/>
    <w:rsid w:val="009543DF"/>
    <w:rsid w:val="00961620"/>
    <w:rsid w:val="0096543B"/>
    <w:rsid w:val="009734B6"/>
    <w:rsid w:val="0098096F"/>
    <w:rsid w:val="009823B4"/>
    <w:rsid w:val="0098437A"/>
    <w:rsid w:val="00986C92"/>
    <w:rsid w:val="00993C47"/>
    <w:rsid w:val="009972BC"/>
    <w:rsid w:val="009B4700"/>
    <w:rsid w:val="009B4B16"/>
    <w:rsid w:val="009C4965"/>
    <w:rsid w:val="009E33F2"/>
    <w:rsid w:val="009E3C7D"/>
    <w:rsid w:val="009E54A1"/>
    <w:rsid w:val="009F4E25"/>
    <w:rsid w:val="009F5B1F"/>
    <w:rsid w:val="009F675C"/>
    <w:rsid w:val="00A058CC"/>
    <w:rsid w:val="00A21283"/>
    <w:rsid w:val="00A225A9"/>
    <w:rsid w:val="00A31880"/>
    <w:rsid w:val="00A3308E"/>
    <w:rsid w:val="00A35CB3"/>
    <w:rsid w:val="00A35DFD"/>
    <w:rsid w:val="00A4520A"/>
    <w:rsid w:val="00A46F93"/>
    <w:rsid w:val="00A50D0A"/>
    <w:rsid w:val="00A702DF"/>
    <w:rsid w:val="00A70878"/>
    <w:rsid w:val="00A73E41"/>
    <w:rsid w:val="00A775A3"/>
    <w:rsid w:val="00A81700"/>
    <w:rsid w:val="00A81B5B"/>
    <w:rsid w:val="00A82FAD"/>
    <w:rsid w:val="00A908E0"/>
    <w:rsid w:val="00A91654"/>
    <w:rsid w:val="00A9673A"/>
    <w:rsid w:val="00A96EF2"/>
    <w:rsid w:val="00AA5C35"/>
    <w:rsid w:val="00AA5ED9"/>
    <w:rsid w:val="00AB0ED8"/>
    <w:rsid w:val="00AB2D25"/>
    <w:rsid w:val="00AC0A38"/>
    <w:rsid w:val="00AC4E0E"/>
    <w:rsid w:val="00AC517B"/>
    <w:rsid w:val="00AC5FC3"/>
    <w:rsid w:val="00AD059B"/>
    <w:rsid w:val="00AD0D19"/>
    <w:rsid w:val="00AD25D8"/>
    <w:rsid w:val="00AD4184"/>
    <w:rsid w:val="00AD5FC1"/>
    <w:rsid w:val="00AD6035"/>
    <w:rsid w:val="00AF051B"/>
    <w:rsid w:val="00AF3C0B"/>
    <w:rsid w:val="00AF41B5"/>
    <w:rsid w:val="00AF7AC1"/>
    <w:rsid w:val="00B000FF"/>
    <w:rsid w:val="00B037A2"/>
    <w:rsid w:val="00B12715"/>
    <w:rsid w:val="00B30D71"/>
    <w:rsid w:val="00B31870"/>
    <w:rsid w:val="00B320B8"/>
    <w:rsid w:val="00B330D8"/>
    <w:rsid w:val="00B35EE2"/>
    <w:rsid w:val="00B36DEF"/>
    <w:rsid w:val="00B4463F"/>
    <w:rsid w:val="00B57131"/>
    <w:rsid w:val="00B62F2C"/>
    <w:rsid w:val="00B65433"/>
    <w:rsid w:val="00B727C9"/>
    <w:rsid w:val="00B735C8"/>
    <w:rsid w:val="00B76A63"/>
    <w:rsid w:val="00B86ACE"/>
    <w:rsid w:val="00B903A9"/>
    <w:rsid w:val="00B96085"/>
    <w:rsid w:val="00B96CA3"/>
    <w:rsid w:val="00BA4939"/>
    <w:rsid w:val="00BA6350"/>
    <w:rsid w:val="00BB4E29"/>
    <w:rsid w:val="00BB74C9"/>
    <w:rsid w:val="00BC3AB6"/>
    <w:rsid w:val="00BC7A48"/>
    <w:rsid w:val="00BD19E8"/>
    <w:rsid w:val="00BD4273"/>
    <w:rsid w:val="00BD452F"/>
    <w:rsid w:val="00BD4AC0"/>
    <w:rsid w:val="00BF1938"/>
    <w:rsid w:val="00C01259"/>
    <w:rsid w:val="00C15E30"/>
    <w:rsid w:val="00C27875"/>
    <w:rsid w:val="00C31ED8"/>
    <w:rsid w:val="00C37AC4"/>
    <w:rsid w:val="00C432E4"/>
    <w:rsid w:val="00C5523E"/>
    <w:rsid w:val="00C70C26"/>
    <w:rsid w:val="00C72001"/>
    <w:rsid w:val="00C77158"/>
    <w:rsid w:val="00C772B7"/>
    <w:rsid w:val="00C80347"/>
    <w:rsid w:val="00C84A4E"/>
    <w:rsid w:val="00C974A3"/>
    <w:rsid w:val="00CB2369"/>
    <w:rsid w:val="00CB2450"/>
    <w:rsid w:val="00CB24D2"/>
    <w:rsid w:val="00CB7C1A"/>
    <w:rsid w:val="00CB7D98"/>
    <w:rsid w:val="00CC1D92"/>
    <w:rsid w:val="00CC5E08"/>
    <w:rsid w:val="00CC6CDD"/>
    <w:rsid w:val="00CD4C1A"/>
    <w:rsid w:val="00CD5926"/>
    <w:rsid w:val="00CE14FD"/>
    <w:rsid w:val="00CF255E"/>
    <w:rsid w:val="00CF53FA"/>
    <w:rsid w:val="00CF6860"/>
    <w:rsid w:val="00D02AC6"/>
    <w:rsid w:val="00D03F0C"/>
    <w:rsid w:val="00D04312"/>
    <w:rsid w:val="00D14010"/>
    <w:rsid w:val="00D16A7F"/>
    <w:rsid w:val="00D16AD2"/>
    <w:rsid w:val="00D22596"/>
    <w:rsid w:val="00D22691"/>
    <w:rsid w:val="00D24418"/>
    <w:rsid w:val="00D24C3D"/>
    <w:rsid w:val="00D400A3"/>
    <w:rsid w:val="00D46CB1"/>
    <w:rsid w:val="00D6523C"/>
    <w:rsid w:val="00D66C85"/>
    <w:rsid w:val="00D723F0"/>
    <w:rsid w:val="00D742F6"/>
    <w:rsid w:val="00D8133F"/>
    <w:rsid w:val="00D84B68"/>
    <w:rsid w:val="00D861EE"/>
    <w:rsid w:val="00D95B05"/>
    <w:rsid w:val="00D97E2D"/>
    <w:rsid w:val="00DA103D"/>
    <w:rsid w:val="00DA45D3"/>
    <w:rsid w:val="00DA4772"/>
    <w:rsid w:val="00DA7B44"/>
    <w:rsid w:val="00DB2667"/>
    <w:rsid w:val="00DB3884"/>
    <w:rsid w:val="00DB67B7"/>
    <w:rsid w:val="00DC15A9"/>
    <w:rsid w:val="00DC40AA"/>
    <w:rsid w:val="00DD1750"/>
    <w:rsid w:val="00DD642E"/>
    <w:rsid w:val="00DE46FD"/>
    <w:rsid w:val="00DF00A1"/>
    <w:rsid w:val="00DF766C"/>
    <w:rsid w:val="00E075EA"/>
    <w:rsid w:val="00E13BD4"/>
    <w:rsid w:val="00E349AA"/>
    <w:rsid w:val="00E34C03"/>
    <w:rsid w:val="00E356F0"/>
    <w:rsid w:val="00E4122A"/>
    <w:rsid w:val="00E41390"/>
    <w:rsid w:val="00E41936"/>
    <w:rsid w:val="00E41CA0"/>
    <w:rsid w:val="00E4366B"/>
    <w:rsid w:val="00E5021F"/>
    <w:rsid w:val="00E50A4A"/>
    <w:rsid w:val="00E5393D"/>
    <w:rsid w:val="00E606DE"/>
    <w:rsid w:val="00E644FE"/>
    <w:rsid w:val="00E72733"/>
    <w:rsid w:val="00E7344E"/>
    <w:rsid w:val="00E742FA"/>
    <w:rsid w:val="00E76816"/>
    <w:rsid w:val="00E77919"/>
    <w:rsid w:val="00E83DBF"/>
    <w:rsid w:val="00E87C13"/>
    <w:rsid w:val="00E92C13"/>
    <w:rsid w:val="00E94533"/>
    <w:rsid w:val="00E94CD9"/>
    <w:rsid w:val="00E976CD"/>
    <w:rsid w:val="00EA1A76"/>
    <w:rsid w:val="00EA290B"/>
    <w:rsid w:val="00EC4EF5"/>
    <w:rsid w:val="00EC505D"/>
    <w:rsid w:val="00EE0E90"/>
    <w:rsid w:val="00EE32E0"/>
    <w:rsid w:val="00EF038A"/>
    <w:rsid w:val="00EF3BCA"/>
    <w:rsid w:val="00EF729B"/>
    <w:rsid w:val="00F01B0D"/>
    <w:rsid w:val="00F06735"/>
    <w:rsid w:val="00F1238F"/>
    <w:rsid w:val="00F16485"/>
    <w:rsid w:val="00F17CC1"/>
    <w:rsid w:val="00F228ED"/>
    <w:rsid w:val="00F26E31"/>
    <w:rsid w:val="00F27C6C"/>
    <w:rsid w:val="00F33CED"/>
    <w:rsid w:val="00F34A8D"/>
    <w:rsid w:val="00F50D25"/>
    <w:rsid w:val="00F535D8"/>
    <w:rsid w:val="00F574C9"/>
    <w:rsid w:val="00F577B2"/>
    <w:rsid w:val="00F61155"/>
    <w:rsid w:val="00F708E3"/>
    <w:rsid w:val="00F76561"/>
    <w:rsid w:val="00F828F3"/>
    <w:rsid w:val="00F829E4"/>
    <w:rsid w:val="00F84736"/>
    <w:rsid w:val="00F9561D"/>
    <w:rsid w:val="00FA77D3"/>
    <w:rsid w:val="00FA7E41"/>
    <w:rsid w:val="00FB77B1"/>
    <w:rsid w:val="00FC6B8F"/>
    <w:rsid w:val="00FC6C29"/>
    <w:rsid w:val="00FD58E0"/>
    <w:rsid w:val="00FD71AE"/>
    <w:rsid w:val="00FE0198"/>
    <w:rsid w:val="00FE3A7C"/>
    <w:rsid w:val="00FF0D03"/>
    <w:rsid w:val="00FF1C0B"/>
    <w:rsid w:val="00FF232D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25E48C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upplychain/coveredlist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