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6AE7A85F" w14:textId="77777777" w:rsidTr="006D5D22">
        <w:tblPrEx>
          <w:tblW w:w="0" w:type="auto"/>
          <w:tblLook w:val="0000"/>
        </w:tblPrEx>
        <w:trPr>
          <w:trHeight w:val="2181"/>
        </w:trPr>
        <w:tc>
          <w:tcPr>
            <w:tcW w:w="8856" w:type="dxa"/>
          </w:tcPr>
          <w:p w:rsidR="00FF232D" w:rsidP="006A7D75" w14:paraId="13D88AE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554FA6B" w14:textId="77777777">
            <w:pPr>
              <w:rPr>
                <w:b/>
                <w:bCs/>
                <w:sz w:val="12"/>
                <w:szCs w:val="12"/>
              </w:rPr>
            </w:pPr>
          </w:p>
          <w:p w:rsidR="007A44F8" w:rsidRPr="008A3940" w:rsidP="00BB4E29" w14:paraId="5817DC29" w14:textId="77777777">
            <w:pPr>
              <w:rPr>
                <w:b/>
                <w:bCs/>
                <w:sz w:val="22"/>
                <w:szCs w:val="22"/>
              </w:rPr>
            </w:pPr>
            <w:r w:rsidRPr="008A3940">
              <w:rPr>
                <w:b/>
                <w:bCs/>
                <w:sz w:val="22"/>
                <w:szCs w:val="22"/>
              </w:rPr>
              <w:t xml:space="preserve">Media Contact: </w:t>
            </w:r>
          </w:p>
          <w:p w:rsidR="007A44F8" w:rsidRPr="008A3940" w:rsidP="00BB4E29" w14:paraId="2665E7BD"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E780525" w14:textId="77777777">
            <w:pPr>
              <w:rPr>
                <w:bCs/>
                <w:sz w:val="22"/>
                <w:szCs w:val="22"/>
              </w:rPr>
            </w:pPr>
            <w:r w:rsidRPr="008A3940">
              <w:rPr>
                <w:bCs/>
                <w:sz w:val="22"/>
                <w:szCs w:val="22"/>
              </w:rPr>
              <w:t>will.wiquist@fcc.gov</w:t>
            </w:r>
          </w:p>
          <w:p w:rsidR="007A44F8" w:rsidRPr="008A3940" w:rsidP="00BB4E29" w14:paraId="4D6A1ADB" w14:textId="77777777">
            <w:pPr>
              <w:rPr>
                <w:bCs/>
                <w:sz w:val="22"/>
                <w:szCs w:val="22"/>
              </w:rPr>
            </w:pPr>
          </w:p>
          <w:p w:rsidR="007A44F8" w:rsidRPr="008A3940" w:rsidP="00BB4E29" w14:paraId="7A952928" w14:textId="77777777">
            <w:pPr>
              <w:rPr>
                <w:b/>
                <w:sz w:val="22"/>
                <w:szCs w:val="22"/>
              </w:rPr>
            </w:pPr>
            <w:r w:rsidRPr="008A3940">
              <w:rPr>
                <w:b/>
                <w:sz w:val="22"/>
                <w:szCs w:val="22"/>
              </w:rPr>
              <w:t>For Immediate Release</w:t>
            </w:r>
          </w:p>
          <w:p w:rsidR="007A44F8" w:rsidRPr="004A729A" w:rsidP="00BB4E29" w14:paraId="4758EF6C" w14:textId="77777777">
            <w:pPr>
              <w:jc w:val="center"/>
              <w:rPr>
                <w:b/>
                <w:bCs/>
                <w:sz w:val="22"/>
                <w:szCs w:val="22"/>
              </w:rPr>
            </w:pPr>
          </w:p>
          <w:p w:rsidR="000E049E" w:rsidP="00D861EE" w14:paraId="39E5E0DF" w14:textId="77777777">
            <w:pPr>
              <w:tabs>
                <w:tab w:val="left" w:pos="8625"/>
              </w:tabs>
              <w:spacing w:after="120"/>
              <w:jc w:val="center"/>
              <w:rPr>
                <w:b/>
                <w:bCs/>
                <w:sz w:val="26"/>
                <w:szCs w:val="26"/>
              </w:rPr>
            </w:pPr>
            <w:r w:rsidRPr="000E049E">
              <w:rPr>
                <w:b/>
                <w:bCs/>
                <w:sz w:val="26"/>
                <w:szCs w:val="26"/>
              </w:rPr>
              <w:t xml:space="preserve">FCC </w:t>
            </w:r>
            <w:r>
              <w:rPr>
                <w:b/>
                <w:bCs/>
                <w:sz w:val="26"/>
                <w:szCs w:val="26"/>
              </w:rPr>
              <w:t>REAFFIRMS $2.8 MILLION FINE OF DRONE DEVICE MARKETER</w:t>
            </w:r>
          </w:p>
          <w:p w:rsidR="00CC5E08" w:rsidRPr="008A3940" w:rsidP="00040127" w14:paraId="42F08E4C" w14:textId="5A84FF27">
            <w:pPr>
              <w:tabs>
                <w:tab w:val="left" w:pos="8625"/>
              </w:tabs>
              <w:jc w:val="center"/>
              <w:rPr>
                <w:i/>
              </w:rPr>
            </w:pPr>
            <w:r>
              <w:rPr>
                <w:b/>
                <w:bCs/>
                <w:i/>
              </w:rPr>
              <w:t xml:space="preserve">Commission </w:t>
            </w:r>
            <w:r w:rsidR="007F59A3">
              <w:rPr>
                <w:b/>
                <w:bCs/>
                <w:i/>
              </w:rPr>
              <w:t xml:space="preserve">Denies Petition for Reconsideration of </w:t>
            </w:r>
            <w:r w:rsidR="00392E12">
              <w:rPr>
                <w:b/>
                <w:bCs/>
                <w:i/>
              </w:rPr>
              <w:t xml:space="preserve">HobbyKing </w:t>
            </w:r>
            <w:r>
              <w:rPr>
                <w:b/>
                <w:bCs/>
                <w:i/>
              </w:rPr>
              <w:t xml:space="preserve">Fine </w:t>
            </w:r>
            <w:r w:rsidR="00392E12">
              <w:rPr>
                <w:b/>
                <w:bCs/>
                <w:i/>
              </w:rPr>
              <w:t xml:space="preserve">for </w:t>
            </w:r>
            <w:r w:rsidRPr="00392E12" w:rsidR="00392E12">
              <w:rPr>
                <w:b/>
                <w:bCs/>
                <w:i/>
              </w:rPr>
              <w:t xml:space="preserve">Marketing </w:t>
            </w:r>
            <w:r w:rsidR="00ED1CEB">
              <w:rPr>
                <w:b/>
                <w:bCs/>
                <w:i/>
              </w:rPr>
              <w:t xml:space="preserve">Unauthorized </w:t>
            </w:r>
            <w:r w:rsidRPr="00392E12" w:rsidR="00392E12">
              <w:rPr>
                <w:b/>
                <w:bCs/>
                <w:i/>
              </w:rPr>
              <w:t xml:space="preserve">Drone Transmitters </w:t>
            </w:r>
          </w:p>
          <w:p w:rsidR="00F61155" w:rsidRPr="006B0A70" w:rsidP="00BB4E29" w14:paraId="218FD7C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26566CF3" w14:textId="7B1CE18B">
            <w:pPr>
              <w:rPr>
                <w:sz w:val="22"/>
                <w:szCs w:val="22"/>
              </w:rPr>
            </w:pPr>
            <w:r w:rsidRPr="002E165B">
              <w:rPr>
                <w:sz w:val="22"/>
                <w:szCs w:val="22"/>
              </w:rPr>
              <w:t xml:space="preserve">WASHINGTON, </w:t>
            </w:r>
            <w:r w:rsidR="00A56259">
              <w:rPr>
                <w:sz w:val="22"/>
                <w:szCs w:val="22"/>
              </w:rPr>
              <w:t>June 17</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392E12">
              <w:rPr>
                <w:sz w:val="22"/>
                <w:szCs w:val="22"/>
              </w:rPr>
              <w:t>denied a petition from HobbyKing asking the agency to reconsider its $</w:t>
            </w:r>
            <w:r w:rsidRPr="000C2E7C" w:rsidR="00392E12">
              <w:rPr>
                <w:sz w:val="22"/>
                <w:szCs w:val="22"/>
              </w:rPr>
              <w:t>2,861,128</w:t>
            </w:r>
            <w:r w:rsidR="00392E12">
              <w:rPr>
                <w:sz w:val="22"/>
                <w:szCs w:val="22"/>
              </w:rPr>
              <w:t xml:space="preserve"> </w:t>
            </w:r>
            <w:r w:rsidR="001B22D2">
              <w:rPr>
                <w:sz w:val="22"/>
                <w:szCs w:val="22"/>
              </w:rPr>
              <w:t xml:space="preserve">fine </w:t>
            </w:r>
            <w:r w:rsidR="00392E12">
              <w:rPr>
                <w:sz w:val="22"/>
                <w:szCs w:val="22"/>
              </w:rPr>
              <w:t xml:space="preserve">for marketing drone transmitters </w:t>
            </w:r>
            <w:r w:rsidR="00724771">
              <w:rPr>
                <w:sz w:val="22"/>
                <w:szCs w:val="22"/>
              </w:rPr>
              <w:t xml:space="preserve">that </w:t>
            </w:r>
            <w:r w:rsidR="00392E12">
              <w:rPr>
                <w:sz w:val="22"/>
                <w:szCs w:val="22"/>
              </w:rPr>
              <w:t xml:space="preserve">did not comply with FCC </w:t>
            </w:r>
            <w:r w:rsidR="001B22D2">
              <w:rPr>
                <w:sz w:val="22"/>
                <w:szCs w:val="22"/>
              </w:rPr>
              <w:t xml:space="preserve">equipment marketing </w:t>
            </w:r>
            <w:r w:rsidR="00392E12">
              <w:rPr>
                <w:sz w:val="22"/>
                <w:szCs w:val="22"/>
              </w:rPr>
              <w:t>rules.  An FCC investigation</w:t>
            </w:r>
            <w:r w:rsidR="00A56259">
              <w:rPr>
                <w:sz w:val="22"/>
                <w:szCs w:val="22"/>
              </w:rPr>
              <w:t xml:space="preserve"> </w:t>
            </w:r>
            <w:r w:rsidR="00392E12">
              <w:rPr>
                <w:sz w:val="22"/>
                <w:szCs w:val="22"/>
              </w:rPr>
              <w:t xml:space="preserve">found that dozens of devices marketed by the company transmitted in unauthorized radio frequency bands and, in some cases, operated at excessive power levels.  </w:t>
            </w:r>
          </w:p>
          <w:p w:rsidR="00040127" w:rsidRPr="002E165B" w:rsidP="002E165B" w14:paraId="5C9E76D3" w14:textId="77777777">
            <w:pPr>
              <w:rPr>
                <w:sz w:val="22"/>
                <w:szCs w:val="22"/>
              </w:rPr>
            </w:pPr>
          </w:p>
          <w:p w:rsidR="00850E26" w:rsidP="002E165B" w14:paraId="4641609B" w14:textId="0D0CE14E">
            <w:pPr>
              <w:rPr>
                <w:sz w:val="22"/>
                <w:szCs w:val="22"/>
              </w:rPr>
            </w:pPr>
            <w:r>
              <w:rPr>
                <w:sz w:val="22"/>
                <w:szCs w:val="22"/>
              </w:rPr>
              <w:t>HobbyKing market</w:t>
            </w:r>
            <w:r w:rsidR="00724771">
              <w:rPr>
                <w:sz w:val="22"/>
                <w:szCs w:val="22"/>
              </w:rPr>
              <w:t>ed</w:t>
            </w:r>
            <w:r>
              <w:rPr>
                <w:sz w:val="22"/>
                <w:szCs w:val="22"/>
              </w:rPr>
              <w:t xml:space="preserve"> devices that provide a video link between transmitters mounted on unmanned aircraft systems and users flying drones.  </w:t>
            </w:r>
            <w:r w:rsidR="00BD70D6">
              <w:rPr>
                <w:sz w:val="22"/>
                <w:szCs w:val="22"/>
              </w:rPr>
              <w:t xml:space="preserve">Under FCC rules, </w:t>
            </w:r>
            <w:r w:rsidR="00234016">
              <w:rPr>
                <w:sz w:val="22"/>
                <w:szCs w:val="22"/>
              </w:rPr>
              <w:t xml:space="preserve">these </w:t>
            </w:r>
            <w:r w:rsidR="00B34FAA">
              <w:rPr>
                <w:sz w:val="22"/>
                <w:szCs w:val="22"/>
              </w:rPr>
              <w:t xml:space="preserve">devices </w:t>
            </w:r>
            <w:r w:rsidRPr="00A56259" w:rsidR="00A56259">
              <w:rPr>
                <w:sz w:val="22"/>
                <w:szCs w:val="22"/>
              </w:rPr>
              <w:t xml:space="preserve">must </w:t>
            </w:r>
            <w:r w:rsidR="00724771">
              <w:rPr>
                <w:sz w:val="22"/>
                <w:szCs w:val="22"/>
              </w:rPr>
              <w:t xml:space="preserve">have </w:t>
            </w:r>
            <w:r w:rsidRPr="00A56259" w:rsidR="00A56259">
              <w:rPr>
                <w:sz w:val="22"/>
                <w:szCs w:val="22"/>
              </w:rPr>
              <w:t>obtain</w:t>
            </w:r>
            <w:r w:rsidR="00724771">
              <w:rPr>
                <w:sz w:val="22"/>
                <w:szCs w:val="22"/>
              </w:rPr>
              <w:t>ed</w:t>
            </w:r>
            <w:r w:rsidRPr="00A56259" w:rsidR="00A56259">
              <w:rPr>
                <w:sz w:val="22"/>
                <w:szCs w:val="22"/>
              </w:rPr>
              <w:t xml:space="preserve"> certification</w:t>
            </w:r>
            <w:r w:rsidR="00BD70D6">
              <w:rPr>
                <w:sz w:val="22"/>
                <w:szCs w:val="22"/>
              </w:rPr>
              <w:t xml:space="preserve"> through the FCC’s equipment authorization process</w:t>
            </w:r>
            <w:r w:rsidR="00234016">
              <w:rPr>
                <w:sz w:val="22"/>
                <w:szCs w:val="22"/>
              </w:rPr>
              <w:t xml:space="preserve"> based on their operating parameters</w:t>
            </w:r>
            <w:r w:rsidR="00350EE1">
              <w:rPr>
                <w:sz w:val="22"/>
                <w:szCs w:val="22"/>
              </w:rPr>
              <w:t xml:space="preserve">.  This certification requirement ensures that </w:t>
            </w:r>
            <w:r w:rsidR="00724771">
              <w:rPr>
                <w:sz w:val="22"/>
                <w:szCs w:val="22"/>
              </w:rPr>
              <w:t>radio frequency</w:t>
            </w:r>
            <w:r w:rsidR="00350EE1">
              <w:rPr>
                <w:sz w:val="22"/>
                <w:szCs w:val="22"/>
              </w:rPr>
              <w:t xml:space="preserve"> equipment will not interfere with federal government operations, private licensed operations, and other equipment</w:t>
            </w:r>
            <w:r w:rsidRPr="00A56259" w:rsidR="00A56259">
              <w:rPr>
                <w:sz w:val="22"/>
                <w:szCs w:val="22"/>
              </w:rPr>
              <w:t xml:space="preserve">.  The FCC’s investigation found that </w:t>
            </w:r>
            <w:r w:rsidR="006279B9">
              <w:rPr>
                <w:sz w:val="22"/>
                <w:szCs w:val="22"/>
              </w:rPr>
              <w:t xml:space="preserve">HobbyKing marketed </w:t>
            </w:r>
            <w:r w:rsidRPr="00A56259" w:rsidR="00A56259">
              <w:rPr>
                <w:sz w:val="22"/>
                <w:szCs w:val="22"/>
              </w:rPr>
              <w:t xml:space="preserve">65 models of devices </w:t>
            </w:r>
            <w:r w:rsidR="006279B9">
              <w:rPr>
                <w:sz w:val="22"/>
                <w:szCs w:val="22"/>
              </w:rPr>
              <w:t xml:space="preserve">that </w:t>
            </w:r>
            <w:r w:rsidR="00724771">
              <w:rPr>
                <w:sz w:val="22"/>
                <w:szCs w:val="22"/>
              </w:rPr>
              <w:t xml:space="preserve">were required to be, but </w:t>
            </w:r>
            <w:r w:rsidRPr="00A56259" w:rsidR="00A56259">
              <w:rPr>
                <w:sz w:val="22"/>
                <w:szCs w:val="22"/>
              </w:rPr>
              <w:t>were not</w:t>
            </w:r>
            <w:r w:rsidR="00724771">
              <w:rPr>
                <w:sz w:val="22"/>
                <w:szCs w:val="22"/>
              </w:rPr>
              <w:t>,</w:t>
            </w:r>
            <w:r w:rsidRPr="00A56259" w:rsidR="00A56259">
              <w:rPr>
                <w:sz w:val="22"/>
                <w:szCs w:val="22"/>
              </w:rPr>
              <w:t xml:space="preserve"> certified by the Commission.  </w:t>
            </w:r>
          </w:p>
          <w:p w:rsidR="00A56259" w:rsidP="002E165B" w14:paraId="5523FFFC" w14:textId="77777777">
            <w:pPr>
              <w:rPr>
                <w:sz w:val="22"/>
                <w:szCs w:val="22"/>
              </w:rPr>
            </w:pPr>
          </w:p>
          <w:p w:rsidR="00040127" w:rsidRPr="002E165B" w:rsidP="00BD70D6" w14:paraId="6120530B" w14:textId="1E2258E3">
            <w:pPr>
              <w:rPr>
                <w:sz w:val="22"/>
                <w:szCs w:val="22"/>
              </w:rPr>
            </w:pPr>
            <w:r>
              <w:rPr>
                <w:sz w:val="22"/>
                <w:szCs w:val="22"/>
              </w:rPr>
              <w:t xml:space="preserve">The Memorandum Opinion and Order adopted by the Commission today denies a Petition for Reconsideration filed by </w:t>
            </w:r>
            <w:r w:rsidRPr="00A56259">
              <w:rPr>
                <w:sz w:val="22"/>
                <w:szCs w:val="22"/>
              </w:rPr>
              <w:t>ABC Fulfillment Services</w:t>
            </w:r>
            <w:r>
              <w:rPr>
                <w:sz w:val="22"/>
                <w:szCs w:val="22"/>
              </w:rPr>
              <w:t>,</w:t>
            </w:r>
            <w:r w:rsidRPr="00A56259">
              <w:rPr>
                <w:sz w:val="22"/>
                <w:szCs w:val="22"/>
              </w:rPr>
              <w:t xml:space="preserve"> LLC and Indubitably, Inc., </w:t>
            </w:r>
            <w:r>
              <w:rPr>
                <w:sz w:val="22"/>
                <w:szCs w:val="22"/>
              </w:rPr>
              <w:t xml:space="preserve">which do business under the name </w:t>
            </w:r>
            <w:r w:rsidRPr="00A56259">
              <w:rPr>
                <w:sz w:val="22"/>
                <w:szCs w:val="22"/>
              </w:rPr>
              <w:t>HobbyKing</w:t>
            </w:r>
            <w:r>
              <w:rPr>
                <w:sz w:val="22"/>
                <w:szCs w:val="22"/>
              </w:rPr>
              <w:t xml:space="preserve">.  In June 2020, the FCC adopted a </w:t>
            </w:r>
            <w:hyperlink r:id="rId5" w:history="1">
              <w:r w:rsidRPr="00A56259">
                <w:rPr>
                  <w:rStyle w:val="Hyperlink"/>
                  <w:sz w:val="22"/>
                  <w:szCs w:val="22"/>
                </w:rPr>
                <w:t>Forfeiture Order</w:t>
              </w:r>
            </w:hyperlink>
            <w:r>
              <w:rPr>
                <w:sz w:val="22"/>
                <w:szCs w:val="22"/>
              </w:rPr>
              <w:t xml:space="preserve"> for </w:t>
            </w:r>
            <w:r w:rsidRPr="00A56259">
              <w:rPr>
                <w:sz w:val="22"/>
                <w:szCs w:val="22"/>
              </w:rPr>
              <w:t>violati</w:t>
            </w:r>
            <w:r w:rsidR="00BD70D6">
              <w:rPr>
                <w:sz w:val="22"/>
                <w:szCs w:val="22"/>
              </w:rPr>
              <w:t>ons of</w:t>
            </w:r>
            <w:r w:rsidRPr="00A56259">
              <w:rPr>
                <w:sz w:val="22"/>
                <w:szCs w:val="22"/>
              </w:rPr>
              <w:t xml:space="preserve"> section 302 of the Communications Act and section 2.803 of the Commission’s rules by marketing noncompliant radio frequency equipment and failing to respond to Commission orders in the investigation of the Company’s practices</w:t>
            </w:r>
            <w:r>
              <w:rPr>
                <w:sz w:val="22"/>
                <w:szCs w:val="22"/>
              </w:rPr>
              <w:t xml:space="preserve">.  The Commission generally only </w:t>
            </w:r>
            <w:r w:rsidR="00724771">
              <w:rPr>
                <w:sz w:val="22"/>
                <w:szCs w:val="22"/>
              </w:rPr>
              <w:t xml:space="preserve">grants </w:t>
            </w:r>
            <w:r>
              <w:rPr>
                <w:sz w:val="22"/>
                <w:szCs w:val="22"/>
              </w:rPr>
              <w:t xml:space="preserve">a petition for reconsideration if the parties </w:t>
            </w:r>
            <w:r w:rsidR="00DD667D">
              <w:rPr>
                <w:sz w:val="22"/>
                <w:szCs w:val="22"/>
              </w:rPr>
              <w:t>find a material error or omission in the FCC’s actions, or if new facts are presented in the case.  It is not an opportunity to restate prior, rejected arguments.  In that light, the Commission denied the petition today.</w:t>
            </w:r>
          </w:p>
          <w:p w:rsidR="00BD19E8" w:rsidP="002E165B" w14:paraId="301EA770" w14:textId="5320E1F1">
            <w:pPr>
              <w:rPr>
                <w:sz w:val="22"/>
                <w:szCs w:val="22"/>
              </w:rPr>
            </w:pPr>
          </w:p>
          <w:p w:rsidR="00B51BF7" w:rsidP="00B51BF7" w14:paraId="5A6A08B6" w14:textId="55448681">
            <w:pPr>
              <w:rPr>
                <w:sz w:val="22"/>
                <w:szCs w:val="22"/>
              </w:rPr>
            </w:pPr>
            <w:r w:rsidRPr="00084180">
              <w:rPr>
                <w:sz w:val="22"/>
                <w:szCs w:val="22"/>
              </w:rPr>
              <w:t>Action by the Commission June 17, 2021 by Memorandum Opinion and Order (FCC 21-76).  Acting Chairwoman Rosenworcel, Commissioners Carr, Starks, and Simington approving.  Acting Chairwoman Rosenworcel</w:t>
            </w:r>
            <w:r>
              <w:rPr>
                <w:sz w:val="22"/>
                <w:szCs w:val="22"/>
              </w:rPr>
              <w:t xml:space="preserve"> </w:t>
            </w:r>
            <w:r w:rsidRPr="00084180">
              <w:rPr>
                <w:sz w:val="22"/>
                <w:szCs w:val="22"/>
              </w:rPr>
              <w:t>issuing separate</w:t>
            </w:r>
            <w:r>
              <w:rPr>
                <w:sz w:val="22"/>
                <w:szCs w:val="22"/>
              </w:rPr>
              <w:t xml:space="preserve"> a</w:t>
            </w:r>
            <w:r w:rsidRPr="00084180">
              <w:rPr>
                <w:sz w:val="22"/>
                <w:szCs w:val="22"/>
              </w:rPr>
              <w:t xml:space="preserve"> statement.</w:t>
            </w:r>
          </w:p>
          <w:p w:rsidR="00084180" w:rsidRPr="002E165B" w:rsidP="00B51BF7" w14:paraId="405E0A8C" w14:textId="77777777">
            <w:pPr>
              <w:rPr>
                <w:sz w:val="22"/>
                <w:szCs w:val="22"/>
              </w:rPr>
            </w:pPr>
          </w:p>
          <w:p w:rsidR="004F0F1F" w:rsidRPr="007475A1" w:rsidP="00850E26" w14:paraId="230A3062" w14:textId="77777777">
            <w:pPr>
              <w:ind w:right="72"/>
              <w:jc w:val="center"/>
              <w:rPr>
                <w:sz w:val="22"/>
                <w:szCs w:val="22"/>
              </w:rPr>
            </w:pPr>
            <w:r w:rsidRPr="007475A1">
              <w:rPr>
                <w:sz w:val="22"/>
                <w:szCs w:val="22"/>
              </w:rPr>
              <w:t>###</w:t>
            </w:r>
          </w:p>
          <w:p w:rsidR="00CC5E08" w:rsidRPr="0080486B" w:rsidP="00850E26" w14:paraId="58EED80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DE22F67" w14:textId="77777777">
            <w:pPr>
              <w:ind w:right="72"/>
              <w:jc w:val="center"/>
              <w:rPr>
                <w:b/>
                <w:bCs/>
                <w:sz w:val="18"/>
                <w:szCs w:val="18"/>
              </w:rPr>
            </w:pPr>
          </w:p>
          <w:p w:rsidR="00EE0E90" w:rsidRPr="00EF729B" w:rsidP="00850E26" w14:paraId="4941585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433346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54F83"/>
    <w:rsid w:val="00065E2D"/>
    <w:rsid w:val="00081232"/>
    <w:rsid w:val="00084180"/>
    <w:rsid w:val="00091E65"/>
    <w:rsid w:val="00096D4A"/>
    <w:rsid w:val="000A38EA"/>
    <w:rsid w:val="000C1E47"/>
    <w:rsid w:val="000C26F3"/>
    <w:rsid w:val="000C2E7C"/>
    <w:rsid w:val="000E049E"/>
    <w:rsid w:val="0010799B"/>
    <w:rsid w:val="00117DB2"/>
    <w:rsid w:val="00123ED2"/>
    <w:rsid w:val="00125BE0"/>
    <w:rsid w:val="00142C13"/>
    <w:rsid w:val="00152776"/>
    <w:rsid w:val="00153222"/>
    <w:rsid w:val="001577D3"/>
    <w:rsid w:val="001733A6"/>
    <w:rsid w:val="001865A9"/>
    <w:rsid w:val="00187DB2"/>
    <w:rsid w:val="001B20BB"/>
    <w:rsid w:val="001B22D2"/>
    <w:rsid w:val="001C4370"/>
    <w:rsid w:val="001C7298"/>
    <w:rsid w:val="001D3779"/>
    <w:rsid w:val="001F0469"/>
    <w:rsid w:val="00203A98"/>
    <w:rsid w:val="00206EDD"/>
    <w:rsid w:val="0021247E"/>
    <w:rsid w:val="002146F6"/>
    <w:rsid w:val="00230C27"/>
    <w:rsid w:val="00231C32"/>
    <w:rsid w:val="00234016"/>
    <w:rsid w:val="00240345"/>
    <w:rsid w:val="002421F0"/>
    <w:rsid w:val="00247274"/>
    <w:rsid w:val="00251FF7"/>
    <w:rsid w:val="0025756A"/>
    <w:rsid w:val="00266966"/>
    <w:rsid w:val="00285C36"/>
    <w:rsid w:val="00294C0C"/>
    <w:rsid w:val="002A0934"/>
    <w:rsid w:val="002B1013"/>
    <w:rsid w:val="002B312F"/>
    <w:rsid w:val="002D03E5"/>
    <w:rsid w:val="002E165B"/>
    <w:rsid w:val="002E3F1D"/>
    <w:rsid w:val="002F31D0"/>
    <w:rsid w:val="00300359"/>
    <w:rsid w:val="0031773E"/>
    <w:rsid w:val="00333871"/>
    <w:rsid w:val="00347716"/>
    <w:rsid w:val="003506E1"/>
    <w:rsid w:val="00350EE1"/>
    <w:rsid w:val="003727E3"/>
    <w:rsid w:val="003745C9"/>
    <w:rsid w:val="00385A93"/>
    <w:rsid w:val="003910F1"/>
    <w:rsid w:val="00392E12"/>
    <w:rsid w:val="003D7499"/>
    <w:rsid w:val="003E42FC"/>
    <w:rsid w:val="003E5991"/>
    <w:rsid w:val="003F344A"/>
    <w:rsid w:val="00403FF0"/>
    <w:rsid w:val="0042046D"/>
    <w:rsid w:val="0042116E"/>
    <w:rsid w:val="00425AEF"/>
    <w:rsid w:val="00426518"/>
    <w:rsid w:val="00427B06"/>
    <w:rsid w:val="00441F59"/>
    <w:rsid w:val="00444E07"/>
    <w:rsid w:val="00444FA9"/>
    <w:rsid w:val="00460492"/>
    <w:rsid w:val="00473E9C"/>
    <w:rsid w:val="00480099"/>
    <w:rsid w:val="004941A2"/>
    <w:rsid w:val="00497858"/>
    <w:rsid w:val="004A729A"/>
    <w:rsid w:val="004B1AC0"/>
    <w:rsid w:val="004B4FEA"/>
    <w:rsid w:val="004C0ADA"/>
    <w:rsid w:val="004C433E"/>
    <w:rsid w:val="004C4512"/>
    <w:rsid w:val="004C4F36"/>
    <w:rsid w:val="004D3D85"/>
    <w:rsid w:val="004E2BD8"/>
    <w:rsid w:val="004F0F1F"/>
    <w:rsid w:val="005022AA"/>
    <w:rsid w:val="00504845"/>
    <w:rsid w:val="005063B0"/>
    <w:rsid w:val="0050757F"/>
    <w:rsid w:val="00516AD2"/>
    <w:rsid w:val="00545DAE"/>
    <w:rsid w:val="00571B83"/>
    <w:rsid w:val="00575A00"/>
    <w:rsid w:val="00582D84"/>
    <w:rsid w:val="00586417"/>
    <w:rsid w:val="0058673C"/>
    <w:rsid w:val="005A7972"/>
    <w:rsid w:val="005B17E7"/>
    <w:rsid w:val="005B2643"/>
    <w:rsid w:val="005B66B8"/>
    <w:rsid w:val="005D17FD"/>
    <w:rsid w:val="005F0D55"/>
    <w:rsid w:val="005F183E"/>
    <w:rsid w:val="00600DDA"/>
    <w:rsid w:val="00603A30"/>
    <w:rsid w:val="00604211"/>
    <w:rsid w:val="00613498"/>
    <w:rsid w:val="00617B94"/>
    <w:rsid w:val="00620BED"/>
    <w:rsid w:val="006279B9"/>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71"/>
    <w:rsid w:val="0072478B"/>
    <w:rsid w:val="0073414D"/>
    <w:rsid w:val="007475A1"/>
    <w:rsid w:val="0075235E"/>
    <w:rsid w:val="007528A5"/>
    <w:rsid w:val="007732CC"/>
    <w:rsid w:val="00774079"/>
    <w:rsid w:val="0077752B"/>
    <w:rsid w:val="00793D6F"/>
    <w:rsid w:val="00794090"/>
    <w:rsid w:val="00794F57"/>
    <w:rsid w:val="007A44F8"/>
    <w:rsid w:val="007D21BF"/>
    <w:rsid w:val="007F3C12"/>
    <w:rsid w:val="007F5205"/>
    <w:rsid w:val="007F59A3"/>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56259"/>
    <w:rsid w:val="00A702DF"/>
    <w:rsid w:val="00A775A3"/>
    <w:rsid w:val="00A81700"/>
    <w:rsid w:val="00A81B5B"/>
    <w:rsid w:val="00A82FAD"/>
    <w:rsid w:val="00A9673A"/>
    <w:rsid w:val="00A96EF2"/>
    <w:rsid w:val="00AA5C35"/>
    <w:rsid w:val="00AA5ED9"/>
    <w:rsid w:val="00AB30F7"/>
    <w:rsid w:val="00AC0A38"/>
    <w:rsid w:val="00AC4E0E"/>
    <w:rsid w:val="00AC517B"/>
    <w:rsid w:val="00AD0D19"/>
    <w:rsid w:val="00AD4184"/>
    <w:rsid w:val="00AF051B"/>
    <w:rsid w:val="00B037A2"/>
    <w:rsid w:val="00B31870"/>
    <w:rsid w:val="00B320B8"/>
    <w:rsid w:val="00B34FAA"/>
    <w:rsid w:val="00B35EE2"/>
    <w:rsid w:val="00B36DEF"/>
    <w:rsid w:val="00B51BF7"/>
    <w:rsid w:val="00B57131"/>
    <w:rsid w:val="00B62F2C"/>
    <w:rsid w:val="00B66460"/>
    <w:rsid w:val="00B727C9"/>
    <w:rsid w:val="00B735C8"/>
    <w:rsid w:val="00B76A63"/>
    <w:rsid w:val="00BA6350"/>
    <w:rsid w:val="00BB4E29"/>
    <w:rsid w:val="00BB74C9"/>
    <w:rsid w:val="00BC3AB6"/>
    <w:rsid w:val="00BD19E8"/>
    <w:rsid w:val="00BD4273"/>
    <w:rsid w:val="00BD70D6"/>
    <w:rsid w:val="00C31ED8"/>
    <w:rsid w:val="00C432E4"/>
    <w:rsid w:val="00C60FFF"/>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11"/>
    <w:rsid w:val="00DA7B44"/>
    <w:rsid w:val="00DB2667"/>
    <w:rsid w:val="00DB67B7"/>
    <w:rsid w:val="00DC15A9"/>
    <w:rsid w:val="00DC40AA"/>
    <w:rsid w:val="00DD1750"/>
    <w:rsid w:val="00DD667D"/>
    <w:rsid w:val="00DF7B6E"/>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1CEB"/>
    <w:rsid w:val="00EE0E90"/>
    <w:rsid w:val="00EF3BCA"/>
    <w:rsid w:val="00EF729B"/>
    <w:rsid w:val="00F01B0D"/>
    <w:rsid w:val="00F1238F"/>
    <w:rsid w:val="00F16485"/>
    <w:rsid w:val="00F228ED"/>
    <w:rsid w:val="00F26E31"/>
    <w:rsid w:val="00F27C6C"/>
    <w:rsid w:val="00F34A8D"/>
    <w:rsid w:val="00F50D25"/>
    <w:rsid w:val="00F535D8"/>
    <w:rsid w:val="00F61155"/>
    <w:rsid w:val="00F64A82"/>
    <w:rsid w:val="00F708E3"/>
    <w:rsid w:val="00F76561"/>
    <w:rsid w:val="00F84736"/>
    <w:rsid w:val="00F923D5"/>
    <w:rsid w:val="00FC6C29"/>
    <w:rsid w:val="00FD4FC6"/>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23D43A"/>
  <w15:docId w15:val="{F1B89AC4-0A0D-4B24-BCB4-14025A1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Header">
    <w:name w:val="header"/>
    <w:basedOn w:val="Normal"/>
    <w:link w:val="HeaderChar"/>
    <w:unhideWhenUsed/>
    <w:rsid w:val="00794F57"/>
    <w:pPr>
      <w:tabs>
        <w:tab w:val="center" w:pos="4680"/>
        <w:tab w:val="right" w:pos="9360"/>
      </w:tabs>
    </w:pPr>
  </w:style>
  <w:style w:type="character" w:customStyle="1" w:styleId="HeaderChar">
    <w:name w:val="Header Char"/>
    <w:basedOn w:val="DefaultParagraphFont"/>
    <w:link w:val="Header"/>
    <w:rsid w:val="00794F57"/>
    <w:rPr>
      <w:sz w:val="24"/>
      <w:szCs w:val="24"/>
    </w:rPr>
  </w:style>
  <w:style w:type="paragraph" w:styleId="Footer">
    <w:name w:val="footer"/>
    <w:basedOn w:val="Normal"/>
    <w:link w:val="FooterChar"/>
    <w:unhideWhenUsed/>
    <w:rsid w:val="00794F57"/>
    <w:pPr>
      <w:tabs>
        <w:tab w:val="center" w:pos="4680"/>
        <w:tab w:val="right" w:pos="9360"/>
      </w:tabs>
    </w:pPr>
  </w:style>
  <w:style w:type="character" w:customStyle="1" w:styleId="FooterChar">
    <w:name w:val="Footer Char"/>
    <w:basedOn w:val="DefaultParagraphFont"/>
    <w:link w:val="Footer"/>
    <w:rsid w:val="00794F57"/>
    <w:rPr>
      <w:sz w:val="24"/>
      <w:szCs w:val="24"/>
    </w:rPr>
  </w:style>
  <w:style w:type="character" w:styleId="CommentReference">
    <w:name w:val="annotation reference"/>
    <w:basedOn w:val="DefaultParagraphFont"/>
    <w:semiHidden/>
    <w:unhideWhenUsed/>
    <w:rsid w:val="00724771"/>
    <w:rPr>
      <w:sz w:val="16"/>
      <w:szCs w:val="16"/>
    </w:rPr>
  </w:style>
  <w:style w:type="paragraph" w:styleId="CommentText">
    <w:name w:val="annotation text"/>
    <w:basedOn w:val="Normal"/>
    <w:link w:val="CommentTextChar"/>
    <w:unhideWhenUsed/>
    <w:rsid w:val="00724771"/>
    <w:rPr>
      <w:sz w:val="20"/>
      <w:szCs w:val="20"/>
    </w:rPr>
  </w:style>
  <w:style w:type="character" w:customStyle="1" w:styleId="CommentTextChar">
    <w:name w:val="Comment Text Char"/>
    <w:basedOn w:val="DefaultParagraphFont"/>
    <w:link w:val="CommentText"/>
    <w:rsid w:val="00724771"/>
  </w:style>
  <w:style w:type="paragraph" w:styleId="CommentSubject">
    <w:name w:val="annotation subject"/>
    <w:basedOn w:val="CommentText"/>
    <w:next w:val="CommentText"/>
    <w:link w:val="CommentSubjectChar"/>
    <w:semiHidden/>
    <w:unhideWhenUsed/>
    <w:rsid w:val="00724771"/>
    <w:rPr>
      <w:b/>
      <w:bCs/>
    </w:rPr>
  </w:style>
  <w:style w:type="character" w:customStyle="1" w:styleId="CommentSubjectChar">
    <w:name w:val="Comment Subject Char"/>
    <w:basedOn w:val="CommentTextChar"/>
    <w:link w:val="CommentSubject"/>
    <w:semiHidden/>
    <w:rsid w:val="00724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issues-28-million-fine-against-hobbyking-0"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