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63947C6E" w14:textId="77777777" w:rsidTr="6032C990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5CF0A752" w14:textId="7777777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505452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2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174FE748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6F687D9C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16A7BC51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3BF01F9B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05F94F49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48634C0E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24699931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0226BA0E" w14:textId="66181F25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AA1548">
              <w:rPr>
                <w:b/>
                <w:bCs/>
                <w:sz w:val="26"/>
                <w:szCs w:val="26"/>
              </w:rPr>
              <w:t>PROPOSES UPDATES TO ITS RULES FOR SHORT RANGE RADAR SENSING TECHNOLOGY</w:t>
            </w:r>
          </w:p>
          <w:p w:rsidR="00CC5E08" w:rsidRPr="008A3940" w:rsidP="00040127" w14:paraId="22BC68FB" w14:textId="1151C5D1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State-of-the-Art Devices </w:t>
            </w:r>
            <w:r w:rsidR="006F0DD4">
              <w:rPr>
                <w:b/>
                <w:bCs/>
                <w:i/>
              </w:rPr>
              <w:t xml:space="preserve">Can Help Avoid </w:t>
            </w:r>
            <w:r>
              <w:rPr>
                <w:b/>
                <w:bCs/>
                <w:i/>
              </w:rPr>
              <w:t xml:space="preserve">‘Hot Car’ Deaths, </w:t>
            </w:r>
            <w:r w:rsidR="006F0DD4">
              <w:rPr>
                <w:b/>
                <w:bCs/>
                <w:i/>
              </w:rPr>
              <w:t>Boost</w:t>
            </w:r>
            <w:r>
              <w:rPr>
                <w:b/>
                <w:bCs/>
                <w:i/>
              </w:rPr>
              <w:t xml:space="preserve"> Access</w:t>
            </w:r>
            <w:r w:rsidR="00251018">
              <w:rPr>
                <w:b/>
                <w:bCs/>
                <w:i/>
              </w:rPr>
              <w:t>ible Services</w:t>
            </w:r>
            <w:r>
              <w:rPr>
                <w:b/>
                <w:bCs/>
                <w:i/>
              </w:rPr>
              <w:t>,</w:t>
            </w:r>
            <w:r w:rsidR="00251018">
              <w:rPr>
                <w:b/>
                <w:bCs/>
                <w:i/>
              </w:rPr>
              <w:t xml:space="preserve"> Bolster IoT,</w:t>
            </w:r>
            <w:r>
              <w:rPr>
                <w:b/>
                <w:bCs/>
                <w:i/>
              </w:rPr>
              <w:t xml:space="preserve"> and Support Healthcare Monitoring</w:t>
            </w:r>
          </w:p>
          <w:p w:rsidR="00F61155" w:rsidRPr="006B0A70" w:rsidP="00BB4E29" w14:paraId="31141A03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E861BA" w:rsidP="002E165B" w14:paraId="0BA01D2D" w14:textId="2EBCCC6B">
            <w:pPr>
              <w:rPr>
                <w:sz w:val="22"/>
                <w:szCs w:val="22"/>
              </w:rPr>
            </w:pPr>
            <w:r w:rsidRPr="6032C990">
              <w:rPr>
                <w:sz w:val="22"/>
                <w:szCs w:val="22"/>
              </w:rPr>
              <w:t xml:space="preserve">WASHINGTON, </w:t>
            </w:r>
            <w:r w:rsidRPr="6032C990" w:rsidR="00AA1548">
              <w:rPr>
                <w:sz w:val="22"/>
                <w:szCs w:val="22"/>
              </w:rPr>
              <w:t>July 13</w:t>
            </w:r>
            <w:r w:rsidRPr="6032C990" w:rsidR="00065E2D">
              <w:rPr>
                <w:sz w:val="22"/>
                <w:szCs w:val="22"/>
              </w:rPr>
              <w:t>, 20</w:t>
            </w:r>
            <w:r w:rsidRPr="6032C990" w:rsidR="006D16EF">
              <w:rPr>
                <w:sz w:val="22"/>
                <w:szCs w:val="22"/>
              </w:rPr>
              <w:t>2</w:t>
            </w:r>
            <w:r w:rsidRPr="6032C990" w:rsidR="003D7499">
              <w:rPr>
                <w:sz w:val="22"/>
                <w:szCs w:val="22"/>
              </w:rPr>
              <w:t>1</w:t>
            </w:r>
            <w:r w:rsidRPr="6032C990" w:rsidR="00D861EE">
              <w:rPr>
                <w:sz w:val="22"/>
                <w:szCs w:val="22"/>
              </w:rPr>
              <w:t>—</w:t>
            </w:r>
            <w:r w:rsidRPr="6032C990" w:rsidR="000E049E">
              <w:rPr>
                <w:sz w:val="22"/>
                <w:szCs w:val="22"/>
              </w:rPr>
              <w:t>The Federal Communications Commission today</w:t>
            </w:r>
            <w:r w:rsidRPr="6032C990" w:rsidR="00040127">
              <w:rPr>
                <w:sz w:val="22"/>
                <w:szCs w:val="22"/>
              </w:rPr>
              <w:t xml:space="preserve"> </w:t>
            </w:r>
            <w:r w:rsidRPr="6032C990" w:rsidR="00AA1548">
              <w:rPr>
                <w:sz w:val="22"/>
                <w:szCs w:val="22"/>
              </w:rPr>
              <w:t>proposed and sought comment on updated rules for short</w:t>
            </w:r>
            <w:r w:rsidR="00612DEE">
              <w:rPr>
                <w:sz w:val="22"/>
                <w:szCs w:val="22"/>
              </w:rPr>
              <w:t>-</w:t>
            </w:r>
            <w:r w:rsidRPr="6032C990" w:rsidR="00AA1548">
              <w:rPr>
                <w:sz w:val="22"/>
                <w:szCs w:val="22"/>
              </w:rPr>
              <w:t xml:space="preserve">range radars in the </w:t>
            </w:r>
            <w:r w:rsidRPr="6032C990" w:rsidR="00173996">
              <w:rPr>
                <w:sz w:val="22"/>
                <w:szCs w:val="22"/>
              </w:rPr>
              <w:t>60</w:t>
            </w:r>
            <w:r w:rsidRPr="6032C990" w:rsidR="00AA1548">
              <w:rPr>
                <w:sz w:val="22"/>
                <w:szCs w:val="22"/>
              </w:rPr>
              <w:t xml:space="preserve"> GHz spectrum band.  Cutting edge radar sensing technology </w:t>
            </w:r>
            <w:r w:rsidRPr="6032C990" w:rsidR="00752C58">
              <w:rPr>
                <w:sz w:val="22"/>
                <w:szCs w:val="22"/>
              </w:rPr>
              <w:t>h</w:t>
            </w:r>
            <w:r w:rsidRPr="6032C990" w:rsidR="694845F3">
              <w:rPr>
                <w:sz w:val="22"/>
                <w:szCs w:val="22"/>
              </w:rPr>
              <w:t>a</w:t>
            </w:r>
            <w:r w:rsidRPr="6032C990" w:rsidR="00752C58">
              <w:rPr>
                <w:sz w:val="22"/>
                <w:szCs w:val="22"/>
              </w:rPr>
              <w:t>s been used to</w:t>
            </w:r>
            <w:r w:rsidRPr="6032C990" w:rsidR="00AA1548">
              <w:rPr>
                <w:sz w:val="22"/>
                <w:szCs w:val="22"/>
              </w:rPr>
              <w:t xml:space="preserve"> enabl</w:t>
            </w:r>
            <w:r w:rsidRPr="6032C990" w:rsidR="00752C58">
              <w:rPr>
                <w:sz w:val="22"/>
                <w:szCs w:val="22"/>
              </w:rPr>
              <w:t>e</w:t>
            </w:r>
            <w:r w:rsidRPr="6032C990" w:rsidR="00AA1548">
              <w:rPr>
                <w:sz w:val="22"/>
                <w:szCs w:val="22"/>
              </w:rPr>
              <w:t xml:space="preserve"> </w:t>
            </w:r>
            <w:r w:rsidRPr="6032C990" w:rsidR="00173996">
              <w:rPr>
                <w:sz w:val="22"/>
                <w:szCs w:val="22"/>
              </w:rPr>
              <w:t>in-car radar-based technology to monitor for children left in dangerous, hot cars</w:t>
            </w:r>
            <w:r w:rsidRPr="6032C990" w:rsidR="00752C58">
              <w:rPr>
                <w:sz w:val="22"/>
                <w:szCs w:val="22"/>
              </w:rPr>
              <w:t xml:space="preserve"> and</w:t>
            </w:r>
            <w:r w:rsidRPr="6032C990" w:rsidR="00173996">
              <w:rPr>
                <w:sz w:val="22"/>
                <w:szCs w:val="22"/>
              </w:rPr>
              <w:t xml:space="preserve"> </w:t>
            </w:r>
            <w:r w:rsidRPr="6032C990" w:rsidR="00AA1548">
              <w:rPr>
                <w:sz w:val="22"/>
                <w:szCs w:val="22"/>
              </w:rPr>
              <w:t>touchless control of device</w:t>
            </w:r>
            <w:r w:rsidRPr="6032C990" w:rsidR="00251018">
              <w:rPr>
                <w:sz w:val="22"/>
                <w:szCs w:val="22"/>
              </w:rPr>
              <w:t>s</w:t>
            </w:r>
            <w:r w:rsidR="00955DA7">
              <w:rPr>
                <w:sz w:val="22"/>
                <w:szCs w:val="22"/>
              </w:rPr>
              <w:t>, including to promote accessibility</w:t>
            </w:r>
            <w:r w:rsidRPr="6032C990" w:rsidR="00251018">
              <w:rPr>
                <w:sz w:val="22"/>
                <w:szCs w:val="22"/>
              </w:rPr>
              <w:t xml:space="preserve"> for</w:t>
            </w:r>
            <w:r w:rsidRPr="6032C990" w:rsidR="00AA1548">
              <w:rPr>
                <w:sz w:val="22"/>
                <w:szCs w:val="22"/>
              </w:rPr>
              <w:t xml:space="preserve"> users with mobility or speech impairments</w:t>
            </w:r>
            <w:r w:rsidRPr="6032C990" w:rsidR="001F4409">
              <w:rPr>
                <w:sz w:val="22"/>
                <w:szCs w:val="22"/>
              </w:rPr>
              <w:t xml:space="preserve">.  With their ability to </w:t>
            </w:r>
            <w:r w:rsidRPr="6032C990" w:rsidR="001F4409">
              <w:rPr>
                <w:sz w:val="23"/>
                <w:szCs w:val="23"/>
              </w:rPr>
              <w:t>capture motion in a three-dimensional space and capability to be incorporated into phones and other small devices, 60 GHz short</w:t>
            </w:r>
            <w:r w:rsidR="00612DEE">
              <w:rPr>
                <w:sz w:val="23"/>
                <w:szCs w:val="23"/>
              </w:rPr>
              <w:t>-</w:t>
            </w:r>
            <w:r w:rsidRPr="6032C990" w:rsidR="001F4409">
              <w:rPr>
                <w:sz w:val="23"/>
                <w:szCs w:val="23"/>
              </w:rPr>
              <w:t xml:space="preserve">range radars </w:t>
            </w:r>
            <w:r w:rsidRPr="6032C990" w:rsidR="00E7221F">
              <w:rPr>
                <w:sz w:val="23"/>
                <w:szCs w:val="23"/>
              </w:rPr>
              <w:t>are poised to enable</w:t>
            </w:r>
            <w:r w:rsidRPr="6032C990" w:rsidR="001F4409">
              <w:rPr>
                <w:sz w:val="23"/>
                <w:szCs w:val="23"/>
              </w:rPr>
              <w:t xml:space="preserve"> many new health, personal safety, automation</w:t>
            </w:r>
            <w:r w:rsidR="00A43183">
              <w:rPr>
                <w:sz w:val="23"/>
                <w:szCs w:val="23"/>
              </w:rPr>
              <w:t>,</w:t>
            </w:r>
            <w:r w:rsidRPr="6032C990" w:rsidR="001F4409">
              <w:rPr>
                <w:sz w:val="23"/>
                <w:szCs w:val="23"/>
              </w:rPr>
              <w:t xml:space="preserve"> and environment control applications.</w:t>
            </w:r>
          </w:p>
          <w:p w:rsidR="00E861BA" w:rsidP="002E165B" w14:paraId="5077FBEA" w14:textId="77777777">
            <w:pPr>
              <w:rPr>
                <w:sz w:val="22"/>
                <w:szCs w:val="22"/>
              </w:rPr>
            </w:pPr>
          </w:p>
          <w:p w:rsidR="006F0DD4" w:rsidP="002E165B" w14:paraId="795A6478" w14:textId="55968E9B">
            <w:pPr>
              <w:rPr>
                <w:sz w:val="22"/>
                <w:szCs w:val="22"/>
              </w:rPr>
            </w:pPr>
            <w:r w:rsidRPr="6032C990">
              <w:rPr>
                <w:sz w:val="22"/>
                <w:szCs w:val="22"/>
              </w:rPr>
              <w:t xml:space="preserve">The Notice of Proposed Rulemaking adopted today proposes </w:t>
            </w:r>
            <w:r w:rsidRPr="6032C990" w:rsidR="00AA1548">
              <w:rPr>
                <w:sz w:val="22"/>
                <w:szCs w:val="22"/>
              </w:rPr>
              <w:t>expand</w:t>
            </w:r>
            <w:r w:rsidRPr="6032C990">
              <w:rPr>
                <w:sz w:val="22"/>
                <w:szCs w:val="22"/>
              </w:rPr>
              <w:t>ing</w:t>
            </w:r>
            <w:r w:rsidRPr="6032C990" w:rsidR="00AA1548">
              <w:rPr>
                <w:sz w:val="22"/>
                <w:szCs w:val="22"/>
              </w:rPr>
              <w:t xml:space="preserve"> the permissible uses for short-range radars in the 57</w:t>
            </w:r>
            <w:r w:rsidRPr="6032C990">
              <w:rPr>
                <w:sz w:val="22"/>
                <w:szCs w:val="22"/>
              </w:rPr>
              <w:t xml:space="preserve"> to </w:t>
            </w:r>
            <w:r w:rsidRPr="6032C990" w:rsidR="00AA1548">
              <w:rPr>
                <w:sz w:val="22"/>
                <w:szCs w:val="22"/>
              </w:rPr>
              <w:t xml:space="preserve">64 GHz band </w:t>
            </w:r>
            <w:r w:rsidRPr="6032C990">
              <w:rPr>
                <w:sz w:val="22"/>
                <w:szCs w:val="22"/>
              </w:rPr>
              <w:t>while</w:t>
            </w:r>
            <w:r w:rsidRPr="6032C990" w:rsidR="00AA1548">
              <w:rPr>
                <w:sz w:val="22"/>
                <w:szCs w:val="22"/>
              </w:rPr>
              <w:t xml:space="preserve"> </w:t>
            </w:r>
            <w:r w:rsidRPr="6032C990" w:rsidR="00486F78">
              <w:rPr>
                <w:sz w:val="22"/>
                <w:szCs w:val="22"/>
              </w:rPr>
              <w:t xml:space="preserve">promoting coexistence with other unlicensed users </w:t>
            </w:r>
            <w:r w:rsidRPr="6032C990" w:rsidR="00E7221F">
              <w:rPr>
                <w:sz w:val="22"/>
                <w:szCs w:val="22"/>
              </w:rPr>
              <w:t>and not interfer</w:t>
            </w:r>
            <w:r w:rsidRPr="6032C990" w:rsidR="00486F78">
              <w:rPr>
                <w:sz w:val="22"/>
                <w:szCs w:val="22"/>
              </w:rPr>
              <w:t>ing</w:t>
            </w:r>
            <w:r w:rsidRPr="6032C990" w:rsidR="00E7221F">
              <w:rPr>
                <w:sz w:val="22"/>
                <w:szCs w:val="22"/>
              </w:rPr>
              <w:t xml:space="preserve"> with licensed and authorized users in the band</w:t>
            </w:r>
            <w:r w:rsidRPr="6032C990" w:rsidR="00AA1548">
              <w:rPr>
                <w:sz w:val="22"/>
                <w:szCs w:val="22"/>
              </w:rPr>
              <w:t>.</w:t>
            </w:r>
            <w:r w:rsidRPr="6032C990" w:rsidR="003224CB">
              <w:rPr>
                <w:sz w:val="22"/>
                <w:szCs w:val="22"/>
              </w:rPr>
              <w:t xml:space="preserve">  </w:t>
            </w:r>
            <w:r w:rsidRPr="6032C990">
              <w:rPr>
                <w:sz w:val="22"/>
                <w:szCs w:val="22"/>
              </w:rPr>
              <w:t>This item proposes allowing unlicensed field disturbance sensors like radar devices to operate</w:t>
            </w:r>
            <w:r w:rsidRPr="6032C990" w:rsidR="00486F78">
              <w:rPr>
                <w:sz w:val="22"/>
                <w:szCs w:val="22"/>
              </w:rPr>
              <w:t xml:space="preserve"> in mobile environment</w:t>
            </w:r>
            <w:r w:rsidR="00612DEE">
              <w:rPr>
                <w:sz w:val="22"/>
                <w:szCs w:val="22"/>
              </w:rPr>
              <w:t>s</w:t>
            </w:r>
            <w:r w:rsidRPr="6032C990">
              <w:rPr>
                <w:sz w:val="22"/>
                <w:szCs w:val="22"/>
              </w:rPr>
              <w:t xml:space="preserve"> at a higher power level</w:t>
            </w:r>
            <w:r w:rsidRPr="6032C990" w:rsidR="00486F78">
              <w:rPr>
                <w:sz w:val="22"/>
                <w:szCs w:val="22"/>
              </w:rPr>
              <w:t xml:space="preserve"> than authorized today</w:t>
            </w:r>
            <w:r w:rsidRPr="6032C990">
              <w:rPr>
                <w:sz w:val="22"/>
                <w:szCs w:val="22"/>
              </w:rPr>
              <w:t xml:space="preserve">.  This </w:t>
            </w:r>
            <w:r w:rsidRPr="6032C990" w:rsidR="00251018">
              <w:rPr>
                <w:sz w:val="22"/>
                <w:szCs w:val="22"/>
              </w:rPr>
              <w:t>is modeled after successful</w:t>
            </w:r>
            <w:r w:rsidRPr="6032C990">
              <w:rPr>
                <w:sz w:val="22"/>
                <w:szCs w:val="22"/>
              </w:rPr>
              <w:t xml:space="preserve"> </w:t>
            </w:r>
            <w:r w:rsidRPr="6032C990" w:rsidR="005E31B0">
              <w:rPr>
                <w:sz w:val="22"/>
                <w:szCs w:val="22"/>
              </w:rPr>
              <w:t xml:space="preserve">waivers </w:t>
            </w:r>
            <w:r w:rsidR="00955DA7">
              <w:rPr>
                <w:sz w:val="22"/>
                <w:szCs w:val="22"/>
              </w:rPr>
              <w:t xml:space="preserve">previously </w:t>
            </w:r>
            <w:r w:rsidRPr="6032C990" w:rsidR="005E31B0">
              <w:rPr>
                <w:sz w:val="22"/>
                <w:szCs w:val="22"/>
              </w:rPr>
              <w:t xml:space="preserve">granted by the FCC’s Office of Engineering and Technology for Google’s gesture control device and to a number of parties for </w:t>
            </w:r>
            <w:r w:rsidR="00955DA7">
              <w:rPr>
                <w:sz w:val="22"/>
                <w:szCs w:val="22"/>
              </w:rPr>
              <w:t xml:space="preserve">applications including </w:t>
            </w:r>
            <w:r w:rsidRPr="6032C990" w:rsidR="005E31B0">
              <w:rPr>
                <w:sz w:val="22"/>
                <w:szCs w:val="22"/>
              </w:rPr>
              <w:t>hot car sensors</w:t>
            </w:r>
            <w:r w:rsidRPr="6032C990" w:rsidR="00486F78">
              <w:rPr>
                <w:sz w:val="22"/>
                <w:szCs w:val="22"/>
              </w:rPr>
              <w:t>.  It also seeks comments on the use of sensing technology such as Listen-Before-Talk to allow transmission at the same power level as other unlicensed devices in this band.</w:t>
            </w:r>
            <w:r w:rsidRPr="6032C990" w:rsidR="00E7221F">
              <w:rPr>
                <w:sz w:val="22"/>
                <w:szCs w:val="22"/>
              </w:rPr>
              <w:t xml:space="preserve"> </w:t>
            </w:r>
            <w:r w:rsidR="00472465">
              <w:rPr>
                <w:sz w:val="22"/>
                <w:szCs w:val="22"/>
              </w:rPr>
              <w:t xml:space="preserve"> </w:t>
            </w:r>
          </w:p>
          <w:p w:rsidR="006F0DD4" w:rsidP="002E165B" w14:paraId="2D78627F" w14:textId="30DE7D22">
            <w:pPr>
              <w:rPr>
                <w:sz w:val="22"/>
                <w:szCs w:val="22"/>
              </w:rPr>
            </w:pPr>
          </w:p>
          <w:p w:rsidR="0047250A" w:rsidP="002E165B" w14:paraId="62734516" w14:textId="7BCB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wide range of a</w:t>
            </w:r>
            <w:r w:rsidR="004E0DC0">
              <w:rPr>
                <w:sz w:val="22"/>
                <w:szCs w:val="22"/>
              </w:rPr>
              <w:t xml:space="preserve">pplications </w:t>
            </w:r>
            <w:r>
              <w:rPr>
                <w:sz w:val="22"/>
                <w:szCs w:val="22"/>
              </w:rPr>
              <w:t>could fall under these revised rules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including medical imaging devices </w:t>
            </w:r>
            <w:r w:rsidR="00815327">
              <w:rPr>
                <w:sz w:val="22"/>
                <w:szCs w:val="22"/>
              </w:rPr>
              <w:t>and</w:t>
            </w:r>
            <w:r w:rsidR="006F18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Internet of Things technologies for in-home automation services like environmental control and smart home appliances</w:t>
            </w:r>
            <w:r w:rsidR="00815327">
              <w:rPr>
                <w:sz w:val="22"/>
                <w:szCs w:val="22"/>
              </w:rPr>
              <w:t>.  And the rules could support</w:t>
            </w:r>
            <w:r>
              <w:rPr>
                <w:sz w:val="22"/>
                <w:szCs w:val="22"/>
              </w:rPr>
              <w:t xml:space="preserve"> enterprise solutions like factory automation</w:t>
            </w:r>
            <w:r w:rsidR="00815327">
              <w:rPr>
                <w:sz w:val="22"/>
                <w:szCs w:val="22"/>
              </w:rPr>
              <w:t xml:space="preserve"> and</w:t>
            </w:r>
            <w:r w:rsidR="006F18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further </w:t>
            </w:r>
            <w:r w:rsidR="006F18A6">
              <w:rPr>
                <w:sz w:val="22"/>
                <w:szCs w:val="22"/>
              </w:rPr>
              <w:t>bolster safety and security devices and intelligent transport options.</w:t>
            </w:r>
          </w:p>
          <w:p w:rsidR="0047250A" w:rsidP="002E165B" w14:paraId="38254D9A" w14:textId="77777777">
            <w:pPr>
              <w:rPr>
                <w:sz w:val="22"/>
                <w:szCs w:val="22"/>
              </w:rPr>
            </w:pPr>
          </w:p>
          <w:p w:rsidR="00173996" w:rsidP="002E165B" w14:paraId="2DF4352E" w14:textId="1C835459">
            <w:pPr>
              <w:rPr>
                <w:sz w:val="22"/>
                <w:szCs w:val="22"/>
              </w:rPr>
            </w:pPr>
            <w:r w:rsidRPr="6032C990">
              <w:rPr>
                <w:sz w:val="22"/>
                <w:szCs w:val="22"/>
              </w:rPr>
              <w:t>Under current FCC rules, u</w:t>
            </w:r>
            <w:r w:rsidRPr="6032C990" w:rsidR="003224CB">
              <w:rPr>
                <w:sz w:val="22"/>
                <w:szCs w:val="22"/>
              </w:rPr>
              <w:t xml:space="preserve">nlicensed devices that operate </w:t>
            </w:r>
            <w:r w:rsidRPr="6032C990">
              <w:rPr>
                <w:sz w:val="22"/>
                <w:szCs w:val="22"/>
              </w:rPr>
              <w:t xml:space="preserve">in the 57 to 71 GHz band </w:t>
            </w:r>
            <w:r w:rsidRPr="6032C990" w:rsidR="003224CB">
              <w:rPr>
                <w:sz w:val="22"/>
                <w:szCs w:val="22"/>
              </w:rPr>
              <w:t xml:space="preserve">generally include </w:t>
            </w:r>
            <w:r w:rsidRPr="6032C990" w:rsidR="005E31B0">
              <w:rPr>
                <w:sz w:val="22"/>
                <w:szCs w:val="22"/>
              </w:rPr>
              <w:t>devices such as</w:t>
            </w:r>
            <w:r w:rsidRPr="6032C990" w:rsidR="003224CB">
              <w:rPr>
                <w:sz w:val="22"/>
                <w:szCs w:val="22"/>
              </w:rPr>
              <w:t xml:space="preserve"> wireless local area networking devices</w:t>
            </w:r>
            <w:r w:rsidRPr="6032C990" w:rsidR="005E31B0">
              <w:rPr>
                <w:sz w:val="22"/>
                <w:szCs w:val="22"/>
              </w:rPr>
              <w:t xml:space="preserve">, </w:t>
            </w:r>
            <w:r w:rsidRPr="6032C990" w:rsidR="003224CB">
              <w:rPr>
                <w:sz w:val="22"/>
                <w:szCs w:val="22"/>
              </w:rPr>
              <w:t xml:space="preserve">outdoor fixed point-to-point communication links, </w:t>
            </w:r>
            <w:r w:rsidRPr="6032C990" w:rsidR="005E31B0">
              <w:rPr>
                <w:sz w:val="22"/>
                <w:szCs w:val="22"/>
              </w:rPr>
              <w:t>and</w:t>
            </w:r>
            <w:r w:rsidRPr="6032C990" w:rsidR="003224CB">
              <w:rPr>
                <w:sz w:val="22"/>
                <w:szCs w:val="22"/>
              </w:rPr>
              <w:t xml:space="preserve"> radar devices that are used in fixed applications or </w:t>
            </w:r>
            <w:r w:rsidRPr="6032C990" w:rsidR="005E31B0">
              <w:rPr>
                <w:sz w:val="22"/>
                <w:szCs w:val="22"/>
              </w:rPr>
              <w:t>mobile</w:t>
            </w:r>
            <w:r w:rsidRPr="6032C990" w:rsidR="003224CB">
              <w:rPr>
                <w:sz w:val="22"/>
                <w:szCs w:val="22"/>
              </w:rPr>
              <w:t xml:space="preserve"> short-range interactive motion sensor use</w:t>
            </w:r>
            <w:r w:rsidRPr="6032C990" w:rsidR="005E31B0">
              <w:rPr>
                <w:sz w:val="22"/>
                <w:szCs w:val="22"/>
              </w:rPr>
              <w:t>s</w:t>
            </w:r>
            <w:r w:rsidRPr="6032C990" w:rsidR="003224CB">
              <w:rPr>
                <w:sz w:val="22"/>
                <w:szCs w:val="22"/>
              </w:rPr>
              <w:t>.</w:t>
            </w:r>
            <w:r w:rsidRPr="6032C990" w:rsidR="00C06B4F">
              <w:rPr>
                <w:sz w:val="22"/>
                <w:szCs w:val="22"/>
              </w:rPr>
              <w:t xml:space="preserve">  Today’s action seeks to open the door for additional technological uses in the</w:t>
            </w:r>
            <w:r w:rsidRPr="6032C990" w:rsidR="00D24EFE">
              <w:rPr>
                <w:sz w:val="22"/>
                <w:szCs w:val="22"/>
              </w:rPr>
              <w:t xml:space="preserve"> 57 to 64 GHz</w:t>
            </w:r>
            <w:r w:rsidRPr="6032C990" w:rsidR="00251018">
              <w:rPr>
                <w:sz w:val="22"/>
                <w:szCs w:val="22"/>
              </w:rPr>
              <w:t xml:space="preserve"> portion of that</w:t>
            </w:r>
            <w:r w:rsidRPr="6032C990" w:rsidR="00C06B4F">
              <w:rPr>
                <w:sz w:val="22"/>
                <w:szCs w:val="22"/>
              </w:rPr>
              <w:t xml:space="preserve"> band while </w:t>
            </w:r>
            <w:r w:rsidRPr="6032C990" w:rsidR="00D24EFE">
              <w:rPr>
                <w:sz w:val="22"/>
                <w:szCs w:val="22"/>
              </w:rPr>
              <w:t xml:space="preserve">asking questions about the </w:t>
            </w:r>
            <w:r w:rsidRPr="6032C990" w:rsidR="00251018">
              <w:rPr>
                <w:sz w:val="22"/>
                <w:szCs w:val="22"/>
              </w:rPr>
              <w:t>applicability in the broader</w:t>
            </w:r>
            <w:r w:rsidRPr="6032C990" w:rsidR="00D24EFE">
              <w:rPr>
                <w:sz w:val="22"/>
                <w:szCs w:val="22"/>
              </w:rPr>
              <w:t xml:space="preserve"> 57 to 71 GHz band</w:t>
            </w:r>
            <w:r w:rsidRPr="6032C990" w:rsidR="00251018">
              <w:rPr>
                <w:sz w:val="22"/>
                <w:szCs w:val="22"/>
              </w:rPr>
              <w:t>,</w:t>
            </w:r>
            <w:r w:rsidRPr="6032C990" w:rsidR="00D24EFE">
              <w:rPr>
                <w:sz w:val="22"/>
                <w:szCs w:val="22"/>
              </w:rPr>
              <w:t xml:space="preserve"> and propos</w:t>
            </w:r>
            <w:r w:rsidR="00612DEE">
              <w:rPr>
                <w:sz w:val="22"/>
                <w:szCs w:val="22"/>
              </w:rPr>
              <w:t>ing</w:t>
            </w:r>
            <w:r w:rsidRPr="6032C990" w:rsidR="00D24EFE">
              <w:rPr>
                <w:sz w:val="22"/>
                <w:szCs w:val="22"/>
              </w:rPr>
              <w:t xml:space="preserve"> rules and seeking comment on how best to </w:t>
            </w:r>
            <w:r w:rsidRPr="6032C990" w:rsidR="000B6540">
              <w:rPr>
                <w:sz w:val="22"/>
                <w:szCs w:val="22"/>
              </w:rPr>
              <w:t>ensure coexistence among new and existing users</w:t>
            </w:r>
            <w:r w:rsidRPr="6032C990" w:rsidR="00D24EFE">
              <w:rPr>
                <w:sz w:val="22"/>
                <w:szCs w:val="22"/>
              </w:rPr>
              <w:t xml:space="preserve">. </w:t>
            </w:r>
          </w:p>
          <w:p w:rsidR="00173996" w:rsidP="002E165B" w14:paraId="48584D4D" w14:textId="351D39A2">
            <w:pPr>
              <w:rPr>
                <w:sz w:val="22"/>
                <w:szCs w:val="22"/>
              </w:rPr>
            </w:pPr>
          </w:p>
          <w:p w:rsidR="00696E9A" w:rsidRPr="00696E9A" w:rsidP="00696E9A" w14:paraId="5349F440" w14:textId="2C2DC712">
            <w:pPr>
              <w:rPr>
                <w:sz w:val="22"/>
                <w:szCs w:val="22"/>
              </w:rPr>
            </w:pPr>
            <w:r w:rsidRPr="00696E9A">
              <w:rPr>
                <w:sz w:val="22"/>
                <w:szCs w:val="22"/>
              </w:rPr>
              <w:t xml:space="preserve">Action by the Commission July 13, 2021 by Notice of Proposed Rulemaking (FCC 21-83).  Acting Chairwoman </w:t>
            </w:r>
            <w:r w:rsidRPr="00696E9A">
              <w:rPr>
                <w:sz w:val="22"/>
                <w:szCs w:val="22"/>
              </w:rPr>
              <w:t>Rosenworcel</w:t>
            </w:r>
            <w:r w:rsidRPr="00696E9A">
              <w:rPr>
                <w:sz w:val="22"/>
                <w:szCs w:val="22"/>
              </w:rPr>
              <w:t xml:space="preserve">, Commissioners Carr, Starks, and </w:t>
            </w:r>
            <w:r w:rsidRPr="00696E9A">
              <w:rPr>
                <w:sz w:val="22"/>
                <w:szCs w:val="22"/>
              </w:rPr>
              <w:t>Simington</w:t>
            </w:r>
            <w:r w:rsidRPr="00696E9A">
              <w:rPr>
                <w:sz w:val="22"/>
                <w:szCs w:val="22"/>
              </w:rPr>
              <w:t xml:space="preserve"> approving.  Acting Chairwoman </w:t>
            </w:r>
            <w:r w:rsidRPr="00696E9A">
              <w:rPr>
                <w:sz w:val="22"/>
                <w:szCs w:val="22"/>
              </w:rPr>
              <w:t>Rosenworcel</w:t>
            </w:r>
            <w:r w:rsidRPr="00696E9A">
              <w:rPr>
                <w:sz w:val="22"/>
                <w:szCs w:val="22"/>
              </w:rPr>
              <w:t>, Commissioners Carr</w:t>
            </w:r>
            <w:r>
              <w:rPr>
                <w:sz w:val="22"/>
                <w:szCs w:val="22"/>
              </w:rPr>
              <w:t xml:space="preserve"> and</w:t>
            </w:r>
            <w:r w:rsidRPr="00696E9A">
              <w:rPr>
                <w:sz w:val="22"/>
                <w:szCs w:val="22"/>
              </w:rPr>
              <w:t xml:space="preserve"> Starks</w:t>
            </w:r>
            <w:r>
              <w:rPr>
                <w:sz w:val="22"/>
                <w:szCs w:val="22"/>
              </w:rPr>
              <w:t xml:space="preserve"> </w:t>
            </w:r>
            <w:r w:rsidRPr="00696E9A">
              <w:rPr>
                <w:sz w:val="22"/>
                <w:szCs w:val="22"/>
              </w:rPr>
              <w:t>issuing separate statements.</w:t>
            </w:r>
          </w:p>
          <w:p w:rsidR="00696E9A" w:rsidRPr="00696E9A" w:rsidP="00696E9A" w14:paraId="572C2D84" w14:textId="77777777">
            <w:pPr>
              <w:rPr>
                <w:sz w:val="22"/>
                <w:szCs w:val="22"/>
              </w:rPr>
            </w:pPr>
          </w:p>
          <w:p w:rsidR="00696E9A" w:rsidP="00696E9A" w14:paraId="3D38CBA7" w14:textId="54DAFADE">
            <w:pPr>
              <w:rPr>
                <w:sz w:val="22"/>
                <w:szCs w:val="22"/>
              </w:rPr>
            </w:pPr>
            <w:r w:rsidRPr="00696E9A">
              <w:rPr>
                <w:sz w:val="22"/>
                <w:szCs w:val="22"/>
              </w:rPr>
              <w:t>ET Docket No. 21-264</w:t>
            </w:r>
          </w:p>
          <w:p w:rsidR="00696E9A" w:rsidRPr="002E165B" w:rsidP="002E165B" w14:paraId="086B9480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4750204A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67F380E9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03A5562C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78E77C32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527661F3" w14:textId="77777777">
      <w:pPr>
        <w:rPr>
          <w:b/>
          <w:bCs/>
          <w:sz w:val="2"/>
          <w:szCs w:val="2"/>
        </w:rPr>
      </w:pPr>
    </w:p>
    <w:sectPr w:rsidSect="00696E9A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99"/>
    <w:rsid w:val="0002500C"/>
    <w:rsid w:val="000311FC"/>
    <w:rsid w:val="00040127"/>
    <w:rsid w:val="00065E2D"/>
    <w:rsid w:val="00081232"/>
    <w:rsid w:val="00091E65"/>
    <w:rsid w:val="00096D4A"/>
    <w:rsid w:val="000A38EA"/>
    <w:rsid w:val="000B6540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73996"/>
    <w:rsid w:val="001865A9"/>
    <w:rsid w:val="00187DB2"/>
    <w:rsid w:val="001B1F35"/>
    <w:rsid w:val="001B20BB"/>
    <w:rsid w:val="001C4370"/>
    <w:rsid w:val="001D3779"/>
    <w:rsid w:val="001F0469"/>
    <w:rsid w:val="001F4409"/>
    <w:rsid w:val="00203A98"/>
    <w:rsid w:val="00206EDD"/>
    <w:rsid w:val="0021247E"/>
    <w:rsid w:val="002146F6"/>
    <w:rsid w:val="00231C32"/>
    <w:rsid w:val="00240345"/>
    <w:rsid w:val="002421F0"/>
    <w:rsid w:val="00247274"/>
    <w:rsid w:val="00251018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224CB"/>
    <w:rsid w:val="00333871"/>
    <w:rsid w:val="00347716"/>
    <w:rsid w:val="003506E1"/>
    <w:rsid w:val="003727E3"/>
    <w:rsid w:val="00385A93"/>
    <w:rsid w:val="003910F1"/>
    <w:rsid w:val="003D7499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2465"/>
    <w:rsid w:val="0047250A"/>
    <w:rsid w:val="00473E9C"/>
    <w:rsid w:val="00480099"/>
    <w:rsid w:val="00486F78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0DC0"/>
    <w:rsid w:val="004E2BD8"/>
    <w:rsid w:val="004F0F1F"/>
    <w:rsid w:val="005022AA"/>
    <w:rsid w:val="00504845"/>
    <w:rsid w:val="0050757F"/>
    <w:rsid w:val="0051239F"/>
    <w:rsid w:val="00516AD2"/>
    <w:rsid w:val="00545DAE"/>
    <w:rsid w:val="00570732"/>
    <w:rsid w:val="00571B83"/>
    <w:rsid w:val="00575A00"/>
    <w:rsid w:val="00584B81"/>
    <w:rsid w:val="00586417"/>
    <w:rsid w:val="0058673C"/>
    <w:rsid w:val="00592C68"/>
    <w:rsid w:val="005A7972"/>
    <w:rsid w:val="005B17E7"/>
    <w:rsid w:val="005B2643"/>
    <w:rsid w:val="005D17FD"/>
    <w:rsid w:val="005E31B0"/>
    <w:rsid w:val="005E62A0"/>
    <w:rsid w:val="005F0D55"/>
    <w:rsid w:val="005F183E"/>
    <w:rsid w:val="005F672C"/>
    <w:rsid w:val="00600DDA"/>
    <w:rsid w:val="00603A30"/>
    <w:rsid w:val="00604211"/>
    <w:rsid w:val="00612DEE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96E9A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0DD4"/>
    <w:rsid w:val="006F18A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52C58"/>
    <w:rsid w:val="007619BA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15327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55DA7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E7475"/>
    <w:rsid w:val="009F4E25"/>
    <w:rsid w:val="009F5B1F"/>
    <w:rsid w:val="00A225A9"/>
    <w:rsid w:val="00A3308E"/>
    <w:rsid w:val="00A35DFD"/>
    <w:rsid w:val="00A43183"/>
    <w:rsid w:val="00A702DF"/>
    <w:rsid w:val="00A775A3"/>
    <w:rsid w:val="00A81700"/>
    <w:rsid w:val="00A81B5B"/>
    <w:rsid w:val="00A82FAD"/>
    <w:rsid w:val="00A9673A"/>
    <w:rsid w:val="00A96EF2"/>
    <w:rsid w:val="00AA1548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2113B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06B4F"/>
    <w:rsid w:val="00C1766F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3534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24EFE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E3E34"/>
    <w:rsid w:val="00E349AA"/>
    <w:rsid w:val="00E41390"/>
    <w:rsid w:val="00E41CA0"/>
    <w:rsid w:val="00E4366B"/>
    <w:rsid w:val="00E46D15"/>
    <w:rsid w:val="00E50A4A"/>
    <w:rsid w:val="00E606DE"/>
    <w:rsid w:val="00E644FE"/>
    <w:rsid w:val="00E7221F"/>
    <w:rsid w:val="00E72733"/>
    <w:rsid w:val="00E742FA"/>
    <w:rsid w:val="00E76816"/>
    <w:rsid w:val="00E83DBF"/>
    <w:rsid w:val="00E861BA"/>
    <w:rsid w:val="00E87C13"/>
    <w:rsid w:val="00E94CD9"/>
    <w:rsid w:val="00EA1A76"/>
    <w:rsid w:val="00EA290B"/>
    <w:rsid w:val="00EE0E90"/>
    <w:rsid w:val="00EF3BCA"/>
    <w:rsid w:val="00EF729B"/>
    <w:rsid w:val="00F004D0"/>
    <w:rsid w:val="00F013A1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E4932"/>
    <w:rsid w:val="00FF1C0B"/>
    <w:rsid w:val="00FF232D"/>
    <w:rsid w:val="00FF7F9B"/>
    <w:rsid w:val="060CB837"/>
    <w:rsid w:val="0E443026"/>
    <w:rsid w:val="20587182"/>
    <w:rsid w:val="233A1254"/>
    <w:rsid w:val="26FB097C"/>
    <w:rsid w:val="2D43D943"/>
    <w:rsid w:val="3651BDE3"/>
    <w:rsid w:val="376D2183"/>
    <w:rsid w:val="4308A03E"/>
    <w:rsid w:val="54A36545"/>
    <w:rsid w:val="5CDADD34"/>
    <w:rsid w:val="6032C990"/>
    <w:rsid w:val="658771BD"/>
    <w:rsid w:val="694845F3"/>
    <w:rsid w:val="6DEBE72E"/>
    <w:rsid w:val="6F71848A"/>
    <w:rsid w:val="74797B13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A83A594"/>
  <w15:docId w15:val="{84F75DA2-6EF0-40E1-B042-5DBF1073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E722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22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221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2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2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