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080F9D34"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A0E99A6" w14:textId="77777777">
      <w:pPr>
        <w:pStyle w:val="StyleBoldCentered"/>
      </w:pPr>
      <w:r>
        <w:t>F</w:t>
      </w:r>
      <w:r>
        <w:rPr>
          <w:caps w:val="0"/>
        </w:rPr>
        <w:t>ederal Communications Commission</w:t>
      </w:r>
    </w:p>
    <w:p w:rsidR="004C2EE3" w:rsidP="00096D8C" w14:paraId="7D295343" w14:textId="77777777">
      <w:pPr>
        <w:pStyle w:val="StyleBoldCentered"/>
      </w:pPr>
      <w:r>
        <w:rPr>
          <w:caps w:val="0"/>
        </w:rPr>
        <w:t>Washington, D.C. 20554</w:t>
      </w:r>
    </w:p>
    <w:p w:rsidR="004C2EE3" w:rsidP="0070224F" w14:paraId="356C2900" w14:textId="77777777"/>
    <w:p w:rsidR="004C2EE3" w:rsidP="0070224F" w14:paraId="116DC1FD" w14:textId="77777777"/>
    <w:tbl>
      <w:tblPr>
        <w:tblW w:w="0" w:type="auto"/>
        <w:tblLayout w:type="fixed"/>
        <w:tblLook w:val="0000"/>
      </w:tblPr>
      <w:tblGrid>
        <w:gridCol w:w="4698"/>
        <w:gridCol w:w="630"/>
        <w:gridCol w:w="4248"/>
      </w:tblGrid>
      <w:tr w14:paraId="7C1913E4" w14:textId="77777777">
        <w:tblPrEx>
          <w:tblW w:w="0" w:type="auto"/>
          <w:tblLayout w:type="fixed"/>
          <w:tblLook w:val="0000"/>
        </w:tblPrEx>
        <w:tc>
          <w:tcPr>
            <w:tcW w:w="4698" w:type="dxa"/>
          </w:tcPr>
          <w:p w:rsidR="004C2EE3" w14:paraId="3AB7CA59" w14:textId="77777777">
            <w:pPr>
              <w:tabs>
                <w:tab w:val="center" w:pos="4680"/>
              </w:tabs>
              <w:suppressAutoHyphens/>
              <w:rPr>
                <w:spacing w:val="-2"/>
              </w:rPr>
            </w:pPr>
            <w:r>
              <w:rPr>
                <w:spacing w:val="-2"/>
              </w:rPr>
              <w:t>In the Matter of</w:t>
            </w:r>
          </w:p>
          <w:p w:rsidR="004C2EE3" w14:paraId="37DA7E17" w14:textId="77777777">
            <w:pPr>
              <w:tabs>
                <w:tab w:val="center" w:pos="4680"/>
              </w:tabs>
              <w:suppressAutoHyphens/>
              <w:rPr>
                <w:spacing w:val="-2"/>
              </w:rPr>
            </w:pPr>
          </w:p>
          <w:p w:rsidR="002058BF" w:rsidP="002058BF" w14:paraId="5A4584FC" w14:textId="77777777">
            <w:pPr>
              <w:tabs>
                <w:tab w:val="center" w:pos="4680"/>
              </w:tabs>
              <w:suppressAutoHyphens/>
              <w:rPr>
                <w:spacing w:val="-2"/>
              </w:rPr>
            </w:pPr>
            <w:r>
              <w:rPr>
                <w:spacing w:val="-2"/>
              </w:rPr>
              <w:t>Promoting Technological Solutions to Combat</w:t>
            </w:r>
          </w:p>
          <w:p w:rsidR="002058BF" w:rsidP="002058BF" w14:paraId="380B8D7E" w14:textId="77777777">
            <w:pPr>
              <w:tabs>
                <w:tab w:val="center" w:pos="4680"/>
              </w:tabs>
              <w:suppressAutoHyphens/>
              <w:rPr>
                <w:spacing w:val="-2"/>
              </w:rPr>
            </w:pPr>
            <w:r>
              <w:rPr>
                <w:spacing w:val="-2"/>
              </w:rPr>
              <w:t>Contraband Wireless Device Use in Correctional</w:t>
            </w:r>
          </w:p>
          <w:p w:rsidR="004C2EE3" w:rsidRPr="007115F7" w:rsidP="002058BF" w14:paraId="54241651" w14:textId="2E3FDB5D">
            <w:pPr>
              <w:tabs>
                <w:tab w:val="center" w:pos="4680"/>
              </w:tabs>
              <w:suppressAutoHyphens/>
              <w:rPr>
                <w:spacing w:val="-2"/>
              </w:rPr>
            </w:pPr>
            <w:r>
              <w:rPr>
                <w:spacing w:val="-2"/>
              </w:rPr>
              <w:t>Facilities</w:t>
            </w:r>
          </w:p>
        </w:tc>
        <w:tc>
          <w:tcPr>
            <w:tcW w:w="630" w:type="dxa"/>
          </w:tcPr>
          <w:p w:rsidR="004C2EE3" w14:paraId="0778F2BA" w14:textId="77777777">
            <w:pPr>
              <w:tabs>
                <w:tab w:val="center" w:pos="4680"/>
              </w:tabs>
              <w:suppressAutoHyphens/>
              <w:rPr>
                <w:b/>
                <w:spacing w:val="-2"/>
              </w:rPr>
            </w:pPr>
            <w:r>
              <w:rPr>
                <w:b/>
                <w:spacing w:val="-2"/>
              </w:rPr>
              <w:t>)</w:t>
            </w:r>
          </w:p>
          <w:p w:rsidR="004C2EE3" w14:paraId="4604801E" w14:textId="77777777">
            <w:pPr>
              <w:tabs>
                <w:tab w:val="center" w:pos="4680"/>
              </w:tabs>
              <w:suppressAutoHyphens/>
              <w:rPr>
                <w:b/>
                <w:spacing w:val="-2"/>
              </w:rPr>
            </w:pPr>
            <w:r>
              <w:rPr>
                <w:b/>
                <w:spacing w:val="-2"/>
              </w:rPr>
              <w:t>)</w:t>
            </w:r>
          </w:p>
          <w:p w:rsidR="004C2EE3" w14:paraId="35B3E1BB" w14:textId="77777777">
            <w:pPr>
              <w:tabs>
                <w:tab w:val="center" w:pos="4680"/>
              </w:tabs>
              <w:suppressAutoHyphens/>
              <w:rPr>
                <w:b/>
                <w:spacing w:val="-2"/>
              </w:rPr>
            </w:pPr>
            <w:r>
              <w:rPr>
                <w:b/>
                <w:spacing w:val="-2"/>
              </w:rPr>
              <w:t>)</w:t>
            </w:r>
          </w:p>
          <w:p w:rsidR="004C2EE3" w14:paraId="50E78CD0" w14:textId="77777777">
            <w:pPr>
              <w:tabs>
                <w:tab w:val="center" w:pos="4680"/>
              </w:tabs>
              <w:suppressAutoHyphens/>
              <w:rPr>
                <w:b/>
                <w:spacing w:val="-2"/>
              </w:rPr>
            </w:pPr>
            <w:r>
              <w:rPr>
                <w:b/>
                <w:spacing w:val="-2"/>
              </w:rPr>
              <w:t>)</w:t>
            </w:r>
          </w:p>
          <w:p w:rsidR="004C2EE3" w14:paraId="5E11E525" w14:textId="77777777">
            <w:pPr>
              <w:tabs>
                <w:tab w:val="center" w:pos="4680"/>
              </w:tabs>
              <w:suppressAutoHyphens/>
              <w:rPr>
                <w:b/>
                <w:spacing w:val="-2"/>
              </w:rPr>
            </w:pPr>
            <w:r>
              <w:rPr>
                <w:b/>
                <w:spacing w:val="-2"/>
              </w:rPr>
              <w:t>)</w:t>
            </w:r>
          </w:p>
          <w:p w:rsidR="004C2EE3" w14:paraId="656BC4D3" w14:textId="4389C672">
            <w:pPr>
              <w:tabs>
                <w:tab w:val="center" w:pos="4680"/>
              </w:tabs>
              <w:suppressAutoHyphens/>
              <w:rPr>
                <w:b/>
                <w:spacing w:val="-2"/>
              </w:rPr>
            </w:pPr>
            <w:r>
              <w:rPr>
                <w:b/>
                <w:spacing w:val="-2"/>
              </w:rPr>
              <w:t>)</w:t>
            </w:r>
          </w:p>
          <w:p w:rsidR="004C2EE3" w14:paraId="726AB51B" w14:textId="77777777">
            <w:pPr>
              <w:tabs>
                <w:tab w:val="center" w:pos="4680"/>
              </w:tabs>
              <w:suppressAutoHyphens/>
              <w:rPr>
                <w:spacing w:val="-2"/>
              </w:rPr>
            </w:pPr>
            <w:r>
              <w:rPr>
                <w:b/>
                <w:spacing w:val="-2"/>
              </w:rPr>
              <w:t>)</w:t>
            </w:r>
          </w:p>
        </w:tc>
        <w:tc>
          <w:tcPr>
            <w:tcW w:w="4248" w:type="dxa"/>
          </w:tcPr>
          <w:p w:rsidR="004C2EE3" w14:paraId="02B2C094" w14:textId="77777777">
            <w:pPr>
              <w:tabs>
                <w:tab w:val="center" w:pos="4680"/>
              </w:tabs>
              <w:suppressAutoHyphens/>
              <w:rPr>
                <w:spacing w:val="-2"/>
              </w:rPr>
            </w:pPr>
          </w:p>
          <w:p w:rsidR="004C2EE3" w14:paraId="1E92934F" w14:textId="77777777">
            <w:pPr>
              <w:pStyle w:val="TOAHeading"/>
              <w:tabs>
                <w:tab w:val="center" w:pos="4680"/>
                <w:tab w:val="clear" w:pos="9360"/>
              </w:tabs>
              <w:rPr>
                <w:spacing w:val="-2"/>
              </w:rPr>
            </w:pPr>
          </w:p>
          <w:p w:rsidR="004C2EE3" w14:paraId="7829F140" w14:textId="5211879A">
            <w:pPr>
              <w:tabs>
                <w:tab w:val="center" w:pos="4680"/>
              </w:tabs>
              <w:suppressAutoHyphens/>
              <w:rPr>
                <w:spacing w:val="-2"/>
              </w:rPr>
            </w:pPr>
            <w:bookmarkStart w:id="0" w:name="_Hlk77000824"/>
            <w:r>
              <w:rPr>
                <w:spacing w:val="-2"/>
              </w:rPr>
              <w:t>GN Docket No. 13-111</w:t>
            </w:r>
            <w:bookmarkEnd w:id="0"/>
          </w:p>
        </w:tc>
      </w:tr>
    </w:tbl>
    <w:p w:rsidR="004C2EE3" w:rsidP="0070224F" w14:paraId="691D048B" w14:textId="77777777"/>
    <w:p w:rsidR="00841AB1" w:rsidP="00F021FA" w14:paraId="194425EF" w14:textId="34FA8AB1">
      <w:pPr>
        <w:pStyle w:val="StyleBoldCentered"/>
      </w:pPr>
      <w:r>
        <w:t>ERRATUM</w:t>
      </w:r>
    </w:p>
    <w:p w:rsidR="004C2EE3" w14:paraId="667008B4" w14:textId="77777777">
      <w:pPr>
        <w:tabs>
          <w:tab w:val="left" w:pos="-720"/>
        </w:tabs>
        <w:suppressAutoHyphens/>
        <w:spacing w:line="227" w:lineRule="auto"/>
        <w:rPr>
          <w:spacing w:val="-2"/>
        </w:rPr>
      </w:pPr>
    </w:p>
    <w:p w:rsidR="004C2EE3" w:rsidP="00133F79" w14:paraId="730ADB25" w14:textId="498714CA">
      <w:pPr>
        <w:tabs>
          <w:tab w:val="left" w:pos="720"/>
          <w:tab w:val="right" w:pos="9360"/>
        </w:tabs>
        <w:suppressAutoHyphens/>
        <w:spacing w:line="227" w:lineRule="auto"/>
        <w:rPr>
          <w:spacing w:val="-2"/>
        </w:rPr>
      </w:pPr>
      <w:r>
        <w:rPr>
          <w:b/>
          <w:spacing w:val="-2"/>
        </w:rPr>
        <w:tab/>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537BE">
        <w:rPr>
          <w:b/>
          <w:spacing w:val="-2"/>
        </w:rPr>
        <w:t>August 3, 2021</w:t>
      </w:r>
    </w:p>
    <w:p w:rsidR="00822CE0" w14:paraId="02862104" w14:textId="77777777"/>
    <w:p w:rsidR="002058BF" w:rsidP="00B9372C" w14:paraId="71CA0E86" w14:textId="1EC56A74">
      <w:pPr>
        <w:pStyle w:val="ParaNum"/>
        <w:numPr>
          <w:ilvl w:val="0"/>
          <w:numId w:val="0"/>
        </w:numPr>
        <w:spacing w:after="0"/>
        <w:rPr>
          <w:spacing w:val="-2"/>
        </w:rPr>
      </w:pPr>
      <w:r>
        <w:t xml:space="preserve">By </w:t>
      </w:r>
      <w:r w:rsidR="004E4A22">
        <w:t>the</w:t>
      </w:r>
      <w:r>
        <w:t xml:space="preserve"> Managing Director and the Acting Chief, Wireless Telecommunications Bureau</w:t>
      </w:r>
      <w:r>
        <w:rPr>
          <w:spacing w:val="-2"/>
        </w:rPr>
        <w:t>:</w:t>
      </w:r>
    </w:p>
    <w:p w:rsidR="008D3F26" w:rsidRPr="00F520BD" w:rsidP="008D3F26" w14:paraId="1691AEEC" w14:textId="77777777"/>
    <w:p w:rsidR="002058BF" w:rsidP="002058BF" w14:paraId="43D85F3E" w14:textId="5A0403EA">
      <w:pPr>
        <w:pStyle w:val="ParaNum"/>
        <w:numPr>
          <w:ilvl w:val="0"/>
          <w:numId w:val="0"/>
        </w:numPr>
        <w:ind w:firstLine="720"/>
      </w:pPr>
      <w:r>
        <w:t>On July 13, 2021, the Commission released a Second Report and Order and Second Further Notice of Proposed Rulemaking (</w:t>
      </w:r>
      <w:r w:rsidRPr="00B9372C" w:rsidR="005537BE">
        <w:rPr>
          <w:i/>
          <w:iCs/>
        </w:rPr>
        <w:t>Second R&amp;O and Second FNPRM</w:t>
      </w:r>
      <w:r>
        <w:t>), FCC 21-82, in the above-captioned proceeding.  To conform to the publishing conventions of the National Archives and Records Administration’s Office of the Federal Register, to simplify the process of making the rule changes effective following review by the Office of Management and Budget pursuant to the Paperwork Reduction Act of 1995, and to correct other minor errors, this Erratum amends</w:t>
      </w:r>
      <w:r w:rsidR="005537BE">
        <w:t xml:space="preserve"> the </w:t>
      </w:r>
      <w:r w:rsidRPr="006B2833" w:rsidR="005537BE">
        <w:rPr>
          <w:i/>
          <w:iCs/>
        </w:rPr>
        <w:t>Second R&amp;O and Second FNPRM</w:t>
      </w:r>
      <w:r>
        <w:t xml:space="preserve"> </w:t>
      </w:r>
      <w:r w:rsidR="000A7083">
        <w:t xml:space="preserve">and </w:t>
      </w:r>
      <w:r w:rsidRPr="00B9372C" w:rsidR="000A7083">
        <w:rPr>
          <w:b/>
          <w:bCs/>
        </w:rPr>
        <w:t>Appendix A</w:t>
      </w:r>
      <w:r w:rsidR="000A7083">
        <w:t xml:space="preserve"> </w:t>
      </w:r>
      <w:r>
        <w:t xml:space="preserve">as </w:t>
      </w:r>
      <w:r w:rsidR="005537BE">
        <w:t>indicated be</w:t>
      </w:r>
      <w:r>
        <w:t>low:</w:t>
      </w:r>
    </w:p>
    <w:p w:rsidR="002058BF" w:rsidP="005537BE" w14:paraId="723953D5" w14:textId="1A3472A9">
      <w:pPr>
        <w:pStyle w:val="ParaNum"/>
      </w:pPr>
      <w:r>
        <w:t>In paragraph 95</w:t>
      </w:r>
      <w:r w:rsidR="005B1833">
        <w:t xml:space="preserve"> of the </w:t>
      </w:r>
      <w:r w:rsidRPr="00AD3031" w:rsidR="005B1833">
        <w:rPr>
          <w:i/>
          <w:iCs/>
        </w:rPr>
        <w:t>Second R&amp;O and Second FNPRM</w:t>
      </w:r>
      <w:r w:rsidR="005537BE">
        <w:t>, in the beginning of the second sentence,</w:t>
      </w:r>
      <w:r>
        <w:t xml:space="preserve"> </w:t>
      </w:r>
      <w:bookmarkStart w:id="1" w:name="_Hlk78285370"/>
      <w:r w:rsidR="005537BE">
        <w:t>replace</w:t>
      </w:r>
      <w:r w:rsidRPr="00311516">
        <w:t xml:space="preserve"> </w:t>
      </w:r>
      <w:r w:rsidR="005537BE">
        <w:t>“</w:t>
      </w:r>
      <w:r w:rsidRPr="00311516">
        <w:t>Sections 20.23(b)(1), (3)-(5), (7); (c)(1)-(2), (3)(ii)-(iv); and (d) of the Commission’s rules</w:t>
      </w:r>
      <w:r w:rsidR="005537BE">
        <w:t>”</w:t>
      </w:r>
      <w:r w:rsidRPr="00311516">
        <w:t xml:space="preserve"> </w:t>
      </w:r>
      <w:bookmarkEnd w:id="1"/>
      <w:r>
        <w:t xml:space="preserve">with </w:t>
      </w:r>
      <w:r w:rsidR="005537BE">
        <w:t>“</w:t>
      </w:r>
      <w:r>
        <w:t>The revisions to s</w:t>
      </w:r>
      <w:r w:rsidRPr="00311516">
        <w:t>ection 20.23</w:t>
      </w:r>
      <w:r>
        <w:t>(b)-(d)</w:t>
      </w:r>
      <w:r w:rsidRPr="00311516">
        <w:t xml:space="preserve"> of the Commission’s rules.</w:t>
      </w:r>
      <w:r w:rsidR="005537BE">
        <w:t>”</w:t>
      </w:r>
    </w:p>
    <w:p w:rsidR="001B4602" w:rsidP="001B4602" w14:paraId="79B25CCB" w14:textId="5DBAB36C">
      <w:pPr>
        <w:pStyle w:val="ParaNum"/>
      </w:pPr>
      <w:r>
        <w:t xml:space="preserve">Above paragraph 1 in </w:t>
      </w:r>
      <w:r w:rsidRPr="00B9372C">
        <w:rPr>
          <w:b/>
          <w:bCs/>
        </w:rPr>
        <w:t>Appendix A</w:t>
      </w:r>
      <w:r>
        <w:t>, the part heading is corrected to read as follows:</w:t>
      </w:r>
    </w:p>
    <w:p w:rsidR="001B4602" w:rsidRPr="00222A93" w:rsidP="00B9372C" w14:paraId="376E0FB4" w14:textId="77777777">
      <w:pPr>
        <w:pStyle w:val="ParaNum"/>
        <w:numPr>
          <w:ilvl w:val="0"/>
          <w:numId w:val="0"/>
        </w:numPr>
        <w:ind w:left="720"/>
      </w:pPr>
      <w:r>
        <w:t>“</w:t>
      </w:r>
      <w:r w:rsidRPr="00B9372C">
        <w:rPr>
          <w:b/>
          <w:bCs/>
        </w:rPr>
        <w:t>PART 20 – COMMERCIAL MOBILE SERVICES</w:t>
      </w:r>
      <w:r>
        <w:t>”</w:t>
      </w:r>
    </w:p>
    <w:p w:rsidR="005537BE" w:rsidRPr="007E6156" w:rsidP="00B9372C" w14:paraId="4E7DCD90" w14:textId="14574D7A">
      <w:pPr>
        <w:pStyle w:val="ParaNum"/>
      </w:pPr>
      <w:r>
        <w:t>The corrections to</w:t>
      </w:r>
      <w:r w:rsidR="000A7083">
        <w:t xml:space="preserve"> </w:t>
      </w:r>
      <w:r w:rsidR="001B4602">
        <w:t xml:space="preserve">Section 20.23 in </w:t>
      </w:r>
      <w:r w:rsidR="000A7083">
        <w:t xml:space="preserve">the </w:t>
      </w:r>
      <w:r w:rsidRPr="001B4602" w:rsidR="000A7083">
        <w:t>Final Rules</w:t>
      </w:r>
      <w:r w:rsidR="000A7083">
        <w:t xml:space="preserve"> </w:t>
      </w:r>
      <w:r w:rsidR="001B4602">
        <w:t>of</w:t>
      </w:r>
      <w:r w:rsidR="000A7083">
        <w:t xml:space="preserve"> </w:t>
      </w:r>
      <w:r w:rsidRPr="00B9372C" w:rsidR="000A7083">
        <w:rPr>
          <w:b/>
          <w:bCs/>
        </w:rPr>
        <w:t>Appendix A</w:t>
      </w:r>
      <w:r w:rsidR="000A7083">
        <w:t xml:space="preserve"> are as foll</w:t>
      </w:r>
      <w:r>
        <w:t>ows</w:t>
      </w:r>
      <w:r w:rsidR="007E6156">
        <w:t>:</w:t>
      </w:r>
    </w:p>
    <w:p w:rsidR="002058BF" w:rsidP="00B9372C" w14:paraId="42B16173" w14:textId="64B9863C">
      <w:pPr>
        <w:pStyle w:val="ParaNum"/>
        <w:numPr>
          <w:ilvl w:val="0"/>
          <w:numId w:val="36"/>
        </w:numPr>
        <w:tabs>
          <w:tab w:val="left" w:pos="1080"/>
        </w:tabs>
        <w:ind w:left="1080"/>
      </w:pPr>
      <w:r>
        <w:t>P</w:t>
      </w:r>
      <w:r w:rsidRPr="00B9372C" w:rsidR="007E6156">
        <w:t xml:space="preserve">aragraph </w:t>
      </w:r>
      <w:r w:rsidRPr="00B9372C">
        <w:t xml:space="preserve">(b) </w:t>
      </w:r>
      <w:r w:rsidRPr="00B9372C">
        <w:t>is corrected to read as</w:t>
      </w:r>
      <w:r>
        <w:t xml:space="preserve"> follow</w:t>
      </w:r>
      <w:r>
        <w:t>s</w:t>
      </w:r>
      <w:r>
        <w:t>:</w:t>
      </w:r>
    </w:p>
    <w:p w:rsidR="002058BF" w:rsidP="00B9372C" w14:paraId="129DDC37" w14:textId="7678560C">
      <w:pPr>
        <w:pStyle w:val="ParaNum"/>
        <w:numPr>
          <w:ilvl w:val="0"/>
          <w:numId w:val="0"/>
        </w:numPr>
        <w:ind w:left="1080" w:hanging="90"/>
      </w:pPr>
      <w:r>
        <w:t>“</w:t>
      </w:r>
      <w:r>
        <w:t xml:space="preserve">(b) </w:t>
      </w:r>
      <w:r w:rsidRPr="004968E2">
        <w:rPr>
          <w:i/>
          <w:iCs/>
        </w:rPr>
        <w:t>Contraband Interdiction System (CIS) authorization process.</w:t>
      </w:r>
      <w:r>
        <w:t xml:space="preserve">  The provisions in this section apply to any person seeking certification of a CIS authorized for use in the submission of qualifying disabling requests, whether operating a system that requires a license and is regulated as CMRS or private mobile radio service (PMRS) or operating a passive system that does not require a license.  The Wireless Telecommunications Bureau (Bureau) will establish, via public notice, the form and procedure for: CIS operators to file CIS certification applications, self-certifications, and periodic re-certification; CIS operators to serve on wireless providers notice of testing and copies of self-certification; and wireless providers to file objections to self-certifications, including required service on CIS operators and DCFOs.</w:t>
      </w:r>
      <w:r>
        <w:t>”</w:t>
      </w:r>
    </w:p>
    <w:p w:rsidR="0043087E" w:rsidP="00B9372C" w14:paraId="330D83F7" w14:textId="712BD7CC">
      <w:pPr>
        <w:pStyle w:val="ParaNum"/>
        <w:numPr>
          <w:ilvl w:val="0"/>
          <w:numId w:val="36"/>
        </w:numPr>
        <w:ind w:left="1080"/>
      </w:pPr>
      <w:r>
        <w:t xml:space="preserve">In </w:t>
      </w:r>
      <w:r w:rsidRPr="00B9372C" w:rsidR="00FB0218">
        <w:t xml:space="preserve">paragraph </w:t>
      </w:r>
      <w:r w:rsidRPr="00B9372C">
        <w:t>(b)(1)(i)</w:t>
      </w:r>
      <w:r w:rsidR="00FB0218">
        <w:t>,</w:t>
      </w:r>
      <w:r>
        <w:t xml:space="preserve"> replace </w:t>
      </w:r>
      <w:bookmarkStart w:id="2" w:name="_Hlk78377897"/>
      <w:r w:rsidR="00FB0218">
        <w:t>“</w:t>
      </w:r>
      <w:r>
        <w:t>Commission rules;</w:t>
      </w:r>
      <w:r w:rsidR="00FB0218">
        <w:t xml:space="preserve">” </w:t>
      </w:r>
      <w:bookmarkEnd w:id="2"/>
      <w:r>
        <w:t xml:space="preserve">with </w:t>
      </w:r>
      <w:r w:rsidR="00FB0218">
        <w:t>“</w:t>
      </w:r>
      <w:r>
        <w:t>Commission rules in part 2 of this chapter;</w:t>
      </w:r>
      <w:r w:rsidR="00FB0218">
        <w:t>”.</w:t>
      </w:r>
    </w:p>
    <w:p w:rsidR="00103E5C" w:rsidP="00B9372C" w14:paraId="5FD49FBF" w14:textId="626D60DB">
      <w:pPr>
        <w:pStyle w:val="ParaNum"/>
        <w:numPr>
          <w:ilvl w:val="0"/>
          <w:numId w:val="36"/>
        </w:numPr>
        <w:tabs>
          <w:tab w:val="num" w:pos="1080"/>
        </w:tabs>
        <w:ind w:left="1080"/>
      </w:pPr>
      <w:r>
        <w:t>P</w:t>
      </w:r>
      <w:r w:rsidRPr="00B9372C" w:rsidR="008458CC">
        <w:rPr>
          <w:bCs/>
        </w:rPr>
        <w:t xml:space="preserve">aragraph </w:t>
      </w:r>
      <w:r w:rsidRPr="00B9372C" w:rsidR="002058BF">
        <w:rPr>
          <w:bCs/>
        </w:rPr>
        <w:t>(b)(2)</w:t>
      </w:r>
      <w:r w:rsidR="002058BF">
        <w:t xml:space="preserve"> </w:t>
      </w:r>
      <w:r w:rsidR="008458CC">
        <w:t xml:space="preserve">is corrected to read as </w:t>
      </w:r>
      <w:r>
        <w:t>follows:</w:t>
      </w:r>
    </w:p>
    <w:p w:rsidR="002058BF" w:rsidP="00B9372C" w14:paraId="6988EFCE" w14:textId="40F537E9">
      <w:pPr>
        <w:pStyle w:val="ParaNum"/>
        <w:numPr>
          <w:ilvl w:val="0"/>
          <w:numId w:val="0"/>
        </w:numPr>
        <w:tabs>
          <w:tab w:val="left" w:pos="1440"/>
        </w:tabs>
        <w:ind w:left="1080"/>
      </w:pPr>
      <w:r>
        <w:t>“</w:t>
      </w:r>
      <w:r w:rsidRPr="00350994">
        <w:t xml:space="preserve">(2) </w:t>
      </w:r>
      <w:r w:rsidRPr="00350994">
        <w:rPr>
          <w:i/>
          <w:iCs/>
        </w:rPr>
        <w:t>Marketing and sales</w:t>
      </w:r>
      <w:r>
        <w:t xml:space="preserve">. </w:t>
      </w:r>
      <w:r w:rsidRPr="00350994">
        <w:t>CIS that are certified for use in qualifying requests</w:t>
      </w:r>
      <w:r>
        <w:t>…”</w:t>
      </w:r>
      <w:r w:rsidRPr="00350994">
        <w:t xml:space="preserve"> for disabling of contraband devices may be marketed or sold only to </w:t>
      </w:r>
      <w:r w:rsidRPr="00350994">
        <w:t>correctional facilities</w:t>
      </w:r>
      <w:r w:rsidRPr="00350994">
        <w:t xml:space="preserve"> or entities that will provide contraband interdiction services to such facilities.</w:t>
      </w:r>
    </w:p>
    <w:p w:rsidR="00103E5C" w:rsidP="00B32248" w14:paraId="56813B88" w14:textId="41B5E290">
      <w:pPr>
        <w:pStyle w:val="ParaNum"/>
        <w:numPr>
          <w:ilvl w:val="0"/>
          <w:numId w:val="36"/>
        </w:numPr>
        <w:ind w:left="1080"/>
      </w:pPr>
      <w:r>
        <w:t xml:space="preserve">In </w:t>
      </w:r>
      <w:r w:rsidR="00FC4338">
        <w:rPr>
          <w:bCs/>
        </w:rPr>
        <w:t xml:space="preserve">paragraph </w:t>
      </w:r>
      <w:r w:rsidRPr="00B9372C">
        <w:rPr>
          <w:bCs/>
        </w:rPr>
        <w:t>(b)(3)(i)</w:t>
      </w:r>
      <w:r w:rsidR="00FC4338">
        <w:rPr>
          <w:bCs/>
        </w:rPr>
        <w:t>,</w:t>
      </w:r>
      <w:r>
        <w:t xml:space="preserve"> </w:t>
      </w:r>
      <w:r w:rsidR="00FC4338">
        <w:t>the last sentence is corrected to read as “</w:t>
      </w:r>
      <w:r w:rsidRPr="006D457D" w:rsidR="00FC4338">
        <w:t>Relevant wireless providers include any wireless provider holding a spectrum license that:</w:t>
      </w:r>
      <w:r w:rsidR="00EA6DB2">
        <w:t>”</w:t>
      </w:r>
    </w:p>
    <w:p w:rsidR="002058BF" w:rsidRPr="00350994" w:rsidP="00B9372C" w14:paraId="420F26D1" w14:textId="46F07C7A">
      <w:pPr>
        <w:pStyle w:val="ParaNum"/>
        <w:numPr>
          <w:ilvl w:val="0"/>
          <w:numId w:val="36"/>
        </w:numPr>
        <w:ind w:left="1080"/>
      </w:pPr>
      <w:r>
        <w:t>Below</w:t>
      </w:r>
      <w:r w:rsidR="00FC4338">
        <w:t xml:space="preserve"> paragraph </w:t>
      </w:r>
      <w:r w:rsidR="00EA6DB2">
        <w:t>(b)(3)(</w:t>
      </w:r>
      <w:r w:rsidR="00EA6DB2">
        <w:t>i</w:t>
      </w:r>
      <w:r w:rsidR="00EA6DB2">
        <w:t>)</w:t>
      </w:r>
      <w:r>
        <w:t xml:space="preserve">, </w:t>
      </w:r>
      <w:r w:rsidR="00B20D96">
        <w:t>correct</w:t>
      </w:r>
      <w:r>
        <w:t xml:space="preserve"> paragraphs </w:t>
      </w:r>
      <w:r w:rsidR="00FC4338">
        <w:t>(A) and (B) to read as</w:t>
      </w:r>
      <w:r>
        <w:t xml:space="preserve"> follow</w:t>
      </w:r>
      <w:r w:rsidR="00FC4338">
        <w:t>s:</w:t>
      </w:r>
    </w:p>
    <w:p w:rsidR="002058BF" w:rsidP="00B9372C" w14:paraId="70517D37" w14:textId="48A9E1CD">
      <w:pPr>
        <w:pStyle w:val="ParaNum"/>
        <w:numPr>
          <w:ilvl w:val="0"/>
          <w:numId w:val="0"/>
        </w:numPr>
        <w:ind w:left="1080" w:hanging="90"/>
      </w:pPr>
      <w:r>
        <w:t>“</w:t>
      </w:r>
      <w:r w:rsidRPr="006D457D">
        <w:t>(</w:t>
      </w:r>
      <w:r>
        <w:t>A</w:t>
      </w:r>
      <w:r w:rsidRPr="006D457D">
        <w:t xml:space="preserve">) </w:t>
      </w:r>
      <w:r>
        <w:t>A</w:t>
      </w:r>
      <w:r w:rsidRPr="006D457D">
        <w:t>uthorizes operation on the frequencies on which the CIS seeks to detect contraband use; and</w:t>
      </w:r>
    </w:p>
    <w:p w:rsidR="002058BF" w:rsidRPr="006D457D" w:rsidP="00B9372C" w14:paraId="013D9401" w14:textId="16935C91">
      <w:pPr>
        <w:pStyle w:val="ParaNum"/>
        <w:numPr>
          <w:ilvl w:val="0"/>
          <w:numId w:val="0"/>
        </w:numPr>
        <w:ind w:left="1080"/>
      </w:pPr>
      <w:r w:rsidRPr="006D457D">
        <w:t>(</w:t>
      </w:r>
      <w:r>
        <w:t>B</w:t>
      </w:r>
      <w:r w:rsidRPr="006D457D">
        <w:t xml:space="preserve">) </w:t>
      </w:r>
      <w:r>
        <w:t>A</w:t>
      </w:r>
      <w:r w:rsidRPr="006D457D">
        <w:t xml:space="preserve">uthorizes service in the geographic area (e.g., census tract, county, </w:t>
      </w:r>
      <w:r>
        <w:t>Partial Economic Area (</w:t>
      </w:r>
      <w:r w:rsidRPr="006D457D">
        <w:t>PEA</w:t>
      </w:r>
      <w:r>
        <w:t>)</w:t>
      </w:r>
      <w:r w:rsidRPr="006D457D">
        <w:t>,</w:t>
      </w:r>
      <w:r>
        <w:t xml:space="preserve"> Economic Area</w:t>
      </w:r>
      <w:r w:rsidRPr="006D457D">
        <w:t xml:space="preserve"> </w:t>
      </w:r>
      <w:r>
        <w:t>(</w:t>
      </w:r>
      <w:r w:rsidRPr="006D457D">
        <w:t>EA</w:t>
      </w:r>
      <w:r>
        <w:t>)</w:t>
      </w:r>
      <w:r w:rsidRPr="006D457D">
        <w:t xml:space="preserve">, </w:t>
      </w:r>
      <w:r>
        <w:t>Cellular Market Area (</w:t>
      </w:r>
      <w:r w:rsidRPr="006D457D">
        <w:t>CMA</w:t>
      </w:r>
      <w:r>
        <w:t>)</w:t>
      </w:r>
      <w:r w:rsidRPr="006D457D">
        <w:t>,</w:t>
      </w:r>
      <w:r>
        <w:t xml:space="preserve"> Regional Economic Area Grouping</w:t>
      </w:r>
      <w:r w:rsidRPr="006D457D">
        <w:t xml:space="preserve"> </w:t>
      </w:r>
      <w:r>
        <w:t>(</w:t>
      </w:r>
      <w:r w:rsidRPr="006D457D">
        <w:t>REAG)</w:t>
      </w:r>
      <w:r>
        <w:t>)</w:t>
      </w:r>
      <w:r w:rsidRPr="006D457D">
        <w:t xml:space="preserve"> within which the </w:t>
      </w:r>
      <w:r w:rsidRPr="006D457D">
        <w:t>correctional facility</w:t>
      </w:r>
      <w:r w:rsidRPr="006D457D">
        <w:t xml:space="preserve"> is located.</w:t>
      </w:r>
      <w:r w:rsidR="00EA6DB2">
        <w:t>”</w:t>
      </w:r>
    </w:p>
    <w:p w:rsidR="002058BF" w:rsidP="00B9372C" w14:paraId="34547FA4" w14:textId="1C92D5A5">
      <w:pPr>
        <w:pStyle w:val="ParaNum"/>
        <w:numPr>
          <w:ilvl w:val="0"/>
          <w:numId w:val="36"/>
        </w:numPr>
        <w:ind w:left="1080"/>
      </w:pPr>
      <w:r>
        <w:t>P</w:t>
      </w:r>
      <w:r w:rsidRPr="00B9372C" w:rsidR="00C1556D">
        <w:rPr>
          <w:bCs/>
        </w:rPr>
        <w:t xml:space="preserve">aragraphs </w:t>
      </w:r>
      <w:r w:rsidRPr="00B9372C">
        <w:rPr>
          <w:bCs/>
        </w:rPr>
        <w:t>(c)(4)(iii) and (iv)</w:t>
      </w:r>
      <w:r>
        <w:t xml:space="preserve"> </w:t>
      </w:r>
      <w:r w:rsidR="00C1556D">
        <w:t>are corrected to read as</w:t>
      </w:r>
      <w:r>
        <w:t xml:space="preserve"> follow</w:t>
      </w:r>
      <w:r w:rsidR="00C1556D">
        <w:t>s:</w:t>
      </w:r>
    </w:p>
    <w:p w:rsidR="002058BF" w:rsidRPr="009275AC" w:rsidP="00B9372C" w14:paraId="19D5C4C0" w14:textId="0656C5E5">
      <w:pPr>
        <w:pStyle w:val="ParaNum"/>
        <w:numPr>
          <w:ilvl w:val="0"/>
          <w:numId w:val="0"/>
        </w:numPr>
        <w:ind w:left="1080" w:hanging="90"/>
      </w:pPr>
      <w:r>
        <w:t>“</w:t>
      </w:r>
      <w:r w:rsidRPr="009275AC">
        <w:t xml:space="preserve">(iii) </w:t>
      </w:r>
      <w:r w:rsidRPr="009275AC">
        <w:rPr>
          <w:i/>
          <w:iCs/>
        </w:rPr>
        <w:t>Restoration of service</w:t>
      </w:r>
      <w:r>
        <w:t xml:space="preserve">. </w:t>
      </w:r>
      <w:r w:rsidRPr="009275AC">
        <w:t xml:space="preserve">In the event the DCFO directs the wireless provider to reverse the disabling, the wireless provider must, within two business days, </w:t>
      </w:r>
      <w:r w:rsidRPr="009275AC">
        <w:rPr>
          <w:color w:val="000000"/>
        </w:rPr>
        <w:t>restore service to the device and reverse any actions taken to prevent the device from accessing other wireless provider networks</w:t>
      </w:r>
      <w:r w:rsidRPr="009275AC">
        <w:t>.</w:t>
      </w:r>
    </w:p>
    <w:p w:rsidR="002058BF" w:rsidRPr="009275AC" w:rsidP="00B9372C" w14:paraId="38E9AA87" w14:textId="1F03E3F8">
      <w:pPr>
        <w:pStyle w:val="ParaNum"/>
        <w:keepNext/>
        <w:widowControl/>
        <w:numPr>
          <w:ilvl w:val="0"/>
          <w:numId w:val="0"/>
        </w:numPr>
        <w:ind w:left="1080"/>
      </w:pPr>
      <w:r w:rsidRPr="009275AC">
        <w:t xml:space="preserve">(iv) </w:t>
      </w:r>
      <w:r w:rsidRPr="00406B5A">
        <w:rPr>
          <w:i/>
          <w:iCs/>
          <w:szCs w:val="22"/>
        </w:rPr>
        <w:t>Wireless provider action in absence of timely DCFO response</w:t>
      </w:r>
      <w:r w:rsidRPr="00406B5A">
        <w:rPr>
          <w:szCs w:val="22"/>
        </w:rPr>
        <w:t>.</w:t>
      </w:r>
      <w:r w:rsidRPr="009275AC">
        <w:t xml:space="preserve"> In the event the DCFO does not respond to a request from a wireless provider for review of a qualifying request within two business days, the wireless provider may proceed with reversing the disabling action.</w:t>
      </w:r>
      <w:r w:rsidR="00C1556D">
        <w:t>”</w:t>
      </w:r>
    </w:p>
    <w:p w:rsidR="002058BF" w:rsidP="00B9372C" w14:paraId="68907D59" w14:textId="77777777">
      <w:pPr>
        <w:keepNext/>
        <w:widowControl/>
      </w:pPr>
    </w:p>
    <w:p w:rsidR="00713967" w:rsidP="00B9372C" w14:paraId="2A58007E" w14:textId="77777777">
      <w:pPr>
        <w:keepNext/>
        <w:widowControl/>
      </w:pPr>
      <w:r>
        <w:tab/>
      </w:r>
      <w:r>
        <w:tab/>
      </w:r>
      <w:r>
        <w:tab/>
      </w:r>
      <w:r>
        <w:tab/>
      </w:r>
      <w:r>
        <w:tab/>
      </w:r>
      <w:r>
        <w:tab/>
        <w:t>FEDERAL COMMUNICATIONS COMMISSION</w:t>
      </w:r>
    </w:p>
    <w:p w:rsidR="00713967" w:rsidP="00B9372C" w14:paraId="0D17AC7B" w14:textId="77777777">
      <w:pPr>
        <w:keepNext/>
        <w:widowControl/>
      </w:pPr>
    </w:p>
    <w:p w:rsidR="00713967" w:rsidP="00B9372C" w14:paraId="6040A1D4" w14:textId="77777777">
      <w:pPr>
        <w:keepNext/>
        <w:widowControl/>
      </w:pPr>
    </w:p>
    <w:p w:rsidR="00713967" w:rsidP="00B9372C" w14:paraId="2A8D363B" w14:textId="77777777">
      <w:pPr>
        <w:keepNext/>
        <w:widowControl/>
      </w:pPr>
    </w:p>
    <w:p w:rsidR="00713967" w:rsidP="00B9372C" w14:paraId="066644B6" w14:textId="77777777">
      <w:pPr>
        <w:keepNext/>
        <w:widowControl/>
      </w:pPr>
    </w:p>
    <w:p w:rsidR="00713967" w:rsidP="00B9372C" w14:paraId="1C66B457" w14:textId="309383E6">
      <w:pPr>
        <w:keepNext/>
        <w:widowControl/>
      </w:pPr>
      <w:r>
        <w:tab/>
      </w:r>
      <w:r>
        <w:tab/>
      </w:r>
      <w:r>
        <w:tab/>
      </w:r>
      <w:r>
        <w:tab/>
      </w:r>
      <w:r>
        <w:tab/>
      </w:r>
      <w:r>
        <w:tab/>
        <w:t>Mark Stephens</w:t>
      </w:r>
    </w:p>
    <w:p w:rsidR="00713967" w:rsidP="00B9372C" w14:paraId="2B212641" w14:textId="71200C78">
      <w:pPr>
        <w:keepNext/>
        <w:widowControl/>
      </w:pPr>
      <w:r>
        <w:tab/>
      </w:r>
      <w:r>
        <w:tab/>
      </w:r>
      <w:r>
        <w:tab/>
      </w:r>
      <w:r>
        <w:tab/>
      </w:r>
      <w:r>
        <w:tab/>
      </w:r>
      <w:r>
        <w:tab/>
        <w:t xml:space="preserve">Managing Director </w:t>
      </w:r>
    </w:p>
    <w:p w:rsidR="00713967" w:rsidP="00B9372C" w14:paraId="7A0AE903" w14:textId="13C2E5B0">
      <w:pPr>
        <w:keepNext/>
        <w:widowControl/>
      </w:pPr>
      <w:r>
        <w:tab/>
      </w:r>
      <w:r>
        <w:tab/>
      </w:r>
      <w:r>
        <w:tab/>
      </w:r>
      <w:r>
        <w:tab/>
      </w:r>
      <w:r>
        <w:tab/>
      </w:r>
      <w:r>
        <w:tab/>
      </w:r>
    </w:p>
    <w:p w:rsidR="00713967" w:rsidP="00B9372C" w14:paraId="5A6059F0" w14:textId="77777777">
      <w:pPr>
        <w:keepNext/>
        <w:widowControl/>
      </w:pPr>
      <w:r>
        <w:tab/>
      </w:r>
      <w:r>
        <w:tab/>
      </w:r>
      <w:r>
        <w:tab/>
      </w:r>
      <w:r>
        <w:tab/>
      </w:r>
      <w:r>
        <w:tab/>
      </w:r>
      <w:r>
        <w:tab/>
        <w:t>and</w:t>
      </w:r>
    </w:p>
    <w:p w:rsidR="00713967" w:rsidP="00B9372C" w14:paraId="012C45BE" w14:textId="07EB0782">
      <w:pPr>
        <w:keepNext/>
        <w:widowControl/>
      </w:pPr>
    </w:p>
    <w:p w:rsidR="00654C71" w:rsidP="00B9372C" w14:paraId="67D3654F" w14:textId="38A97983">
      <w:pPr>
        <w:keepNext/>
        <w:widowControl/>
      </w:pPr>
    </w:p>
    <w:p w:rsidR="0067099D" w:rsidP="00B9372C" w14:paraId="374EA6E1" w14:textId="77777777">
      <w:pPr>
        <w:keepNext/>
        <w:widowControl/>
      </w:pPr>
    </w:p>
    <w:p w:rsidR="00713967" w:rsidP="00B9372C" w14:paraId="1945F6BD" w14:textId="25BADE0D">
      <w:pPr>
        <w:keepNext/>
        <w:widowControl/>
      </w:pPr>
      <w:r>
        <w:tab/>
      </w:r>
      <w:r>
        <w:tab/>
      </w:r>
      <w:r>
        <w:tab/>
      </w:r>
      <w:r>
        <w:tab/>
      </w:r>
      <w:r>
        <w:tab/>
      </w:r>
      <w:r>
        <w:tab/>
        <w:t>Joel Taubenblatt</w:t>
      </w:r>
    </w:p>
    <w:p w:rsidR="00713967" w:rsidP="0017296B" w14:paraId="0CE5659A" w14:textId="5E22160F">
      <w:r>
        <w:tab/>
      </w:r>
      <w:r>
        <w:tab/>
      </w:r>
      <w:r>
        <w:tab/>
      </w:r>
      <w:r>
        <w:tab/>
      </w:r>
      <w:r>
        <w:tab/>
      </w:r>
      <w:r>
        <w:tab/>
        <w:t>Acting Chief</w:t>
      </w:r>
      <w:r w:rsidR="00654C71">
        <w:t>, Wireless Telecommunications Bureau</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E9546C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FC9A9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9372C" w14:paraId="0B9D6159" w14:textId="4AFAE0E8">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1556D" w14:paraId="06B09E9B" w14:textId="77777777">
    <w:pPr>
      <w:pStyle w:val="Footer"/>
      <w:tabs>
        <w:tab w:val="clear" w:pos="4320"/>
        <w:tab w:val="center" w:pos="4680"/>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1FA7F05" w14:textId="5520DB41">
    <w:pPr>
      <w:pStyle w:val="Header"/>
      <w:rPr>
        <w:b w:val="0"/>
      </w:rPr>
    </w:pPr>
    <w:r>
      <w:tab/>
      <w:t>Federal Communications Commission</w:t>
    </w:r>
    <w:r>
      <w:tab/>
    </w:r>
  </w:p>
  <w:p w:rsidR="00D25FB5" w14:paraId="31E7C59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3935B7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169EAC0" w14:textId="6416AE1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5615D48"/>
    <w:multiLevelType w:val="hybridMultilevel"/>
    <w:tmpl w:val="96FE3D7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32813F3"/>
    <w:multiLevelType w:val="hybridMultilevel"/>
    <w:tmpl w:val="305457C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BE74DDE0"/>
    <w:lvl w:ilvl="0">
      <w:start w:val="1"/>
      <w:numFmt w:val="decimal"/>
      <w:pStyle w:val="ParaNum"/>
      <w:lvlText w:val="%1."/>
      <w:lvlJc w:val="left"/>
      <w:pPr>
        <w:tabs>
          <w:tab w:val="num" w:pos="720"/>
        </w:tabs>
        <w:ind w:left="0" w:firstLine="360"/>
      </w:pPr>
      <w:rPr>
        <w:rFonts w:hint="default"/>
      </w:r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F"/>
    <w:rsid w:val="00036039"/>
    <w:rsid w:val="00037F90"/>
    <w:rsid w:val="00072BD5"/>
    <w:rsid w:val="000875BF"/>
    <w:rsid w:val="00096D8C"/>
    <w:rsid w:val="000A7083"/>
    <w:rsid w:val="000C0B65"/>
    <w:rsid w:val="000E05FE"/>
    <w:rsid w:val="000E3D42"/>
    <w:rsid w:val="00103E5C"/>
    <w:rsid w:val="00122BD5"/>
    <w:rsid w:val="00133F79"/>
    <w:rsid w:val="0017296B"/>
    <w:rsid w:val="00194A66"/>
    <w:rsid w:val="001B4602"/>
    <w:rsid w:val="001D6BCF"/>
    <w:rsid w:val="001E01CA"/>
    <w:rsid w:val="001E3C17"/>
    <w:rsid w:val="002058BF"/>
    <w:rsid w:val="00222A93"/>
    <w:rsid w:val="00275CF5"/>
    <w:rsid w:val="0028301F"/>
    <w:rsid w:val="00285017"/>
    <w:rsid w:val="002A2D2E"/>
    <w:rsid w:val="002C00E8"/>
    <w:rsid w:val="00311516"/>
    <w:rsid w:val="00343749"/>
    <w:rsid w:val="00350994"/>
    <w:rsid w:val="003660ED"/>
    <w:rsid w:val="003B0550"/>
    <w:rsid w:val="003B694F"/>
    <w:rsid w:val="003F171C"/>
    <w:rsid w:val="00406B5A"/>
    <w:rsid w:val="00412FC5"/>
    <w:rsid w:val="00422276"/>
    <w:rsid w:val="004242F1"/>
    <w:rsid w:val="0043087E"/>
    <w:rsid w:val="00445A00"/>
    <w:rsid w:val="00451B0F"/>
    <w:rsid w:val="00452AB8"/>
    <w:rsid w:val="004968E2"/>
    <w:rsid w:val="004C2EE3"/>
    <w:rsid w:val="004E4A22"/>
    <w:rsid w:val="00511968"/>
    <w:rsid w:val="005537BE"/>
    <w:rsid w:val="0055614C"/>
    <w:rsid w:val="00566D06"/>
    <w:rsid w:val="005B1833"/>
    <w:rsid w:val="005E14C2"/>
    <w:rsid w:val="00607BA5"/>
    <w:rsid w:val="0061180A"/>
    <w:rsid w:val="00626EB6"/>
    <w:rsid w:val="00654C71"/>
    <w:rsid w:val="00655D03"/>
    <w:rsid w:val="0067099D"/>
    <w:rsid w:val="00683388"/>
    <w:rsid w:val="00683F84"/>
    <w:rsid w:val="006A6A81"/>
    <w:rsid w:val="006B2833"/>
    <w:rsid w:val="006D457D"/>
    <w:rsid w:val="006F7393"/>
    <w:rsid w:val="0070224F"/>
    <w:rsid w:val="007115F7"/>
    <w:rsid w:val="00713967"/>
    <w:rsid w:val="00785689"/>
    <w:rsid w:val="0079754B"/>
    <w:rsid w:val="007A1E6D"/>
    <w:rsid w:val="007B0EB2"/>
    <w:rsid w:val="007E6156"/>
    <w:rsid w:val="00810B6F"/>
    <w:rsid w:val="00822CE0"/>
    <w:rsid w:val="008274AB"/>
    <w:rsid w:val="00841AB1"/>
    <w:rsid w:val="008458CC"/>
    <w:rsid w:val="008666D0"/>
    <w:rsid w:val="008835AB"/>
    <w:rsid w:val="008A05AE"/>
    <w:rsid w:val="008C68F1"/>
    <w:rsid w:val="008D3F26"/>
    <w:rsid w:val="008F35B1"/>
    <w:rsid w:val="00921803"/>
    <w:rsid w:val="00926503"/>
    <w:rsid w:val="009275AC"/>
    <w:rsid w:val="00930F17"/>
    <w:rsid w:val="009726D8"/>
    <w:rsid w:val="00992A51"/>
    <w:rsid w:val="009C3555"/>
    <w:rsid w:val="009D7308"/>
    <w:rsid w:val="009F76DB"/>
    <w:rsid w:val="00A32C3B"/>
    <w:rsid w:val="00A45F4F"/>
    <w:rsid w:val="00A52EE3"/>
    <w:rsid w:val="00A600A9"/>
    <w:rsid w:val="00A91FF3"/>
    <w:rsid w:val="00AA55B7"/>
    <w:rsid w:val="00AA5B9E"/>
    <w:rsid w:val="00AB2407"/>
    <w:rsid w:val="00AB53DF"/>
    <w:rsid w:val="00AD3031"/>
    <w:rsid w:val="00AE1BFA"/>
    <w:rsid w:val="00B07E5C"/>
    <w:rsid w:val="00B20D96"/>
    <w:rsid w:val="00B32248"/>
    <w:rsid w:val="00B811F7"/>
    <w:rsid w:val="00B83080"/>
    <w:rsid w:val="00B9372C"/>
    <w:rsid w:val="00BA5DC6"/>
    <w:rsid w:val="00BA6196"/>
    <w:rsid w:val="00BC6D8C"/>
    <w:rsid w:val="00BE7805"/>
    <w:rsid w:val="00C1556D"/>
    <w:rsid w:val="00C34006"/>
    <w:rsid w:val="00C36B4C"/>
    <w:rsid w:val="00C426B1"/>
    <w:rsid w:val="00C66160"/>
    <w:rsid w:val="00C721AC"/>
    <w:rsid w:val="00C90D6A"/>
    <w:rsid w:val="00CA247E"/>
    <w:rsid w:val="00CA6D21"/>
    <w:rsid w:val="00CC72B6"/>
    <w:rsid w:val="00CF643B"/>
    <w:rsid w:val="00D0218D"/>
    <w:rsid w:val="00D25FB5"/>
    <w:rsid w:val="00D44223"/>
    <w:rsid w:val="00DA2529"/>
    <w:rsid w:val="00DB130A"/>
    <w:rsid w:val="00DB2EBB"/>
    <w:rsid w:val="00DC10A1"/>
    <w:rsid w:val="00DC655F"/>
    <w:rsid w:val="00DD0B59"/>
    <w:rsid w:val="00DD7EBD"/>
    <w:rsid w:val="00DF22E6"/>
    <w:rsid w:val="00DF62B6"/>
    <w:rsid w:val="00E07225"/>
    <w:rsid w:val="00E5409F"/>
    <w:rsid w:val="00EA6DB2"/>
    <w:rsid w:val="00EE6488"/>
    <w:rsid w:val="00F021FA"/>
    <w:rsid w:val="00F520BD"/>
    <w:rsid w:val="00F62E97"/>
    <w:rsid w:val="00F64209"/>
    <w:rsid w:val="00F93BF5"/>
    <w:rsid w:val="00FB0218"/>
    <w:rsid w:val="00FC43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FA2479"/>
  <w15:chartTrackingRefBased/>
  <w15:docId w15:val="{83130B10-4F6D-4FC4-9181-18A2B3A3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1">
    <w:name w:val="ParaNum Char1"/>
    <w:link w:val="ParaNum"/>
    <w:locked/>
    <w:rsid w:val="002058BF"/>
    <w:rPr>
      <w:snapToGrid w:val="0"/>
      <w:kern w:val="28"/>
      <w:sz w:val="22"/>
    </w:rPr>
  </w:style>
  <w:style w:type="paragraph" w:customStyle="1" w:styleId="ParaNumChar">
    <w:name w:val="ParaNum Char"/>
    <w:basedOn w:val="Normal"/>
    <w:rsid w:val="002058BF"/>
    <w:pPr>
      <w:tabs>
        <w:tab w:val="num" w:pos="1080"/>
      </w:tabs>
      <w:spacing w:after="220"/>
      <w:ind w:firstLine="720"/>
    </w:pPr>
  </w:style>
  <w:style w:type="character" w:styleId="CommentReference">
    <w:name w:val="annotation reference"/>
    <w:rsid w:val="008666D0"/>
    <w:rPr>
      <w:sz w:val="16"/>
      <w:szCs w:val="16"/>
    </w:rPr>
  </w:style>
  <w:style w:type="paragraph" w:styleId="CommentText">
    <w:name w:val="annotation text"/>
    <w:basedOn w:val="Normal"/>
    <w:link w:val="CommentTextChar"/>
    <w:rsid w:val="008666D0"/>
    <w:rPr>
      <w:sz w:val="20"/>
    </w:rPr>
  </w:style>
  <w:style w:type="character" w:customStyle="1" w:styleId="CommentTextChar">
    <w:name w:val="Comment Text Char"/>
    <w:link w:val="CommentText"/>
    <w:rsid w:val="008666D0"/>
    <w:rPr>
      <w:snapToGrid w:val="0"/>
      <w:kern w:val="28"/>
    </w:rPr>
  </w:style>
  <w:style w:type="paragraph" w:styleId="CommentSubject">
    <w:name w:val="annotation subject"/>
    <w:basedOn w:val="CommentText"/>
    <w:next w:val="CommentText"/>
    <w:link w:val="CommentSubjectChar"/>
    <w:rsid w:val="008666D0"/>
    <w:rPr>
      <w:b/>
      <w:bCs/>
    </w:rPr>
  </w:style>
  <w:style w:type="character" w:customStyle="1" w:styleId="CommentSubjectChar">
    <w:name w:val="Comment Subject Char"/>
    <w:link w:val="CommentSubject"/>
    <w:rsid w:val="008666D0"/>
    <w:rPr>
      <w:b/>
      <w:bCs/>
      <w:snapToGrid w:val="0"/>
      <w:kern w:val="28"/>
    </w:rPr>
  </w:style>
  <w:style w:type="paragraph" w:styleId="BalloonText">
    <w:name w:val="Balloon Text"/>
    <w:basedOn w:val="Normal"/>
    <w:link w:val="BalloonTextChar"/>
    <w:rsid w:val="008666D0"/>
    <w:rPr>
      <w:rFonts w:ascii="Segoe UI" w:hAnsi="Segoe UI" w:cs="Segoe UI"/>
      <w:sz w:val="18"/>
      <w:szCs w:val="18"/>
    </w:rPr>
  </w:style>
  <w:style w:type="character" w:customStyle="1" w:styleId="BalloonTextChar">
    <w:name w:val="Balloon Text Char"/>
    <w:link w:val="BalloonText"/>
    <w:rsid w:val="008666D0"/>
    <w:rPr>
      <w:rFonts w:ascii="Segoe UI" w:hAnsi="Segoe UI" w:cs="Segoe UI"/>
      <w:snapToGrid w:val="0"/>
      <w:kern w:val="28"/>
      <w:sz w:val="18"/>
      <w:szCs w:val="18"/>
    </w:rPr>
  </w:style>
  <w:style w:type="paragraph" w:styleId="Revision">
    <w:name w:val="Revision"/>
    <w:hidden/>
    <w:uiPriority w:val="99"/>
    <w:semiHidden/>
    <w:rsid w:val="00452AB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