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602610" w14:paraId="73B02934" w14:textId="77777777">
      <w:pPr>
        <w:jc w:val="center"/>
        <w:rPr>
          <w:b/>
          <w:szCs w:val="22"/>
        </w:rPr>
      </w:pPr>
      <w:r w:rsidRPr="00602610">
        <w:rPr>
          <w:b/>
          <w:kern w:val="0"/>
          <w:szCs w:val="22"/>
        </w:rPr>
        <w:t>Before</w:t>
      </w:r>
      <w:r w:rsidRPr="00602610">
        <w:rPr>
          <w:b/>
          <w:szCs w:val="22"/>
        </w:rPr>
        <w:t xml:space="preserve"> the</w:t>
      </w:r>
    </w:p>
    <w:p w:rsidR="00921803" w:rsidRPr="00602610" w:rsidP="00921803" w14:paraId="48299AD1" w14:textId="77777777">
      <w:pPr>
        <w:pStyle w:val="StyleBoldCentered"/>
        <w:rPr>
          <w:rFonts w:ascii="Times New Roman" w:hAnsi="Times New Roman"/>
        </w:rPr>
      </w:pPr>
      <w:r w:rsidRPr="00602610">
        <w:rPr>
          <w:rFonts w:ascii="Times New Roman" w:hAnsi="Times New Roman"/>
        </w:rPr>
        <w:t>F</w:t>
      </w:r>
      <w:r w:rsidRPr="00602610">
        <w:rPr>
          <w:rFonts w:ascii="Times New Roman" w:hAnsi="Times New Roman"/>
          <w:caps w:val="0"/>
        </w:rPr>
        <w:t>ederal Communications Commission</w:t>
      </w:r>
    </w:p>
    <w:p w:rsidR="004C2EE3" w:rsidRPr="00602610" w:rsidP="00096D8C" w14:paraId="7F25161E" w14:textId="77777777">
      <w:pPr>
        <w:pStyle w:val="StyleBoldCentered"/>
        <w:rPr>
          <w:rFonts w:ascii="Times New Roman" w:hAnsi="Times New Roman"/>
        </w:rPr>
      </w:pPr>
      <w:r w:rsidRPr="00602610">
        <w:rPr>
          <w:rFonts w:ascii="Times New Roman" w:hAnsi="Times New Roman"/>
          <w:caps w:val="0"/>
        </w:rPr>
        <w:t>Washington, D.C. 20554</w:t>
      </w:r>
    </w:p>
    <w:p w:rsidR="00F306CF" w:rsidRPr="00602610" w:rsidP="00F306CF" w14:paraId="4CCE8711" w14:textId="77777777">
      <w:pPr>
        <w:rPr>
          <w:szCs w:val="22"/>
        </w:rPr>
      </w:pPr>
    </w:p>
    <w:p w:rsidR="00F306CF" w:rsidRPr="00602610" w:rsidP="00F306CF" w14:paraId="2A206EEB" w14:textId="77777777">
      <w:pPr>
        <w:rPr>
          <w:szCs w:val="22"/>
        </w:rPr>
      </w:pPr>
    </w:p>
    <w:tbl>
      <w:tblPr>
        <w:tblW w:w="9748" w:type="dxa"/>
        <w:tblLayout w:type="fixed"/>
        <w:tblLook w:val="0000"/>
      </w:tblPr>
      <w:tblGrid>
        <w:gridCol w:w="4747"/>
        <w:gridCol w:w="727"/>
        <w:gridCol w:w="4274"/>
      </w:tblGrid>
      <w:tr w14:paraId="6012BC72" w14:textId="77777777" w:rsidTr="000A22CC">
        <w:tblPrEx>
          <w:tblW w:w="9748" w:type="dxa"/>
          <w:tblLayout w:type="fixed"/>
          <w:tblLook w:val="0000"/>
        </w:tblPrEx>
        <w:trPr>
          <w:trHeight w:val="1655"/>
        </w:trPr>
        <w:tc>
          <w:tcPr>
            <w:tcW w:w="4747" w:type="dxa"/>
          </w:tcPr>
          <w:p w:rsidR="00F306CF" w:rsidRPr="00602610" w:rsidP="00B75B66" w14:paraId="394BFBBF" w14:textId="77777777">
            <w:pPr>
              <w:ind w:right="-18"/>
              <w:rPr>
                <w:szCs w:val="22"/>
              </w:rPr>
            </w:pPr>
            <w:r w:rsidRPr="00602610">
              <w:rPr>
                <w:szCs w:val="22"/>
              </w:rPr>
              <w:t>In the Matter of</w:t>
            </w:r>
          </w:p>
          <w:p w:rsidR="00F306CF" w:rsidRPr="00602610" w:rsidP="00B75B66" w14:paraId="3305A814" w14:textId="77777777">
            <w:pPr>
              <w:ind w:right="-18"/>
              <w:rPr>
                <w:szCs w:val="22"/>
              </w:rPr>
            </w:pPr>
          </w:p>
          <w:p w:rsidR="00D6589F" w:rsidP="005C7405" w14:paraId="3255B35B" w14:textId="77777777">
            <w:pPr>
              <w:tabs>
                <w:tab w:val="center" w:pos="4680"/>
              </w:tabs>
              <w:suppressAutoHyphens/>
              <w:rPr>
                <w:szCs w:val="22"/>
              </w:rPr>
            </w:pPr>
            <w:r>
              <w:rPr>
                <w:szCs w:val="22"/>
              </w:rPr>
              <w:t>911 Fee Diversion</w:t>
            </w:r>
          </w:p>
          <w:p w:rsidR="00D6589F" w:rsidP="005C7405" w14:paraId="38779DDF" w14:textId="77777777">
            <w:pPr>
              <w:tabs>
                <w:tab w:val="center" w:pos="4680"/>
              </w:tabs>
              <w:suppressAutoHyphens/>
              <w:rPr>
                <w:szCs w:val="22"/>
              </w:rPr>
            </w:pPr>
          </w:p>
          <w:p w:rsidR="00F306CF" w:rsidRPr="00602610" w:rsidP="005C7405" w14:paraId="7B0DCAFF" w14:textId="3A2E15D3">
            <w:pPr>
              <w:tabs>
                <w:tab w:val="center" w:pos="4680"/>
              </w:tabs>
              <w:suppressAutoHyphens/>
              <w:rPr>
                <w:szCs w:val="22"/>
              </w:rPr>
            </w:pPr>
            <w:r>
              <w:rPr>
                <w:szCs w:val="22"/>
              </w:rPr>
              <w:t>New and Emerging Technologies 911 Improvement Act of 2008</w:t>
            </w:r>
          </w:p>
        </w:tc>
        <w:tc>
          <w:tcPr>
            <w:tcW w:w="727" w:type="dxa"/>
          </w:tcPr>
          <w:p w:rsidR="00F306CF" w:rsidRPr="00602610" w:rsidP="00B75B66" w14:paraId="5B31A0A1" w14:textId="77777777">
            <w:pPr>
              <w:rPr>
                <w:b/>
                <w:szCs w:val="22"/>
              </w:rPr>
            </w:pPr>
            <w:r w:rsidRPr="00602610">
              <w:rPr>
                <w:b/>
                <w:szCs w:val="22"/>
              </w:rPr>
              <w:t>)</w:t>
            </w:r>
          </w:p>
          <w:p w:rsidR="00F306CF" w:rsidRPr="00602610" w:rsidP="00B75B66" w14:paraId="19EC3468" w14:textId="77777777">
            <w:pPr>
              <w:rPr>
                <w:b/>
                <w:szCs w:val="22"/>
              </w:rPr>
            </w:pPr>
            <w:r w:rsidRPr="00602610">
              <w:rPr>
                <w:b/>
                <w:szCs w:val="22"/>
              </w:rPr>
              <w:t>)</w:t>
            </w:r>
          </w:p>
          <w:p w:rsidR="00F306CF" w:rsidRPr="00602610" w:rsidP="00B75B66" w14:paraId="15A32D2F" w14:textId="77777777">
            <w:pPr>
              <w:rPr>
                <w:b/>
                <w:szCs w:val="22"/>
              </w:rPr>
            </w:pPr>
            <w:r w:rsidRPr="00602610">
              <w:rPr>
                <w:b/>
                <w:szCs w:val="22"/>
              </w:rPr>
              <w:t>)</w:t>
            </w:r>
          </w:p>
          <w:p w:rsidR="00F306CF" w:rsidP="00B75B66" w14:paraId="71767793" w14:textId="77777777">
            <w:pPr>
              <w:rPr>
                <w:b/>
                <w:szCs w:val="22"/>
              </w:rPr>
            </w:pPr>
            <w:r w:rsidRPr="00602610">
              <w:rPr>
                <w:b/>
                <w:szCs w:val="22"/>
              </w:rPr>
              <w:t>)</w:t>
            </w:r>
          </w:p>
          <w:p w:rsidR="00D6589F" w:rsidP="00B75B66" w14:paraId="45706264" w14:textId="77777777">
            <w:pPr>
              <w:rPr>
                <w:b/>
                <w:szCs w:val="22"/>
              </w:rPr>
            </w:pPr>
            <w:r>
              <w:rPr>
                <w:b/>
                <w:szCs w:val="22"/>
              </w:rPr>
              <w:t>)</w:t>
            </w:r>
          </w:p>
          <w:p w:rsidR="00D6589F" w:rsidP="00B75B66" w14:paraId="0EDAF286" w14:textId="77777777">
            <w:pPr>
              <w:rPr>
                <w:b/>
                <w:szCs w:val="22"/>
              </w:rPr>
            </w:pPr>
            <w:r>
              <w:rPr>
                <w:b/>
                <w:szCs w:val="22"/>
              </w:rPr>
              <w:t>)</w:t>
            </w:r>
          </w:p>
          <w:p w:rsidR="00D6589F" w:rsidRPr="00602610" w:rsidP="00B75B66" w14:paraId="30092EC7" w14:textId="3453D339">
            <w:pPr>
              <w:rPr>
                <w:b/>
                <w:szCs w:val="22"/>
              </w:rPr>
            </w:pPr>
          </w:p>
        </w:tc>
        <w:tc>
          <w:tcPr>
            <w:tcW w:w="4274" w:type="dxa"/>
          </w:tcPr>
          <w:p w:rsidR="00F306CF" w:rsidRPr="00602610" w:rsidP="00B75B66" w14:paraId="6B5465CD" w14:textId="77777777">
            <w:pPr>
              <w:rPr>
                <w:szCs w:val="22"/>
              </w:rPr>
            </w:pPr>
          </w:p>
          <w:p w:rsidR="00F306CF" w:rsidRPr="00602610" w:rsidP="00B75B66" w14:paraId="1FD25DB0" w14:textId="77777777">
            <w:pPr>
              <w:rPr>
                <w:szCs w:val="22"/>
              </w:rPr>
            </w:pPr>
          </w:p>
          <w:p w:rsidR="00F306CF" w:rsidRPr="00602610" w:rsidP="00B75B66" w14:paraId="6460F849" w14:textId="5241D9D0">
            <w:pPr>
              <w:pStyle w:val="TOAHeading"/>
              <w:tabs>
                <w:tab w:val="center" w:pos="4680"/>
              </w:tabs>
              <w:rPr>
                <w:spacing w:val="-2"/>
                <w:szCs w:val="22"/>
              </w:rPr>
            </w:pPr>
            <w:r w:rsidRPr="00602610">
              <w:rPr>
                <w:spacing w:val="-2"/>
                <w:szCs w:val="22"/>
              </w:rPr>
              <w:t xml:space="preserve">PS Docket No. </w:t>
            </w:r>
            <w:r w:rsidR="00D6589F">
              <w:rPr>
                <w:spacing w:val="-2"/>
                <w:szCs w:val="22"/>
              </w:rPr>
              <w:t>20-291</w:t>
            </w:r>
          </w:p>
          <w:p w:rsidR="00F306CF" w:rsidRPr="00602610" w:rsidP="00B75B66" w14:paraId="7721F011" w14:textId="77777777">
            <w:pPr>
              <w:pStyle w:val="TOAHeading"/>
              <w:tabs>
                <w:tab w:val="center" w:pos="4680"/>
              </w:tabs>
              <w:rPr>
                <w:spacing w:val="-2"/>
                <w:szCs w:val="22"/>
              </w:rPr>
            </w:pPr>
          </w:p>
          <w:p w:rsidR="00F306CF" w:rsidRPr="00602610" w:rsidP="00B75B66" w14:paraId="6C03BD6D" w14:textId="78A62B73">
            <w:pPr>
              <w:pStyle w:val="TOAHeading"/>
              <w:tabs>
                <w:tab w:val="center" w:pos="4680"/>
              </w:tabs>
              <w:rPr>
                <w:spacing w:val="-2"/>
                <w:szCs w:val="22"/>
              </w:rPr>
            </w:pPr>
            <w:r>
              <w:rPr>
                <w:spacing w:val="-2"/>
                <w:szCs w:val="22"/>
              </w:rPr>
              <w:t>PS Docket No. 09-14</w:t>
            </w:r>
          </w:p>
          <w:p w:rsidR="00F306CF" w:rsidRPr="00602610" w:rsidP="00B75B66" w14:paraId="6686E52C" w14:textId="77777777">
            <w:pPr>
              <w:rPr>
                <w:b/>
                <w:szCs w:val="22"/>
              </w:rPr>
            </w:pPr>
          </w:p>
        </w:tc>
      </w:tr>
    </w:tbl>
    <w:p w:rsidR="00F306CF" w:rsidRPr="00602610" w:rsidP="002D1C84" w14:paraId="49D45E18" w14:textId="5BB6457D">
      <w:pPr>
        <w:jc w:val="center"/>
        <w:rPr>
          <w:b/>
          <w:spacing w:val="-2"/>
          <w:szCs w:val="22"/>
        </w:rPr>
      </w:pPr>
      <w:r w:rsidRPr="00602610">
        <w:rPr>
          <w:b/>
          <w:spacing w:val="-2"/>
          <w:szCs w:val="22"/>
        </w:rPr>
        <w:t>ERRATUM</w:t>
      </w:r>
    </w:p>
    <w:p w:rsidR="00F306CF" w:rsidRPr="00602610" w:rsidP="002D1C84" w14:paraId="732AA225" w14:textId="77777777">
      <w:pPr>
        <w:rPr>
          <w:b/>
          <w:szCs w:val="22"/>
        </w:rPr>
      </w:pPr>
    </w:p>
    <w:p w:rsidR="00F306CF" w:rsidRPr="00602610" w:rsidP="00F306CF" w14:paraId="459B6711" w14:textId="28F6C6A6">
      <w:pPr>
        <w:jc w:val="right"/>
        <w:rPr>
          <w:b/>
          <w:szCs w:val="22"/>
        </w:rPr>
      </w:pPr>
      <w:r w:rsidRPr="00602610">
        <w:rPr>
          <w:b/>
          <w:szCs w:val="22"/>
        </w:rPr>
        <w:t xml:space="preserve">Released: </w:t>
      </w:r>
      <w:r w:rsidR="00BE7158">
        <w:rPr>
          <w:b/>
          <w:szCs w:val="22"/>
        </w:rPr>
        <w:t>August</w:t>
      </w:r>
      <w:r w:rsidRPr="00602610" w:rsidR="00D75C1E">
        <w:rPr>
          <w:b/>
          <w:szCs w:val="22"/>
        </w:rPr>
        <w:t xml:space="preserve"> </w:t>
      </w:r>
      <w:r w:rsidR="00A8470A">
        <w:rPr>
          <w:b/>
          <w:szCs w:val="22"/>
        </w:rPr>
        <w:t>12</w:t>
      </w:r>
      <w:r w:rsidRPr="00602610" w:rsidR="00B2215A">
        <w:rPr>
          <w:b/>
          <w:szCs w:val="22"/>
        </w:rPr>
        <w:t xml:space="preserve">, </w:t>
      </w:r>
      <w:r w:rsidRPr="00602610" w:rsidR="007A31B0">
        <w:rPr>
          <w:b/>
          <w:szCs w:val="22"/>
        </w:rPr>
        <w:t>202</w:t>
      </w:r>
      <w:r w:rsidR="00BE7158">
        <w:rPr>
          <w:b/>
          <w:szCs w:val="22"/>
        </w:rPr>
        <w:t>1</w:t>
      </w:r>
    </w:p>
    <w:p w:rsidR="00F306CF" w:rsidRPr="00602610" w:rsidP="002D1C84" w14:paraId="75CDDA27" w14:textId="77777777">
      <w:pPr>
        <w:rPr>
          <w:b/>
          <w:szCs w:val="22"/>
        </w:rPr>
      </w:pPr>
    </w:p>
    <w:p w:rsidR="00330AF3" w:rsidRPr="00602610" w:rsidP="002D1C84" w14:paraId="75370858" w14:textId="21EC479C">
      <w:pPr>
        <w:rPr>
          <w:spacing w:val="-2"/>
          <w:szCs w:val="22"/>
        </w:rPr>
      </w:pPr>
      <w:r w:rsidRPr="00602610">
        <w:rPr>
          <w:szCs w:val="22"/>
        </w:rPr>
        <w:t xml:space="preserve">By the Chief, Public Safety and Homeland Security Bureau, and the </w:t>
      </w:r>
      <w:r w:rsidR="009A556B">
        <w:rPr>
          <w:szCs w:val="22"/>
        </w:rPr>
        <w:t xml:space="preserve">Office of the </w:t>
      </w:r>
      <w:r w:rsidRPr="00602610">
        <w:rPr>
          <w:szCs w:val="22"/>
        </w:rPr>
        <w:t>Managing Director</w:t>
      </w:r>
      <w:r w:rsidRPr="00602610">
        <w:rPr>
          <w:spacing w:val="-2"/>
          <w:szCs w:val="22"/>
        </w:rPr>
        <w:t>:</w:t>
      </w:r>
    </w:p>
    <w:p w:rsidR="00F306CF" w:rsidRPr="00602610" w:rsidP="002D1C84" w14:paraId="5B4813AD" w14:textId="77777777">
      <w:pPr>
        <w:rPr>
          <w:spacing w:val="-2"/>
          <w:szCs w:val="22"/>
        </w:rPr>
      </w:pPr>
    </w:p>
    <w:p w:rsidR="00E94FC9" w:rsidRPr="00602610" w:rsidP="00990D9F" w14:paraId="7E19E910" w14:textId="4B44E9A7">
      <w:pPr>
        <w:pStyle w:val="ParaNum"/>
        <w:numPr>
          <w:ilvl w:val="0"/>
          <w:numId w:val="0"/>
        </w:numPr>
        <w:tabs>
          <w:tab w:val="clear" w:pos="1440"/>
        </w:tabs>
        <w:ind w:firstLine="720"/>
        <w:rPr>
          <w:szCs w:val="22"/>
        </w:rPr>
      </w:pPr>
      <w:r w:rsidRPr="00602610">
        <w:t xml:space="preserve">On </w:t>
      </w:r>
      <w:r w:rsidRPr="00602610" w:rsidR="003E5256">
        <w:t>Ju</w:t>
      </w:r>
      <w:r w:rsidR="00990D9F">
        <w:t>ne 25, 2021</w:t>
      </w:r>
      <w:r w:rsidRPr="00602610">
        <w:t xml:space="preserve">, the Commission released </w:t>
      </w:r>
      <w:r w:rsidR="00990D9F">
        <w:t xml:space="preserve">a </w:t>
      </w:r>
      <w:r w:rsidRPr="00990D9F" w:rsidR="00990D9F">
        <w:rPr>
          <w:i/>
          <w:iCs/>
        </w:rPr>
        <w:t>R</w:t>
      </w:r>
      <w:r w:rsidRPr="00990D9F" w:rsidR="0099347E">
        <w:rPr>
          <w:i/>
          <w:iCs/>
        </w:rPr>
        <w:t>eport and Order</w:t>
      </w:r>
      <w:r w:rsidR="00990D9F">
        <w:t xml:space="preserve">, FCC 21-80, in </w:t>
      </w:r>
      <w:r w:rsidRPr="00602610" w:rsidR="00A32859">
        <w:t>the above captioned proceeding</w:t>
      </w:r>
      <w:r w:rsidRPr="00602610" w:rsidR="00544C08">
        <w:t>.  T</w:t>
      </w:r>
      <w:r w:rsidR="00990D9F">
        <w:t xml:space="preserve">o conform to the publishing conventions of the National Archives and Records Administration’s Office of the Federal Register, this Erratum replaces </w:t>
      </w:r>
      <w:r w:rsidRPr="00BE7158" w:rsidR="00990D9F">
        <w:rPr>
          <w:b/>
          <w:bCs/>
        </w:rPr>
        <w:t>Appendix A</w:t>
      </w:r>
      <w:r w:rsidR="00990D9F">
        <w:t xml:space="preserve"> of the </w:t>
      </w:r>
      <w:r w:rsidRPr="00990D9F" w:rsidR="00990D9F">
        <w:rPr>
          <w:i/>
          <w:iCs/>
        </w:rPr>
        <w:t>Report and Order</w:t>
      </w:r>
      <w:r w:rsidR="00990D9F">
        <w:t xml:space="preserve">.  See new </w:t>
      </w:r>
      <w:r w:rsidRPr="00BE7158" w:rsidR="00990D9F">
        <w:rPr>
          <w:b/>
          <w:bCs/>
        </w:rPr>
        <w:t>Appendix A</w:t>
      </w:r>
      <w:r w:rsidR="00990D9F">
        <w:t xml:space="preserve"> attached.</w:t>
      </w:r>
    </w:p>
    <w:p w:rsidR="003E5256" w:rsidRPr="00602610" w:rsidP="0095207A" w14:paraId="430EFF8D" w14:textId="77777777">
      <w:pPr>
        <w:pStyle w:val="ParaNum"/>
        <w:keepNext/>
        <w:widowControl/>
        <w:numPr>
          <w:ilvl w:val="0"/>
          <w:numId w:val="0"/>
        </w:numPr>
        <w:spacing w:after="0"/>
        <w:rPr>
          <w:szCs w:val="22"/>
        </w:rPr>
      </w:pPr>
    </w:p>
    <w:p w:rsidR="00F306CF" w:rsidRPr="00602610" w:rsidP="0095207A" w14:paraId="316E9DEA" w14:textId="77777777">
      <w:pPr>
        <w:keepNext/>
        <w:widowControl/>
      </w:pPr>
      <w:r w:rsidRPr="00602610">
        <w:tab/>
      </w:r>
      <w:r w:rsidRPr="00602610">
        <w:tab/>
      </w:r>
      <w:r w:rsidRPr="00602610">
        <w:tab/>
      </w:r>
      <w:r w:rsidRPr="00602610">
        <w:tab/>
      </w:r>
      <w:r w:rsidRPr="00602610">
        <w:tab/>
      </w:r>
      <w:r w:rsidRPr="00602610">
        <w:tab/>
        <w:t>FEDERAL COMMUNICATIONS COMMISSION</w:t>
      </w:r>
    </w:p>
    <w:p w:rsidR="00F306CF" w:rsidRPr="00602610" w:rsidP="0095207A" w14:paraId="7BACDDBD" w14:textId="77777777">
      <w:pPr>
        <w:keepNext/>
        <w:widowControl/>
      </w:pPr>
    </w:p>
    <w:p w:rsidR="00F306CF" w:rsidRPr="00602610" w:rsidP="0095207A" w14:paraId="31C3A3A8" w14:textId="77777777">
      <w:pPr>
        <w:keepNext/>
        <w:widowControl/>
      </w:pPr>
    </w:p>
    <w:p w:rsidR="00F306CF" w:rsidRPr="00602610" w:rsidP="0095207A" w14:paraId="396A3195" w14:textId="77777777">
      <w:pPr>
        <w:keepNext/>
        <w:widowControl/>
      </w:pPr>
    </w:p>
    <w:p w:rsidR="0048313B" w:rsidRPr="00602610" w:rsidP="0095207A" w14:paraId="39FCFAE5" w14:textId="77777777">
      <w:pPr>
        <w:keepNext/>
        <w:widowControl/>
      </w:pPr>
    </w:p>
    <w:p w:rsidR="005B1403" w:rsidRPr="00602610" w:rsidP="0095207A" w14:paraId="3931EDE5" w14:textId="77777777">
      <w:pPr>
        <w:keepNext/>
        <w:widowControl/>
      </w:pPr>
      <w:r w:rsidRPr="00602610">
        <w:tab/>
      </w:r>
      <w:r w:rsidRPr="00602610">
        <w:tab/>
      </w:r>
      <w:r w:rsidRPr="00602610">
        <w:tab/>
      </w:r>
      <w:r w:rsidRPr="00602610">
        <w:tab/>
      </w:r>
      <w:r w:rsidRPr="00602610">
        <w:tab/>
      </w:r>
      <w:r w:rsidRPr="00602610" w:rsidR="00FE4A85">
        <w:tab/>
      </w:r>
      <w:r w:rsidRPr="00602610">
        <w:t>Lisa M. Fowlkes</w:t>
      </w:r>
    </w:p>
    <w:p w:rsidR="005B1403" w:rsidRPr="00602610" w:rsidP="0095207A" w14:paraId="4B8047B4" w14:textId="77777777">
      <w:pPr>
        <w:keepNext/>
        <w:widowControl/>
      </w:pPr>
      <w:r w:rsidRPr="00602610">
        <w:tab/>
      </w:r>
      <w:r w:rsidRPr="00602610">
        <w:tab/>
      </w:r>
      <w:r w:rsidRPr="00602610">
        <w:tab/>
      </w:r>
      <w:r w:rsidRPr="00602610">
        <w:tab/>
      </w:r>
      <w:r w:rsidRPr="00602610">
        <w:tab/>
      </w:r>
      <w:r w:rsidRPr="00602610">
        <w:tab/>
        <w:t>Chief, Public Safety and Homeland Security Bureau</w:t>
      </w:r>
    </w:p>
    <w:p w:rsidR="005B1403" w:rsidRPr="00602610" w:rsidP="0095207A" w14:paraId="134B923F" w14:textId="77777777">
      <w:pPr>
        <w:keepNext/>
        <w:widowControl/>
      </w:pPr>
    </w:p>
    <w:p w:rsidR="005B1403" w:rsidRPr="00602610" w:rsidP="0095207A" w14:paraId="553623CC" w14:textId="77777777">
      <w:pPr>
        <w:keepNext/>
        <w:widowControl/>
      </w:pPr>
    </w:p>
    <w:p w:rsidR="005B1403" w:rsidRPr="00602610" w:rsidP="0095207A" w14:paraId="190829B2" w14:textId="77777777">
      <w:pPr>
        <w:keepNext/>
        <w:widowControl/>
      </w:pPr>
    </w:p>
    <w:p w:rsidR="005B1403" w:rsidRPr="00602610" w:rsidP="0095207A" w14:paraId="69344A4F" w14:textId="77777777">
      <w:pPr>
        <w:keepNext/>
        <w:widowControl/>
      </w:pPr>
    </w:p>
    <w:p w:rsidR="005B1403" w:rsidRPr="00602610" w:rsidP="0095207A" w14:paraId="16139ED4" w14:textId="77777777">
      <w:pPr>
        <w:keepNext/>
        <w:widowControl/>
      </w:pPr>
      <w:r w:rsidRPr="00602610">
        <w:tab/>
      </w:r>
      <w:r w:rsidRPr="00602610">
        <w:tab/>
      </w:r>
      <w:r w:rsidRPr="00602610">
        <w:tab/>
      </w:r>
      <w:r w:rsidRPr="00602610">
        <w:tab/>
      </w:r>
      <w:r w:rsidRPr="00602610">
        <w:tab/>
      </w:r>
      <w:r w:rsidRPr="00602610">
        <w:tab/>
        <w:t xml:space="preserve">Mark Stephens </w:t>
      </w:r>
    </w:p>
    <w:p w:rsidR="005B1403" w:rsidRPr="00A32859" w:rsidP="00BF0D0A" w14:paraId="09C0F499" w14:textId="77777777">
      <w:r w:rsidRPr="00602610">
        <w:tab/>
      </w:r>
      <w:r w:rsidRPr="00602610">
        <w:tab/>
      </w:r>
      <w:r w:rsidRPr="00602610">
        <w:tab/>
      </w:r>
      <w:r w:rsidRPr="00602610">
        <w:tab/>
      </w:r>
      <w:r w:rsidRPr="00602610">
        <w:tab/>
      </w:r>
      <w:r w:rsidRPr="00602610">
        <w:tab/>
        <w:t>Managing Director</w:t>
      </w:r>
    </w:p>
    <w:p w:rsidR="00F306CF" w:rsidP="00F7639D" w14:paraId="4A74534B" w14:textId="232B678D">
      <w:pPr>
        <w:keepNext/>
        <w:widowControl/>
      </w:pPr>
    </w:p>
    <w:p w:rsidR="007D5EBF" w14:paraId="53305C9F" w14:textId="015E15C9">
      <w:pPr>
        <w:widowControl/>
      </w:pPr>
      <w:r>
        <w:br w:type="page"/>
      </w:r>
    </w:p>
    <w:p w:rsidR="007D5EBF" w:rsidRPr="00905C2B" w:rsidP="007D5EBF" w14:paraId="362098D2" w14:textId="77777777">
      <w:pPr>
        <w:jc w:val="center"/>
        <w:rPr>
          <w:b/>
          <w:bCs/>
          <w:szCs w:val="22"/>
        </w:rPr>
      </w:pPr>
      <w:r w:rsidRPr="00905C2B">
        <w:rPr>
          <w:b/>
          <w:szCs w:val="22"/>
        </w:rPr>
        <w:t>APPENDIX</w:t>
      </w:r>
      <w:r w:rsidRPr="00905C2B">
        <w:rPr>
          <w:b/>
          <w:bCs/>
          <w:szCs w:val="22"/>
        </w:rPr>
        <w:t xml:space="preserve"> A</w:t>
      </w:r>
    </w:p>
    <w:p w:rsidR="007D5EBF" w:rsidRPr="00905C2B" w:rsidP="007D5EBF" w14:paraId="1B938124" w14:textId="77777777">
      <w:pPr>
        <w:rPr>
          <w:b/>
          <w:bCs/>
          <w:szCs w:val="22"/>
        </w:rPr>
      </w:pPr>
    </w:p>
    <w:p w:rsidR="007D5EBF" w:rsidRPr="00905C2B" w:rsidP="007D5EBF" w14:paraId="04CDF52F" w14:textId="77777777">
      <w:pPr>
        <w:jc w:val="center"/>
        <w:rPr>
          <w:b/>
          <w:bCs/>
          <w:szCs w:val="22"/>
        </w:rPr>
      </w:pPr>
      <w:r>
        <w:rPr>
          <w:b/>
          <w:bCs/>
          <w:szCs w:val="22"/>
        </w:rPr>
        <w:t>Final</w:t>
      </w:r>
      <w:r w:rsidRPr="00905C2B">
        <w:rPr>
          <w:b/>
          <w:bCs/>
          <w:szCs w:val="22"/>
        </w:rPr>
        <w:t xml:space="preserve"> Rules</w:t>
      </w:r>
    </w:p>
    <w:p w:rsidR="007D5EBF" w:rsidRPr="00905C2B" w:rsidP="007D5EBF" w14:paraId="6C43BAE7" w14:textId="77777777">
      <w:pPr>
        <w:jc w:val="center"/>
        <w:rPr>
          <w:bCs/>
          <w:szCs w:val="22"/>
        </w:rPr>
      </w:pPr>
    </w:p>
    <w:p w:rsidR="007D5EBF" w:rsidRPr="00905C2B" w:rsidP="007D5EBF" w14:paraId="7D661DE9" w14:textId="77777777">
      <w:pPr>
        <w:rPr>
          <w:szCs w:val="22"/>
        </w:rPr>
      </w:pPr>
      <w:r>
        <w:rPr>
          <w:szCs w:val="22"/>
        </w:rPr>
        <w:t>For the reasons described in the preamble, th</w:t>
      </w:r>
      <w:r w:rsidRPr="00905C2B">
        <w:rPr>
          <w:szCs w:val="22"/>
        </w:rPr>
        <w:t xml:space="preserve">e Federal Communications Commission </w:t>
      </w:r>
      <w:r>
        <w:rPr>
          <w:szCs w:val="22"/>
        </w:rPr>
        <w:t xml:space="preserve">amends 47 CFR part 9 </w:t>
      </w:r>
      <w:r w:rsidRPr="00905C2B">
        <w:rPr>
          <w:szCs w:val="22"/>
        </w:rPr>
        <w:t>as follows:</w:t>
      </w:r>
    </w:p>
    <w:p w:rsidR="007D5EBF" w:rsidRPr="00905C2B" w:rsidP="007D5EBF" w14:paraId="5196665C" w14:textId="77777777">
      <w:pPr>
        <w:rPr>
          <w:szCs w:val="22"/>
        </w:rPr>
      </w:pPr>
    </w:p>
    <w:p w:rsidR="007D5EBF" w:rsidRPr="00905C2B" w:rsidP="007D5EBF" w14:paraId="11E1B4DC" w14:textId="77777777">
      <w:pPr>
        <w:rPr>
          <w:szCs w:val="22"/>
        </w:rPr>
      </w:pPr>
      <w:r w:rsidRPr="00905C2B">
        <w:rPr>
          <w:szCs w:val="22"/>
        </w:rPr>
        <w:t>PART 9 – 911 Requirements</w:t>
      </w:r>
    </w:p>
    <w:p w:rsidR="007D5EBF" w:rsidRPr="00905C2B" w:rsidP="007D5EBF" w14:paraId="1AE422CE" w14:textId="77777777">
      <w:pPr>
        <w:rPr>
          <w:szCs w:val="22"/>
        </w:rPr>
      </w:pPr>
    </w:p>
    <w:p w:rsidR="00E15514" w:rsidP="007D5EBF" w14:paraId="1BB8837F" w14:textId="3E6732F8">
      <w:pPr>
        <w:pStyle w:val="ListParagraph"/>
        <w:numPr>
          <w:ilvl w:val="0"/>
          <w:numId w:val="33"/>
        </w:numPr>
        <w:rPr>
          <w:sz w:val="22"/>
          <w:szCs w:val="22"/>
        </w:rPr>
      </w:pPr>
      <w:r w:rsidRPr="008E5D8B">
        <w:rPr>
          <w:sz w:val="22"/>
          <w:szCs w:val="22"/>
        </w:rPr>
        <w:t xml:space="preserve">The </w:t>
      </w:r>
      <w:r>
        <w:rPr>
          <w:sz w:val="22"/>
          <w:szCs w:val="22"/>
        </w:rPr>
        <w:t xml:space="preserve">authority </w:t>
      </w:r>
      <w:r w:rsidRPr="008E5D8B">
        <w:rPr>
          <w:sz w:val="22"/>
          <w:szCs w:val="22"/>
        </w:rPr>
        <w:t xml:space="preserve">citation for part 9 is </w:t>
      </w:r>
      <w:r>
        <w:rPr>
          <w:sz w:val="22"/>
          <w:szCs w:val="22"/>
        </w:rPr>
        <w:t xml:space="preserve">revised </w:t>
      </w:r>
      <w:r w:rsidRPr="008E5D8B">
        <w:rPr>
          <w:sz w:val="22"/>
          <w:szCs w:val="22"/>
        </w:rPr>
        <w:t>to read as follows:</w:t>
      </w:r>
    </w:p>
    <w:p w:rsidR="009650AA" w:rsidP="009650AA" w14:paraId="181B2C4A" w14:textId="77777777">
      <w:pPr>
        <w:pStyle w:val="ListParagraph"/>
        <w:ind w:left="775"/>
        <w:rPr>
          <w:sz w:val="22"/>
          <w:szCs w:val="22"/>
        </w:rPr>
      </w:pPr>
    </w:p>
    <w:p w:rsidR="007D5EBF" w:rsidRPr="00E15514" w:rsidP="00E15514" w14:paraId="3D180C3B" w14:textId="7270A9C3">
      <w:pPr>
        <w:ind w:left="415"/>
        <w:rPr>
          <w:szCs w:val="22"/>
        </w:rPr>
      </w:pPr>
      <w:r w:rsidRPr="00E15514">
        <w:rPr>
          <w:szCs w:val="22"/>
        </w:rPr>
        <w:t xml:space="preserve">Authority: 47 U.S.C. 151–154, 152(a), 155(c), 157, 160, 201, 202, 208, 210, 214, 218, 219, 222, 225, 251(e), 255, 301, 302, 303, 307, 308, 309, 310, 316, 319, 332, 403, 405, 605, 610, 615, 615 note, 615a, 615b, 615c, 615a-1, 616, 620, 621, 623, 623 note, 721, and 1471, and Section 902 of Title IX, Division FF, Pub. L. 116–260, 134 Stat. 1182, unless otherwise noted.  </w:t>
      </w:r>
    </w:p>
    <w:p w:rsidR="007D5EBF" w:rsidRPr="00905C2B" w:rsidP="007D5EBF" w14:paraId="5E9A13A4" w14:textId="77777777">
      <w:pPr>
        <w:pStyle w:val="ListParagraph"/>
        <w:rPr>
          <w:sz w:val="22"/>
          <w:szCs w:val="22"/>
        </w:rPr>
      </w:pPr>
    </w:p>
    <w:p w:rsidR="007D5EBF" w:rsidRPr="00905C2B" w:rsidP="007D5EBF" w14:paraId="57F05D1C" w14:textId="77777777">
      <w:pPr>
        <w:pStyle w:val="ListParagraph"/>
        <w:numPr>
          <w:ilvl w:val="0"/>
          <w:numId w:val="33"/>
        </w:numPr>
        <w:ind w:left="900"/>
        <w:rPr>
          <w:sz w:val="22"/>
          <w:szCs w:val="22"/>
        </w:rPr>
      </w:pPr>
      <w:r>
        <w:rPr>
          <w:sz w:val="22"/>
          <w:szCs w:val="22"/>
        </w:rPr>
        <w:t>Add subp</w:t>
      </w:r>
      <w:r w:rsidRPr="00905C2B">
        <w:rPr>
          <w:sz w:val="22"/>
          <w:szCs w:val="22"/>
        </w:rPr>
        <w:t>art I</w:t>
      </w:r>
      <w:r>
        <w:rPr>
          <w:sz w:val="22"/>
          <w:szCs w:val="22"/>
        </w:rPr>
        <w:t>, consisting of §§ 9.21 through 9.26,</w:t>
      </w:r>
      <w:r w:rsidRPr="00905C2B">
        <w:rPr>
          <w:sz w:val="22"/>
          <w:szCs w:val="22"/>
        </w:rPr>
        <w:t xml:space="preserve"> to read as follows:</w:t>
      </w:r>
    </w:p>
    <w:p w:rsidR="007D5EBF" w:rsidRPr="00905C2B" w:rsidP="007D5EBF" w14:paraId="3B30CF8B" w14:textId="77777777">
      <w:pPr>
        <w:pStyle w:val="ListParagraph"/>
        <w:ind w:left="900"/>
        <w:rPr>
          <w:sz w:val="22"/>
          <w:szCs w:val="22"/>
        </w:rPr>
      </w:pPr>
    </w:p>
    <w:p w:rsidR="007D5EBF" w:rsidRPr="00905C2B" w:rsidP="007D5EBF" w14:paraId="5A96CF34" w14:textId="77777777">
      <w:pPr>
        <w:rPr>
          <w:b/>
          <w:bCs/>
          <w:szCs w:val="22"/>
        </w:rPr>
      </w:pPr>
      <w:r w:rsidRPr="00905C2B">
        <w:rPr>
          <w:b/>
          <w:bCs/>
          <w:szCs w:val="22"/>
        </w:rPr>
        <w:t>Subpart I – 911 Fees</w:t>
      </w:r>
    </w:p>
    <w:p w:rsidR="007D5EBF" w:rsidRPr="00905C2B" w:rsidP="007D5EBF" w14:paraId="6697D135" w14:textId="77777777">
      <w:pPr>
        <w:pStyle w:val="ColorfulList-Accent11"/>
        <w:shd w:val="clear" w:color="auto" w:fill="FFFFFF"/>
        <w:ind w:left="0"/>
        <w:contextualSpacing/>
        <w:textAlignment w:val="baseline"/>
        <w:rPr>
          <w:szCs w:val="22"/>
        </w:rPr>
      </w:pPr>
    </w:p>
    <w:p w:rsidR="007D5EBF" w:rsidRPr="00905C2B" w:rsidP="007D5EBF" w14:paraId="6941DDDB" w14:textId="77777777">
      <w:pPr>
        <w:pStyle w:val="ColorfulList-Accent11"/>
        <w:shd w:val="clear" w:color="auto" w:fill="FFFFFF"/>
        <w:ind w:left="0"/>
        <w:contextualSpacing/>
        <w:textAlignment w:val="baseline"/>
        <w:rPr>
          <w:szCs w:val="22"/>
        </w:rPr>
      </w:pPr>
      <w:r w:rsidRPr="00905C2B">
        <w:rPr>
          <w:szCs w:val="22"/>
        </w:rPr>
        <w:t>Sec.</w:t>
      </w:r>
    </w:p>
    <w:p w:rsidR="007D5EBF" w:rsidRPr="00905C2B" w:rsidP="007D5EBF" w14:paraId="1EE90136" w14:textId="77777777">
      <w:pPr>
        <w:pStyle w:val="ColorfulList-Accent11"/>
        <w:shd w:val="clear" w:color="auto" w:fill="FFFFFF"/>
        <w:ind w:left="0"/>
        <w:contextualSpacing/>
        <w:textAlignment w:val="baseline"/>
        <w:rPr>
          <w:szCs w:val="22"/>
        </w:rPr>
      </w:pPr>
      <w:r w:rsidRPr="00905C2B">
        <w:rPr>
          <w:szCs w:val="22"/>
        </w:rPr>
        <w:t>9.21 Applicability.</w:t>
      </w:r>
    </w:p>
    <w:p w:rsidR="007D5EBF" w:rsidRPr="00905C2B" w:rsidP="007D5EBF" w14:paraId="6BE0489C" w14:textId="77777777">
      <w:pPr>
        <w:pStyle w:val="ColorfulList-Accent11"/>
        <w:shd w:val="clear" w:color="auto" w:fill="FFFFFF"/>
        <w:ind w:left="0"/>
        <w:contextualSpacing/>
        <w:textAlignment w:val="baseline"/>
        <w:rPr>
          <w:szCs w:val="22"/>
        </w:rPr>
      </w:pPr>
      <w:r w:rsidRPr="00905C2B">
        <w:rPr>
          <w:szCs w:val="22"/>
        </w:rPr>
        <w:t>9.22 Definitions.</w:t>
      </w:r>
    </w:p>
    <w:p w:rsidR="007D5EBF" w:rsidRPr="00905C2B" w:rsidP="007D5EBF" w14:paraId="164E7A44" w14:textId="076A7510">
      <w:pPr>
        <w:pStyle w:val="ColorfulList-Accent11"/>
        <w:shd w:val="clear" w:color="auto" w:fill="FFFFFF"/>
        <w:ind w:left="0"/>
        <w:contextualSpacing/>
        <w:textAlignment w:val="baseline"/>
        <w:rPr>
          <w:szCs w:val="22"/>
        </w:rPr>
      </w:pPr>
      <w:r w:rsidRPr="00905C2B">
        <w:rPr>
          <w:szCs w:val="22"/>
        </w:rPr>
        <w:t>9.23 Designation of acceptable obligations or expenditures</w:t>
      </w:r>
      <w:r>
        <w:rPr>
          <w:szCs w:val="22"/>
        </w:rPr>
        <w:t xml:space="preserve"> </w:t>
      </w:r>
      <w:r w:rsidRPr="0006796C">
        <w:rPr>
          <w:szCs w:val="22"/>
        </w:rPr>
        <w:t xml:space="preserve">for purposes of </w:t>
      </w:r>
      <w:r w:rsidR="00D124B6">
        <w:rPr>
          <w:szCs w:val="22"/>
        </w:rPr>
        <w:t xml:space="preserve">the </w:t>
      </w:r>
      <w:r w:rsidRPr="0006796C">
        <w:rPr>
          <w:szCs w:val="22"/>
        </w:rPr>
        <w:t xml:space="preserve">Consolidated Appropriations Act, 2021, Division FF, Title IX, </w:t>
      </w:r>
      <w:r>
        <w:rPr>
          <w:szCs w:val="22"/>
        </w:rPr>
        <w:t>s</w:t>
      </w:r>
      <w:r w:rsidRPr="0006796C">
        <w:rPr>
          <w:szCs w:val="22"/>
        </w:rPr>
        <w:t>ection 902(c)(1)(C)</w:t>
      </w:r>
      <w:r w:rsidRPr="00905C2B">
        <w:rPr>
          <w:szCs w:val="22"/>
        </w:rPr>
        <w:t xml:space="preserve">. </w:t>
      </w:r>
    </w:p>
    <w:p w:rsidR="007D5EBF" w:rsidRPr="00905C2B" w:rsidP="007D5EBF" w14:paraId="5BB54444" w14:textId="77777777">
      <w:pPr>
        <w:pStyle w:val="ColorfulList-Accent11"/>
        <w:shd w:val="clear" w:color="auto" w:fill="FFFFFF"/>
        <w:ind w:left="0"/>
        <w:contextualSpacing/>
        <w:textAlignment w:val="baseline"/>
        <w:rPr>
          <w:szCs w:val="22"/>
        </w:rPr>
      </w:pPr>
      <w:r w:rsidRPr="00905C2B">
        <w:rPr>
          <w:szCs w:val="22"/>
        </w:rPr>
        <w:t>9.24 Petition regarding additional purposes and functions.</w:t>
      </w:r>
    </w:p>
    <w:p w:rsidR="007D5EBF" w:rsidRPr="00905C2B" w:rsidP="007D5EBF" w14:paraId="5408BC12" w14:textId="77777777">
      <w:pPr>
        <w:pStyle w:val="ColorfulList-Accent11"/>
        <w:shd w:val="clear" w:color="auto" w:fill="FFFFFF"/>
        <w:ind w:left="0"/>
        <w:contextualSpacing/>
        <w:textAlignment w:val="baseline"/>
        <w:rPr>
          <w:szCs w:val="22"/>
        </w:rPr>
      </w:pPr>
      <w:r w:rsidRPr="00905C2B">
        <w:rPr>
          <w:szCs w:val="22"/>
        </w:rPr>
        <w:t>9.25 Participation in annual fee report data collection.</w:t>
      </w:r>
    </w:p>
    <w:p w:rsidR="007D5EBF" w:rsidRPr="00905C2B" w:rsidP="007D5EBF" w14:paraId="6E23D06F" w14:textId="77777777">
      <w:pPr>
        <w:pStyle w:val="ColorfulList-Accent11"/>
        <w:shd w:val="clear" w:color="auto" w:fill="FFFFFF"/>
        <w:ind w:left="0"/>
        <w:contextualSpacing/>
        <w:textAlignment w:val="baseline"/>
        <w:rPr>
          <w:szCs w:val="22"/>
        </w:rPr>
      </w:pPr>
      <w:r w:rsidRPr="00905C2B">
        <w:rPr>
          <w:szCs w:val="22"/>
        </w:rPr>
        <w:t>9.26 Advisory committee participation.</w:t>
      </w:r>
    </w:p>
    <w:p w:rsidR="007D5EBF" w:rsidRPr="00905C2B" w:rsidP="007D5EBF" w14:paraId="6F00209E" w14:textId="77777777">
      <w:pPr>
        <w:pStyle w:val="ColorfulList-Accent11"/>
        <w:shd w:val="clear" w:color="auto" w:fill="FFFFFF"/>
        <w:ind w:left="0"/>
        <w:contextualSpacing/>
        <w:textAlignment w:val="baseline"/>
        <w:rPr>
          <w:szCs w:val="22"/>
        </w:rPr>
      </w:pPr>
    </w:p>
    <w:p w:rsidR="007D5EBF" w:rsidRPr="00905C2B" w:rsidP="007D5EBF" w14:paraId="72F0359F" w14:textId="77777777">
      <w:pPr>
        <w:rPr>
          <w:b/>
          <w:bCs/>
          <w:szCs w:val="22"/>
        </w:rPr>
      </w:pPr>
      <w:r w:rsidRPr="00905C2B">
        <w:rPr>
          <w:b/>
          <w:bCs/>
          <w:szCs w:val="22"/>
        </w:rPr>
        <w:t>§ 9.21 Applicability.</w:t>
      </w:r>
    </w:p>
    <w:p w:rsidR="007D5EBF" w:rsidRPr="00905C2B" w:rsidP="007D5EBF" w14:paraId="04460815" w14:textId="77777777">
      <w:pPr>
        <w:pStyle w:val="ColorfulList-Accent11"/>
        <w:shd w:val="clear" w:color="auto" w:fill="FFFFFF"/>
        <w:ind w:left="0"/>
        <w:contextualSpacing/>
        <w:textAlignment w:val="baseline"/>
        <w:rPr>
          <w:szCs w:val="22"/>
        </w:rPr>
      </w:pPr>
    </w:p>
    <w:p w:rsidR="007D5EBF" w:rsidRPr="00905C2B" w:rsidP="007D5EBF" w14:paraId="0DB0AFBA" w14:textId="77777777">
      <w:pPr>
        <w:pStyle w:val="ColorfulList-Accent11"/>
        <w:shd w:val="clear" w:color="auto" w:fill="FFFFFF"/>
        <w:ind w:left="0"/>
        <w:contextualSpacing/>
        <w:textAlignment w:val="baseline"/>
        <w:rPr>
          <w:szCs w:val="22"/>
        </w:rPr>
      </w:pPr>
      <w:r w:rsidRPr="00905C2B">
        <w:rPr>
          <w:color w:val="000000"/>
          <w:szCs w:val="22"/>
          <w:shd w:val="clear" w:color="auto" w:fill="FFFFFF"/>
        </w:rPr>
        <w:t xml:space="preserve">The rules in this subpart apply to </w:t>
      </w:r>
      <w:bookmarkStart w:id="0" w:name="_Hlk60925570"/>
      <w:r w:rsidRPr="00905C2B">
        <w:rPr>
          <w:color w:val="333333"/>
          <w:szCs w:val="22"/>
          <w:shd w:val="clear" w:color="auto" w:fill="FFFFFF"/>
        </w:rPr>
        <w:t xml:space="preserve">States or taxing jurisdictions that </w:t>
      </w:r>
      <w:r w:rsidRPr="00905C2B">
        <w:rPr>
          <w:szCs w:val="22"/>
        </w:rPr>
        <w:t xml:space="preserve">collect 911 fees or charges (as defined in this subpart) from commercial mobile services, IP-enabled voice services, and other emergency communications services.  </w:t>
      </w:r>
      <w:bookmarkEnd w:id="0"/>
      <w:r w:rsidRPr="00905C2B">
        <w:rPr>
          <w:szCs w:val="22"/>
        </w:rPr>
        <w:t xml:space="preserve">  </w:t>
      </w:r>
    </w:p>
    <w:p w:rsidR="007D5EBF" w:rsidRPr="00905C2B" w:rsidP="007D5EBF" w14:paraId="4E52187C" w14:textId="77777777">
      <w:pPr>
        <w:pStyle w:val="ColorfulList-Accent11"/>
        <w:shd w:val="clear" w:color="auto" w:fill="FFFFFF"/>
        <w:ind w:left="0"/>
        <w:contextualSpacing/>
        <w:textAlignment w:val="baseline"/>
        <w:rPr>
          <w:szCs w:val="22"/>
        </w:rPr>
      </w:pPr>
    </w:p>
    <w:p w:rsidR="007D5EBF" w:rsidRPr="00905C2B" w:rsidP="007D5EBF" w14:paraId="3E822371" w14:textId="77777777">
      <w:pPr>
        <w:rPr>
          <w:b/>
          <w:bCs/>
          <w:szCs w:val="22"/>
        </w:rPr>
      </w:pPr>
      <w:r w:rsidRPr="00905C2B">
        <w:rPr>
          <w:b/>
          <w:bCs/>
          <w:szCs w:val="22"/>
        </w:rPr>
        <w:t>§ 9.22 Definitions.</w:t>
      </w:r>
    </w:p>
    <w:p w:rsidR="007D5EBF" w:rsidRPr="00905C2B" w:rsidP="007D5EBF" w14:paraId="21966A16" w14:textId="77777777">
      <w:pPr>
        <w:rPr>
          <w:b/>
          <w:bCs/>
          <w:szCs w:val="22"/>
        </w:rPr>
      </w:pPr>
    </w:p>
    <w:p w:rsidR="007D5EBF" w:rsidRPr="00905C2B" w:rsidP="007D5EBF" w14:paraId="2270A523" w14:textId="04E9C15E">
      <w:pPr>
        <w:rPr>
          <w:szCs w:val="22"/>
        </w:rPr>
      </w:pPr>
      <w:r w:rsidRPr="00905C2B">
        <w:rPr>
          <w:szCs w:val="22"/>
        </w:rPr>
        <w:t xml:space="preserve">For purposes of this subpart, the terms </w:t>
      </w:r>
      <w:r>
        <w:rPr>
          <w:szCs w:val="22"/>
        </w:rPr>
        <w:t xml:space="preserve">in this section </w:t>
      </w:r>
      <w:r w:rsidRPr="00905C2B">
        <w:rPr>
          <w:szCs w:val="22"/>
        </w:rPr>
        <w:t>have the following meaning</w:t>
      </w:r>
      <w:r>
        <w:rPr>
          <w:szCs w:val="22"/>
        </w:rPr>
        <w:t xml:space="preserve">s set forth </w:t>
      </w:r>
      <w:r w:rsidR="00D124B6">
        <w:rPr>
          <w:szCs w:val="22"/>
        </w:rPr>
        <w:t>in this section</w:t>
      </w:r>
      <w:r>
        <w:rPr>
          <w:szCs w:val="22"/>
        </w:rPr>
        <w:t xml:space="preserve">.  Furthermore, where the Commission uses the term “acceptable” in this subpart, it is for purposes of </w:t>
      </w:r>
      <w:r w:rsidR="00D124B6">
        <w:rPr>
          <w:szCs w:val="22"/>
        </w:rPr>
        <w:t xml:space="preserve">the </w:t>
      </w:r>
      <w:r>
        <w:t>Consolidated Appropriations Act, 2021, Pub. L. 116-260, Division FF, Title IX, section 902</w:t>
      </w:r>
      <w:r w:rsidRPr="00905C2B">
        <w:rPr>
          <w:snapToGrid/>
          <w:szCs w:val="22"/>
        </w:rPr>
        <w:t>(c)(1)(C)</w:t>
      </w:r>
      <w:r>
        <w:t>.</w:t>
      </w:r>
    </w:p>
    <w:p w:rsidR="007D5EBF" w:rsidRPr="00905C2B" w:rsidP="007D5EBF" w14:paraId="567BECB5" w14:textId="77777777">
      <w:pPr>
        <w:rPr>
          <w:szCs w:val="22"/>
        </w:rPr>
      </w:pPr>
    </w:p>
    <w:p w:rsidR="007D5EBF" w:rsidRPr="00905C2B" w:rsidP="007D5EBF" w14:paraId="6B34B00C" w14:textId="77777777">
      <w:pPr>
        <w:kinsoku w:val="0"/>
        <w:overflowPunct w:val="0"/>
        <w:spacing w:after="120"/>
        <w:rPr>
          <w:szCs w:val="22"/>
        </w:rPr>
      </w:pPr>
      <w:r w:rsidRPr="00905C2B">
        <w:rPr>
          <w:i/>
          <w:iCs/>
          <w:szCs w:val="22"/>
        </w:rPr>
        <w:t>911</w:t>
      </w:r>
      <w:r w:rsidRPr="00905C2B">
        <w:rPr>
          <w:i/>
          <w:iCs/>
          <w:spacing w:val="-3"/>
          <w:szCs w:val="22"/>
        </w:rPr>
        <w:t xml:space="preserve"> </w:t>
      </w:r>
      <w:r w:rsidRPr="00905C2B">
        <w:rPr>
          <w:i/>
          <w:iCs/>
          <w:szCs w:val="22"/>
        </w:rPr>
        <w:t>fee</w:t>
      </w:r>
      <w:r w:rsidRPr="00905C2B">
        <w:rPr>
          <w:i/>
          <w:iCs/>
          <w:spacing w:val="-2"/>
          <w:szCs w:val="22"/>
        </w:rPr>
        <w:t xml:space="preserve"> </w:t>
      </w:r>
      <w:r w:rsidRPr="00905C2B">
        <w:rPr>
          <w:i/>
          <w:iCs/>
          <w:szCs w:val="22"/>
        </w:rPr>
        <w:t>or</w:t>
      </w:r>
      <w:r w:rsidRPr="00905C2B">
        <w:rPr>
          <w:i/>
          <w:iCs/>
          <w:spacing w:val="-3"/>
          <w:szCs w:val="22"/>
        </w:rPr>
        <w:t xml:space="preserve"> </w:t>
      </w:r>
      <w:r w:rsidRPr="00905C2B">
        <w:rPr>
          <w:i/>
          <w:iCs/>
          <w:szCs w:val="22"/>
        </w:rPr>
        <w:t>charge</w:t>
      </w:r>
      <w:r w:rsidRPr="00905C2B">
        <w:rPr>
          <w:szCs w:val="22"/>
        </w:rPr>
        <w:t>.  A fee</w:t>
      </w:r>
      <w:r w:rsidRPr="00905C2B">
        <w:rPr>
          <w:spacing w:val="-3"/>
          <w:szCs w:val="22"/>
        </w:rPr>
        <w:t xml:space="preserve"> </w:t>
      </w:r>
      <w:r w:rsidRPr="00905C2B">
        <w:rPr>
          <w:szCs w:val="22"/>
        </w:rPr>
        <w:t>or</w:t>
      </w:r>
      <w:r w:rsidRPr="00905C2B">
        <w:rPr>
          <w:w w:val="89"/>
          <w:szCs w:val="22"/>
        </w:rPr>
        <w:t xml:space="preserve"> </w:t>
      </w:r>
      <w:r w:rsidRPr="00905C2B">
        <w:rPr>
          <w:szCs w:val="22"/>
        </w:rPr>
        <w:t>charge</w:t>
      </w:r>
      <w:r w:rsidRPr="00905C2B">
        <w:rPr>
          <w:spacing w:val="30"/>
          <w:szCs w:val="22"/>
        </w:rPr>
        <w:t xml:space="preserve"> </w:t>
      </w:r>
      <w:r w:rsidRPr="00905C2B">
        <w:rPr>
          <w:szCs w:val="22"/>
        </w:rPr>
        <w:t>applicable</w:t>
      </w:r>
      <w:r w:rsidRPr="00905C2B">
        <w:rPr>
          <w:spacing w:val="31"/>
          <w:szCs w:val="22"/>
        </w:rPr>
        <w:t xml:space="preserve"> </w:t>
      </w:r>
      <w:r w:rsidRPr="00905C2B">
        <w:rPr>
          <w:szCs w:val="22"/>
        </w:rPr>
        <w:t>to</w:t>
      </w:r>
      <w:r w:rsidRPr="00905C2B">
        <w:rPr>
          <w:spacing w:val="31"/>
          <w:szCs w:val="22"/>
        </w:rPr>
        <w:t xml:space="preserve"> </w:t>
      </w:r>
      <w:r w:rsidRPr="00905C2B">
        <w:rPr>
          <w:szCs w:val="22"/>
        </w:rPr>
        <w:t>commercial</w:t>
      </w:r>
      <w:r w:rsidRPr="00905C2B">
        <w:rPr>
          <w:spacing w:val="31"/>
          <w:szCs w:val="22"/>
        </w:rPr>
        <w:t xml:space="preserve"> </w:t>
      </w:r>
      <w:r w:rsidRPr="00905C2B">
        <w:rPr>
          <w:szCs w:val="22"/>
        </w:rPr>
        <w:t>mobile</w:t>
      </w:r>
      <w:r w:rsidRPr="00905C2B">
        <w:rPr>
          <w:w w:val="87"/>
          <w:szCs w:val="22"/>
        </w:rPr>
        <w:t xml:space="preserve"> </w:t>
      </w:r>
      <w:r w:rsidRPr="00905C2B">
        <w:rPr>
          <w:szCs w:val="22"/>
        </w:rPr>
        <w:t>services,</w:t>
      </w:r>
      <w:r w:rsidRPr="00905C2B">
        <w:rPr>
          <w:spacing w:val="-8"/>
          <w:szCs w:val="22"/>
        </w:rPr>
        <w:t xml:space="preserve"> </w:t>
      </w:r>
      <w:r w:rsidRPr="00905C2B">
        <w:rPr>
          <w:szCs w:val="22"/>
        </w:rPr>
        <w:t>IP-enabled</w:t>
      </w:r>
      <w:r w:rsidRPr="00905C2B">
        <w:rPr>
          <w:spacing w:val="-7"/>
          <w:szCs w:val="22"/>
        </w:rPr>
        <w:t xml:space="preserve"> </w:t>
      </w:r>
      <w:r w:rsidRPr="00905C2B">
        <w:rPr>
          <w:szCs w:val="22"/>
        </w:rPr>
        <w:t>voice</w:t>
      </w:r>
      <w:r w:rsidRPr="00905C2B">
        <w:rPr>
          <w:spacing w:val="-8"/>
          <w:szCs w:val="22"/>
        </w:rPr>
        <w:t xml:space="preserve"> </w:t>
      </w:r>
      <w:r w:rsidRPr="00905C2B">
        <w:rPr>
          <w:szCs w:val="22"/>
        </w:rPr>
        <w:t>services, or other emergency communications services</w:t>
      </w:r>
      <w:r w:rsidRPr="00905C2B">
        <w:rPr>
          <w:spacing w:val="-7"/>
          <w:szCs w:val="22"/>
        </w:rPr>
        <w:t xml:space="preserve"> </w:t>
      </w:r>
      <w:r w:rsidRPr="00905C2B">
        <w:rPr>
          <w:szCs w:val="22"/>
        </w:rPr>
        <w:t>specifically</w:t>
      </w:r>
      <w:r w:rsidRPr="00905C2B">
        <w:rPr>
          <w:spacing w:val="-28"/>
          <w:szCs w:val="22"/>
        </w:rPr>
        <w:t xml:space="preserve"> </w:t>
      </w:r>
      <w:r w:rsidRPr="00905C2B">
        <w:rPr>
          <w:szCs w:val="22"/>
        </w:rPr>
        <w:t>designated</w:t>
      </w:r>
      <w:r w:rsidRPr="00905C2B">
        <w:rPr>
          <w:spacing w:val="-27"/>
          <w:szCs w:val="22"/>
        </w:rPr>
        <w:t xml:space="preserve"> </w:t>
      </w:r>
      <w:r w:rsidRPr="00905C2B">
        <w:rPr>
          <w:szCs w:val="22"/>
        </w:rPr>
        <w:t>by</w:t>
      </w:r>
      <w:r w:rsidRPr="00905C2B">
        <w:rPr>
          <w:spacing w:val="-27"/>
          <w:szCs w:val="22"/>
        </w:rPr>
        <w:t xml:space="preserve"> </w:t>
      </w:r>
      <w:r w:rsidRPr="00905C2B">
        <w:rPr>
          <w:szCs w:val="22"/>
        </w:rPr>
        <w:t>a</w:t>
      </w:r>
      <w:r w:rsidRPr="00905C2B">
        <w:rPr>
          <w:spacing w:val="-27"/>
          <w:szCs w:val="22"/>
        </w:rPr>
        <w:t xml:space="preserve"> </w:t>
      </w:r>
      <w:r w:rsidRPr="00905C2B">
        <w:rPr>
          <w:szCs w:val="22"/>
        </w:rPr>
        <w:t>State</w:t>
      </w:r>
      <w:r w:rsidRPr="00905C2B">
        <w:rPr>
          <w:spacing w:val="-27"/>
          <w:szCs w:val="22"/>
        </w:rPr>
        <w:t xml:space="preserve"> </w:t>
      </w:r>
      <w:r w:rsidRPr="00905C2B">
        <w:rPr>
          <w:szCs w:val="22"/>
        </w:rPr>
        <w:t>or</w:t>
      </w:r>
      <w:r w:rsidRPr="00905C2B">
        <w:rPr>
          <w:spacing w:val="-27"/>
          <w:szCs w:val="22"/>
        </w:rPr>
        <w:t xml:space="preserve"> </w:t>
      </w:r>
      <w:r w:rsidRPr="00905C2B">
        <w:rPr>
          <w:szCs w:val="22"/>
        </w:rPr>
        <w:t>taxing</w:t>
      </w:r>
      <w:r w:rsidRPr="00905C2B">
        <w:rPr>
          <w:spacing w:val="-27"/>
          <w:szCs w:val="22"/>
        </w:rPr>
        <w:t xml:space="preserve"> </w:t>
      </w:r>
      <w:r w:rsidRPr="00905C2B">
        <w:rPr>
          <w:szCs w:val="22"/>
        </w:rPr>
        <w:t>jurisdiction</w:t>
      </w:r>
      <w:r w:rsidRPr="00905C2B">
        <w:rPr>
          <w:spacing w:val="-14"/>
          <w:szCs w:val="22"/>
        </w:rPr>
        <w:t xml:space="preserve"> </w:t>
      </w:r>
      <w:r w:rsidRPr="00905C2B">
        <w:rPr>
          <w:szCs w:val="22"/>
        </w:rPr>
        <w:t>for</w:t>
      </w:r>
      <w:r w:rsidRPr="00905C2B">
        <w:rPr>
          <w:spacing w:val="-14"/>
          <w:szCs w:val="22"/>
        </w:rPr>
        <w:t xml:space="preserve"> </w:t>
      </w:r>
      <w:r w:rsidRPr="00905C2B">
        <w:rPr>
          <w:szCs w:val="22"/>
        </w:rPr>
        <w:t>the</w:t>
      </w:r>
      <w:r w:rsidRPr="00905C2B">
        <w:rPr>
          <w:spacing w:val="-13"/>
          <w:szCs w:val="22"/>
        </w:rPr>
        <w:t xml:space="preserve"> </w:t>
      </w:r>
      <w:r w:rsidRPr="00905C2B">
        <w:rPr>
          <w:szCs w:val="22"/>
        </w:rPr>
        <w:t xml:space="preserve">support or implementation of 911 services.  A 911 fee or charge shall also include </w:t>
      </w:r>
      <w:bookmarkStart w:id="1" w:name="_Hlk60926140"/>
      <w:r w:rsidRPr="00905C2B">
        <w:rPr>
          <w:szCs w:val="22"/>
        </w:rPr>
        <w:t>a fee or charge designated for the support of public safety, emergency services, or similar purposes if the purposes or allowable uses of such fee or charge include the support or implementation of 911 services</w:t>
      </w:r>
      <w:bookmarkEnd w:id="1"/>
      <w:r w:rsidRPr="00905C2B">
        <w:rPr>
          <w:szCs w:val="22"/>
        </w:rPr>
        <w:t>.</w:t>
      </w:r>
    </w:p>
    <w:p w:rsidR="007D5EBF" w:rsidRPr="00905C2B" w:rsidP="007D5EBF" w14:paraId="5F52A376" w14:textId="77777777">
      <w:pPr>
        <w:kinsoku w:val="0"/>
        <w:overflowPunct w:val="0"/>
        <w:spacing w:after="120"/>
        <w:rPr>
          <w:szCs w:val="22"/>
        </w:rPr>
      </w:pPr>
      <w:r w:rsidRPr="00905C2B">
        <w:rPr>
          <w:i/>
          <w:iCs/>
          <w:color w:val="333333"/>
          <w:szCs w:val="22"/>
        </w:rPr>
        <w:t>Diversion</w:t>
      </w:r>
      <w:r w:rsidRPr="00905C2B">
        <w:rPr>
          <w:color w:val="333333"/>
          <w:szCs w:val="22"/>
        </w:rPr>
        <w:t xml:space="preserve">.  </w:t>
      </w:r>
      <w:bookmarkStart w:id="2" w:name="_Hlk60922671"/>
      <w:r w:rsidRPr="00905C2B">
        <w:rPr>
          <w:color w:val="333333"/>
          <w:szCs w:val="22"/>
        </w:rPr>
        <w:t xml:space="preserve">The obligation or expenditure of a 911 fee or charge for a purpose or function other than the purposes and functions designated by the Commission as acceptable pursuant to </w:t>
      </w:r>
      <w:r w:rsidRPr="00905C2B">
        <w:rPr>
          <w:szCs w:val="22"/>
        </w:rPr>
        <w:t>§ 9.23</w:t>
      </w:r>
      <w:r w:rsidRPr="00905C2B">
        <w:rPr>
          <w:color w:val="333333"/>
          <w:szCs w:val="22"/>
        </w:rPr>
        <w:t>.</w:t>
      </w:r>
      <w:bookmarkEnd w:id="2"/>
      <w:r w:rsidRPr="00905C2B">
        <w:rPr>
          <w:color w:val="333333"/>
          <w:szCs w:val="22"/>
        </w:rPr>
        <w:t xml:space="preserve">  Diversion also includes distribution of 911 fees to a political subdivision that obligates or expends such fees for a purpose or function other than those designated as acceptable by the Commission pursuant to </w:t>
      </w:r>
      <w:r w:rsidRPr="00905C2B">
        <w:rPr>
          <w:szCs w:val="22"/>
        </w:rPr>
        <w:t>§ 9.23</w:t>
      </w:r>
      <w:r w:rsidRPr="00905C2B">
        <w:rPr>
          <w:color w:val="333333"/>
          <w:szCs w:val="22"/>
        </w:rPr>
        <w:t xml:space="preserve">.   </w:t>
      </w:r>
    </w:p>
    <w:p w:rsidR="007D5EBF" w:rsidRPr="00905C2B" w:rsidP="007D5EBF" w14:paraId="0055BD50" w14:textId="77777777">
      <w:pPr>
        <w:kinsoku w:val="0"/>
        <w:overflowPunct w:val="0"/>
        <w:spacing w:after="120"/>
        <w:rPr>
          <w:szCs w:val="22"/>
        </w:rPr>
      </w:pPr>
      <w:r w:rsidRPr="00905C2B">
        <w:rPr>
          <w:i/>
          <w:iCs/>
          <w:szCs w:val="22"/>
        </w:rPr>
        <w:t>Other emergency communications services</w:t>
      </w:r>
      <w:r w:rsidRPr="00905C2B">
        <w:rPr>
          <w:szCs w:val="22"/>
        </w:rPr>
        <w:t>.  The provision of emergency information to a public safety answering point via wire or radio communications, and may include 911 and E911 service.</w:t>
      </w:r>
    </w:p>
    <w:p w:rsidR="007D5EBF" w:rsidRPr="00905C2B" w:rsidP="007D5EBF" w14:paraId="744C5890" w14:textId="77777777">
      <w:pPr>
        <w:kinsoku w:val="0"/>
        <w:overflowPunct w:val="0"/>
        <w:spacing w:after="120"/>
        <w:rPr>
          <w:szCs w:val="22"/>
        </w:rPr>
      </w:pPr>
      <w:r w:rsidRPr="00905C2B">
        <w:rPr>
          <w:i/>
          <w:iCs/>
          <w:szCs w:val="22"/>
        </w:rPr>
        <w:t>State</w:t>
      </w:r>
      <w:r w:rsidRPr="00905C2B">
        <w:rPr>
          <w:szCs w:val="22"/>
        </w:rPr>
        <w:t>.  Any of the several States, the District of Columbia, or any territory or possession of the United States.</w:t>
      </w:r>
    </w:p>
    <w:p w:rsidR="007D5EBF" w:rsidRPr="00905C2B" w:rsidP="007D5EBF" w14:paraId="2FEE767D" w14:textId="77777777">
      <w:pPr>
        <w:rPr>
          <w:szCs w:val="22"/>
        </w:rPr>
      </w:pPr>
      <w:r w:rsidRPr="00905C2B">
        <w:rPr>
          <w:i/>
          <w:iCs/>
          <w:szCs w:val="22"/>
        </w:rPr>
        <w:t>State or taxing jurisdiction</w:t>
      </w:r>
      <w:r w:rsidRPr="00905C2B">
        <w:rPr>
          <w:szCs w:val="22"/>
        </w:rPr>
        <w:t xml:space="preserve">.  A State, political subdivision thereof, Indian Tribe, or village or regional corporation serving a region established pursuant to the Alaska Native Claims Settlement Act (43 U.S.C. 1601 </w:t>
      </w:r>
      <w:r w:rsidRPr="00141895">
        <w:rPr>
          <w:i/>
          <w:iCs/>
          <w:szCs w:val="22"/>
        </w:rPr>
        <w:t>et seq</w:t>
      </w:r>
      <w:r w:rsidRPr="00905C2B">
        <w:rPr>
          <w:szCs w:val="22"/>
        </w:rPr>
        <w:t>.).</w:t>
      </w:r>
    </w:p>
    <w:p w:rsidR="007D5EBF" w:rsidRPr="00905C2B" w:rsidP="007D5EBF" w14:paraId="6A446A1B" w14:textId="77777777">
      <w:pPr>
        <w:rPr>
          <w:szCs w:val="22"/>
        </w:rPr>
      </w:pPr>
    </w:p>
    <w:p w:rsidR="007D5EBF" w:rsidRPr="00905C2B" w:rsidP="007D5EBF" w14:paraId="5DA77FB3" w14:textId="7348FFD4">
      <w:pPr>
        <w:rPr>
          <w:b/>
          <w:bCs/>
          <w:szCs w:val="22"/>
        </w:rPr>
      </w:pPr>
      <w:r w:rsidRPr="00905C2B">
        <w:rPr>
          <w:b/>
          <w:bCs/>
          <w:szCs w:val="22"/>
        </w:rPr>
        <w:t>§ 9.23 Designation of acceptable obligations or expenditures</w:t>
      </w:r>
      <w:r w:rsidRPr="007E6E8C">
        <w:rPr>
          <w:b/>
          <w:bCs/>
          <w:szCs w:val="22"/>
        </w:rPr>
        <w:t xml:space="preserve"> </w:t>
      </w:r>
      <w:r>
        <w:rPr>
          <w:b/>
          <w:bCs/>
          <w:szCs w:val="22"/>
        </w:rPr>
        <w:t xml:space="preserve">for purposes of </w:t>
      </w:r>
      <w:r w:rsidR="00D124B6">
        <w:rPr>
          <w:b/>
          <w:bCs/>
          <w:szCs w:val="22"/>
        </w:rPr>
        <w:t>the</w:t>
      </w:r>
      <w:r>
        <w:rPr>
          <w:b/>
          <w:bCs/>
          <w:szCs w:val="22"/>
        </w:rPr>
        <w:t xml:space="preserve"> </w:t>
      </w:r>
      <w:r w:rsidRPr="00345BFC">
        <w:rPr>
          <w:b/>
          <w:bCs/>
        </w:rPr>
        <w:t xml:space="preserve">Consolidated Appropriations Act, 2021, Division FF, Title IX, </w:t>
      </w:r>
      <w:r>
        <w:rPr>
          <w:b/>
          <w:bCs/>
        </w:rPr>
        <w:t>s</w:t>
      </w:r>
      <w:r w:rsidRPr="00345BFC">
        <w:rPr>
          <w:b/>
          <w:bCs/>
        </w:rPr>
        <w:t>ection 902</w:t>
      </w:r>
      <w:r w:rsidRPr="00345BFC">
        <w:rPr>
          <w:b/>
          <w:bCs/>
          <w:snapToGrid/>
          <w:szCs w:val="22"/>
        </w:rPr>
        <w:t>(c)(1)(C)</w:t>
      </w:r>
      <w:r w:rsidRPr="00003016">
        <w:rPr>
          <w:b/>
          <w:bCs/>
          <w:szCs w:val="22"/>
        </w:rPr>
        <w:t>.</w:t>
      </w:r>
    </w:p>
    <w:p w:rsidR="007D5EBF" w:rsidRPr="00905C2B" w:rsidP="007D5EBF" w14:paraId="7DDAD376" w14:textId="77777777">
      <w:pPr>
        <w:rPr>
          <w:b/>
          <w:bCs/>
          <w:szCs w:val="22"/>
        </w:rPr>
      </w:pPr>
    </w:p>
    <w:p w:rsidR="007D5EBF" w:rsidRPr="00905C2B" w:rsidP="007D5EBF" w14:paraId="4EEF431D" w14:textId="77777777">
      <w:pPr>
        <w:pStyle w:val="ParaNum"/>
        <w:numPr>
          <w:ilvl w:val="0"/>
          <w:numId w:val="34"/>
        </w:numPr>
        <w:tabs>
          <w:tab w:val="clear" w:pos="1440"/>
        </w:tabs>
        <w:rPr>
          <w:szCs w:val="22"/>
        </w:rPr>
      </w:pPr>
      <w:r w:rsidRPr="00905C2B">
        <w:rPr>
          <w:szCs w:val="22"/>
        </w:rPr>
        <w:t xml:space="preserve">Acceptable purposes and functions for the obligation or expenditure of 911 fees or charges </w:t>
      </w:r>
      <w:r>
        <w:rPr>
          <w:szCs w:val="22"/>
        </w:rPr>
        <w:t xml:space="preserve">for purposes of section 902 </w:t>
      </w:r>
      <w:r w:rsidRPr="00905C2B">
        <w:rPr>
          <w:szCs w:val="22"/>
        </w:rPr>
        <w:t>are limited to:</w:t>
      </w:r>
    </w:p>
    <w:p w:rsidR="007D5EBF" w:rsidRPr="00905C2B" w:rsidP="007D5EBF" w14:paraId="4BEE8314" w14:textId="77777777">
      <w:pPr>
        <w:pStyle w:val="ParaNum"/>
        <w:numPr>
          <w:ilvl w:val="0"/>
          <w:numId w:val="36"/>
        </w:numPr>
        <w:tabs>
          <w:tab w:val="clear" w:pos="1440"/>
        </w:tabs>
        <w:rPr>
          <w:szCs w:val="22"/>
        </w:rPr>
      </w:pPr>
      <w:r w:rsidRPr="00905C2B">
        <w:rPr>
          <w:szCs w:val="22"/>
        </w:rPr>
        <w:t>Support and implementation of 911 services provided by or in the State or taxing jurisdiction imposing the fee or charge; and</w:t>
      </w:r>
    </w:p>
    <w:p w:rsidR="007D5EBF" w:rsidRPr="00905C2B" w:rsidP="007D5EBF" w14:paraId="1827846A" w14:textId="77777777">
      <w:pPr>
        <w:pStyle w:val="ParaNum"/>
        <w:numPr>
          <w:ilvl w:val="0"/>
          <w:numId w:val="36"/>
        </w:numPr>
        <w:tabs>
          <w:tab w:val="clear" w:pos="1440"/>
        </w:tabs>
        <w:rPr>
          <w:szCs w:val="22"/>
        </w:rPr>
      </w:pPr>
      <w:r w:rsidRPr="00905C2B">
        <w:rPr>
          <w:szCs w:val="22"/>
        </w:rPr>
        <w:t>Operational expenses of public safety answering points within such State or taxing jurisdiction.</w:t>
      </w:r>
    </w:p>
    <w:p w:rsidR="007D5EBF" w:rsidRPr="00905C2B" w:rsidP="007D5EBF" w14:paraId="3F0F8A6F" w14:textId="77777777">
      <w:pPr>
        <w:pStyle w:val="ParaNum"/>
        <w:numPr>
          <w:ilvl w:val="0"/>
          <w:numId w:val="34"/>
        </w:numPr>
        <w:tabs>
          <w:tab w:val="clear" w:pos="1440"/>
        </w:tabs>
        <w:rPr>
          <w:szCs w:val="22"/>
        </w:rPr>
      </w:pPr>
      <w:r w:rsidRPr="00905C2B">
        <w:rPr>
          <w:szCs w:val="22"/>
        </w:rPr>
        <w:t>Examples of acceptable purposes and functions include, but are not limited to, the following, provided that the State or taxing jurisdiction can adequately document that it has obligated or spent the fees or charges in question for these purposes and functions:</w:t>
      </w:r>
    </w:p>
    <w:p w:rsidR="007D5EBF" w:rsidRPr="00905C2B" w:rsidP="007D5EBF" w14:paraId="523E9971" w14:textId="77777777">
      <w:pPr>
        <w:pStyle w:val="ParaNum"/>
        <w:numPr>
          <w:ilvl w:val="0"/>
          <w:numId w:val="41"/>
        </w:numPr>
        <w:tabs>
          <w:tab w:val="clear" w:pos="1440"/>
        </w:tabs>
        <w:rPr>
          <w:szCs w:val="22"/>
        </w:rPr>
      </w:pPr>
      <w:r w:rsidRPr="00905C2B">
        <w:rPr>
          <w:szCs w:val="22"/>
        </w:rPr>
        <w:t xml:space="preserve">PSAP operating costs, including lease, purchase, maintenance, </w:t>
      </w:r>
      <w:r>
        <w:rPr>
          <w:szCs w:val="22"/>
        </w:rPr>
        <w:t xml:space="preserve">replacement, </w:t>
      </w:r>
      <w:r w:rsidRPr="00905C2B">
        <w:rPr>
          <w:szCs w:val="22"/>
        </w:rPr>
        <w:t>and upgrade of customer premises equipment (CPE) (hardware and software), computer aided dispatch (CAD) equipment (hardware and software), and the PSAP building/facility</w:t>
      </w:r>
      <w:r>
        <w:rPr>
          <w:szCs w:val="22"/>
        </w:rPr>
        <w:t xml:space="preserve"> </w:t>
      </w:r>
      <w:r w:rsidRPr="00576D1C">
        <w:rPr>
          <w:szCs w:val="22"/>
        </w:rPr>
        <w:t>and including NG911, cybersecurity, pre-arrival instructions, and emergency notification systems (ENS).  PSAP operating costs include technological innovation that supports 911</w:t>
      </w:r>
      <w:r w:rsidRPr="00905C2B">
        <w:rPr>
          <w:szCs w:val="22"/>
        </w:rPr>
        <w:t>;</w:t>
      </w:r>
    </w:p>
    <w:p w:rsidR="007D5EBF" w:rsidRPr="00905C2B" w:rsidP="007D5EBF" w14:paraId="46916B14" w14:textId="77777777">
      <w:pPr>
        <w:pStyle w:val="ParaNum"/>
        <w:numPr>
          <w:ilvl w:val="0"/>
          <w:numId w:val="0"/>
        </w:numPr>
        <w:ind w:left="720"/>
        <w:rPr>
          <w:szCs w:val="22"/>
        </w:rPr>
      </w:pPr>
      <w:r w:rsidRPr="00905C2B">
        <w:rPr>
          <w:szCs w:val="22"/>
        </w:rPr>
        <w:t>(2)  PSAP personnel costs, including telecommunicators’ salaries and training;</w:t>
      </w:r>
    </w:p>
    <w:p w:rsidR="007D5EBF" w:rsidRPr="00905C2B" w:rsidP="007D5EBF" w14:paraId="53C5AEBD" w14:textId="77777777">
      <w:pPr>
        <w:pStyle w:val="ParaNum"/>
        <w:numPr>
          <w:ilvl w:val="0"/>
          <w:numId w:val="36"/>
        </w:numPr>
        <w:tabs>
          <w:tab w:val="clear" w:pos="1440"/>
        </w:tabs>
        <w:rPr>
          <w:szCs w:val="22"/>
        </w:rPr>
      </w:pPr>
      <w:r w:rsidRPr="00905C2B">
        <w:rPr>
          <w:szCs w:val="22"/>
        </w:rPr>
        <w:t>PSAP administration, including costs for administration of 911 services and travel expenses associated with the provision of 911 services;</w:t>
      </w:r>
    </w:p>
    <w:p w:rsidR="007D5EBF" w:rsidRPr="00905C2B" w:rsidP="007D5EBF" w14:paraId="61CD65A5" w14:textId="77777777">
      <w:pPr>
        <w:pStyle w:val="ParaNum"/>
        <w:numPr>
          <w:ilvl w:val="0"/>
          <w:numId w:val="36"/>
        </w:numPr>
        <w:tabs>
          <w:tab w:val="clear" w:pos="1440"/>
        </w:tabs>
        <w:rPr>
          <w:szCs w:val="22"/>
        </w:rPr>
      </w:pPr>
      <w:r w:rsidRPr="00905C2B">
        <w:rPr>
          <w:szCs w:val="22"/>
        </w:rPr>
        <w:t>Integrating public safety/first responder dispatch and 911 systems, including lease, purchase, maintenance, and upgrade of CAD hardware and software to support integrated 911 and public safety dispatch operations;</w:t>
      </w:r>
      <w:r>
        <w:rPr>
          <w:szCs w:val="22"/>
        </w:rPr>
        <w:t xml:space="preserve"> and</w:t>
      </w:r>
    </w:p>
    <w:p w:rsidR="007D5EBF" w:rsidRPr="00905C2B" w:rsidP="007D5EBF" w14:paraId="1FC154BE" w14:textId="77777777">
      <w:pPr>
        <w:pStyle w:val="ParaNum"/>
        <w:numPr>
          <w:ilvl w:val="0"/>
          <w:numId w:val="36"/>
        </w:numPr>
        <w:tabs>
          <w:tab w:val="clear" w:pos="1440"/>
        </w:tabs>
        <w:rPr>
          <w:szCs w:val="22"/>
        </w:rPr>
      </w:pPr>
      <w:r w:rsidRPr="00905C2B">
        <w:rPr>
          <w:szCs w:val="22"/>
        </w:rPr>
        <w:t xml:space="preserve">Providing for the interoperability of 911 systems with one another and with public safety/first responder radio systems. </w:t>
      </w:r>
    </w:p>
    <w:p w:rsidR="007D5EBF" w:rsidRPr="00905C2B" w:rsidP="007D5EBF" w14:paraId="56DCC2C8" w14:textId="77777777">
      <w:pPr>
        <w:pStyle w:val="ParaNum"/>
        <w:numPr>
          <w:ilvl w:val="0"/>
          <w:numId w:val="34"/>
        </w:numPr>
        <w:tabs>
          <w:tab w:val="clear" w:pos="1440"/>
        </w:tabs>
        <w:rPr>
          <w:szCs w:val="22"/>
        </w:rPr>
      </w:pPr>
      <w:r w:rsidRPr="00905C2B">
        <w:rPr>
          <w:szCs w:val="22"/>
        </w:rPr>
        <w:t xml:space="preserve">Examples of purposes and functions that are not acceptable for the obligation or expenditure of 911 fees or charges </w:t>
      </w:r>
      <w:r>
        <w:rPr>
          <w:szCs w:val="22"/>
        </w:rPr>
        <w:t xml:space="preserve">for purposes of section 902 </w:t>
      </w:r>
      <w:r w:rsidRPr="00905C2B">
        <w:rPr>
          <w:szCs w:val="22"/>
        </w:rPr>
        <w:t>include, but are not limited to, the following:</w:t>
      </w:r>
    </w:p>
    <w:p w:rsidR="007D5EBF" w:rsidRPr="00905C2B" w:rsidP="007D5EBF" w14:paraId="6E29509D" w14:textId="77777777">
      <w:pPr>
        <w:pStyle w:val="ParaNum"/>
        <w:numPr>
          <w:ilvl w:val="0"/>
          <w:numId w:val="35"/>
        </w:numPr>
        <w:tabs>
          <w:tab w:val="clear" w:pos="1440"/>
        </w:tabs>
        <w:rPr>
          <w:szCs w:val="22"/>
        </w:rPr>
      </w:pPr>
      <w:r w:rsidRPr="00905C2B">
        <w:rPr>
          <w:szCs w:val="22"/>
        </w:rPr>
        <w:t>Transfer of 911 fees into a State or other jurisdiction’s general fund or other fund for non-911 purposes;</w:t>
      </w:r>
    </w:p>
    <w:p w:rsidR="007D5EBF" w:rsidRPr="00905C2B" w:rsidP="007D5EBF" w14:paraId="42068EB2" w14:textId="77777777">
      <w:pPr>
        <w:pStyle w:val="ParaNum"/>
        <w:numPr>
          <w:ilvl w:val="0"/>
          <w:numId w:val="35"/>
        </w:numPr>
        <w:tabs>
          <w:tab w:val="clear" w:pos="1440"/>
        </w:tabs>
        <w:rPr>
          <w:szCs w:val="22"/>
        </w:rPr>
      </w:pPr>
      <w:r w:rsidRPr="00905C2B">
        <w:rPr>
          <w:szCs w:val="22"/>
        </w:rPr>
        <w:t>Equipment or infrastructure for constructing or expanding non-public safety communications networks (e.g., commercial cellular networks);</w:t>
      </w:r>
      <w:r>
        <w:rPr>
          <w:szCs w:val="22"/>
        </w:rPr>
        <w:t xml:space="preserve"> and</w:t>
      </w:r>
    </w:p>
    <w:p w:rsidR="007D5EBF" w:rsidRPr="00905C2B" w:rsidP="007D5EBF" w14:paraId="109D1FA7" w14:textId="77777777">
      <w:pPr>
        <w:pStyle w:val="ParaNum"/>
        <w:numPr>
          <w:ilvl w:val="0"/>
          <w:numId w:val="35"/>
        </w:numPr>
        <w:tabs>
          <w:tab w:val="clear" w:pos="1440"/>
        </w:tabs>
        <w:rPr>
          <w:szCs w:val="22"/>
        </w:rPr>
      </w:pPr>
      <w:r w:rsidRPr="00905C2B">
        <w:rPr>
          <w:szCs w:val="22"/>
        </w:rPr>
        <w:t xml:space="preserve">Equipment or infrastructure for law enforcement, firefighters, and other public safety/first responder entities that does not </w:t>
      </w:r>
      <w:r>
        <w:rPr>
          <w:szCs w:val="22"/>
        </w:rPr>
        <w:t>directly support providing 911 services</w:t>
      </w:r>
      <w:r w:rsidRPr="00905C2B">
        <w:rPr>
          <w:szCs w:val="22"/>
        </w:rPr>
        <w:t>.</w:t>
      </w:r>
    </w:p>
    <w:p w:rsidR="007D5EBF" w:rsidRPr="00905C2B" w:rsidP="007D5EBF" w14:paraId="76D40D1A" w14:textId="77777777">
      <w:pPr>
        <w:pStyle w:val="ListParagraph"/>
        <w:numPr>
          <w:ilvl w:val="0"/>
          <w:numId w:val="34"/>
        </w:numPr>
        <w:rPr>
          <w:sz w:val="22"/>
          <w:szCs w:val="22"/>
        </w:rPr>
      </w:pPr>
      <w:r w:rsidRPr="00905C2B">
        <w:rPr>
          <w:sz w:val="22"/>
          <w:szCs w:val="22"/>
        </w:rPr>
        <w:t>If a State or taxing jurisdiction collects fees or charges designated for “public safety,” “emergency services,” or similar purposes that include the support or implementation of 911 services, the obligation or expenditure of such fees or charges shall not constitute diversion provided that the State or taxing jurisdiction:</w:t>
      </w:r>
    </w:p>
    <w:p w:rsidR="007D5EBF" w:rsidRPr="00905C2B" w:rsidP="007D5EBF" w14:paraId="40078A91" w14:textId="77777777">
      <w:pPr>
        <w:pStyle w:val="ListParagraph"/>
        <w:ind w:left="720"/>
        <w:rPr>
          <w:sz w:val="22"/>
          <w:szCs w:val="22"/>
        </w:rPr>
      </w:pPr>
    </w:p>
    <w:p w:rsidR="007D5EBF" w:rsidRPr="00905C2B" w:rsidP="007D5EBF" w14:paraId="7C5BBAB5" w14:textId="77777777">
      <w:pPr>
        <w:pStyle w:val="ParaNum"/>
        <w:numPr>
          <w:ilvl w:val="0"/>
          <w:numId w:val="40"/>
        </w:numPr>
        <w:tabs>
          <w:tab w:val="clear" w:pos="1440"/>
        </w:tabs>
        <w:rPr>
          <w:szCs w:val="22"/>
        </w:rPr>
      </w:pPr>
      <w:r w:rsidRPr="00905C2B">
        <w:rPr>
          <w:szCs w:val="22"/>
        </w:rPr>
        <w:t>Specifies the amount or percentage of such fees or charges that is dedicated to 911 services;</w:t>
      </w:r>
    </w:p>
    <w:p w:rsidR="007D5EBF" w:rsidRPr="00905C2B" w:rsidP="007D5EBF" w14:paraId="6616B061" w14:textId="77777777">
      <w:pPr>
        <w:pStyle w:val="ParaNum"/>
        <w:numPr>
          <w:ilvl w:val="0"/>
          <w:numId w:val="40"/>
        </w:numPr>
        <w:tabs>
          <w:tab w:val="clear" w:pos="1440"/>
        </w:tabs>
        <w:rPr>
          <w:szCs w:val="22"/>
        </w:rPr>
      </w:pPr>
      <w:r w:rsidRPr="00905C2B">
        <w:rPr>
          <w:szCs w:val="22"/>
        </w:rPr>
        <w:t xml:space="preserve">Ensures that the 911 portion of such fees or charges is segregated and not commingled with any other funds; and </w:t>
      </w:r>
    </w:p>
    <w:p w:rsidR="007D5EBF" w:rsidRPr="00905C2B" w:rsidP="007D5EBF" w14:paraId="0F79788B" w14:textId="77777777">
      <w:pPr>
        <w:pStyle w:val="ParaNum"/>
        <w:numPr>
          <w:ilvl w:val="0"/>
          <w:numId w:val="40"/>
        </w:numPr>
        <w:tabs>
          <w:tab w:val="clear" w:pos="1440"/>
        </w:tabs>
        <w:rPr>
          <w:b/>
          <w:bCs/>
          <w:szCs w:val="22"/>
        </w:rPr>
      </w:pPr>
      <w:r w:rsidRPr="00905C2B">
        <w:rPr>
          <w:szCs w:val="22"/>
        </w:rPr>
        <w:t>Obligates or expends the 911 portion of such fees or charges for acceptable purposes and functions as defined under this section.</w:t>
      </w:r>
    </w:p>
    <w:p w:rsidR="007D5EBF" w:rsidRPr="00905C2B" w:rsidP="007D5EBF" w14:paraId="42123746" w14:textId="77777777">
      <w:pPr>
        <w:pStyle w:val="ParaNum"/>
        <w:keepNext/>
        <w:widowControl/>
        <w:numPr>
          <w:ilvl w:val="0"/>
          <w:numId w:val="0"/>
        </w:numPr>
        <w:rPr>
          <w:b/>
          <w:bCs/>
          <w:szCs w:val="22"/>
        </w:rPr>
      </w:pPr>
      <w:r w:rsidRPr="00905C2B">
        <w:rPr>
          <w:b/>
          <w:bCs/>
          <w:szCs w:val="22"/>
        </w:rPr>
        <w:t>§ 9.24 Petition regarding additional purposes and functions.</w:t>
      </w:r>
    </w:p>
    <w:p w:rsidR="007D5EBF" w:rsidRPr="00905C2B" w:rsidP="007D5EBF" w14:paraId="4FDF5CE8" w14:textId="77777777">
      <w:pPr>
        <w:pStyle w:val="ColorfulList-Accent11"/>
        <w:widowControl/>
        <w:numPr>
          <w:ilvl w:val="0"/>
          <w:numId w:val="37"/>
        </w:numPr>
        <w:shd w:val="clear" w:color="auto" w:fill="FFFFFF"/>
        <w:contextualSpacing/>
        <w:textAlignment w:val="baseline"/>
        <w:rPr>
          <w:szCs w:val="22"/>
        </w:rPr>
      </w:pPr>
      <w:r w:rsidRPr="00905C2B">
        <w:rPr>
          <w:szCs w:val="22"/>
        </w:rPr>
        <w:t xml:space="preserve">A State or taxing jurisdiction may petition the Commission for a determination that an obligation or expenditure of 911 fees or charges for a purpose or function other than the purposes or functions designated as acceptable in § 9.23 should be treated as an acceptable purpose or function.  Such a petition must meet the requirements applicable to a petition for declaratory ruling under § 1.2 of this chapter. </w:t>
      </w:r>
    </w:p>
    <w:p w:rsidR="007D5EBF" w:rsidRPr="00905C2B" w:rsidP="007D5EBF" w14:paraId="46FC2060" w14:textId="77777777">
      <w:pPr>
        <w:pStyle w:val="ColorfulList-Accent11"/>
        <w:shd w:val="clear" w:color="auto" w:fill="FFFFFF"/>
        <w:contextualSpacing/>
        <w:textAlignment w:val="baseline"/>
        <w:rPr>
          <w:szCs w:val="22"/>
        </w:rPr>
      </w:pPr>
    </w:p>
    <w:p w:rsidR="007D5EBF" w:rsidRPr="00905C2B" w:rsidP="007D5EBF" w14:paraId="5172D286" w14:textId="77777777">
      <w:pPr>
        <w:pStyle w:val="ColorfulList-Accent11"/>
        <w:numPr>
          <w:ilvl w:val="0"/>
          <w:numId w:val="37"/>
        </w:numPr>
        <w:shd w:val="clear" w:color="auto" w:fill="FFFFFF"/>
        <w:contextualSpacing/>
        <w:textAlignment w:val="baseline"/>
        <w:rPr>
          <w:szCs w:val="22"/>
        </w:rPr>
      </w:pPr>
      <w:r w:rsidRPr="00905C2B">
        <w:rPr>
          <w:szCs w:val="22"/>
        </w:rPr>
        <w:t>The Commission shall grant the petition if the State or taxing jurisdiction provides sufficient documentation to demonstrate that the purpose or function:</w:t>
      </w:r>
    </w:p>
    <w:p w:rsidR="007D5EBF" w:rsidRPr="00905C2B" w:rsidP="007D5EBF" w14:paraId="3D033BBE" w14:textId="77777777">
      <w:pPr>
        <w:pStyle w:val="ListParagraph"/>
        <w:rPr>
          <w:sz w:val="22"/>
          <w:szCs w:val="22"/>
        </w:rPr>
      </w:pPr>
    </w:p>
    <w:p w:rsidR="007D5EBF" w:rsidRPr="00905C2B" w:rsidP="007D5EBF" w14:paraId="4017B26D" w14:textId="77777777">
      <w:pPr>
        <w:pStyle w:val="ColorfulList-Accent11"/>
        <w:numPr>
          <w:ilvl w:val="0"/>
          <w:numId w:val="38"/>
        </w:numPr>
        <w:shd w:val="clear" w:color="auto" w:fill="FFFFFF"/>
        <w:spacing w:after="240"/>
        <w:contextualSpacing/>
        <w:textAlignment w:val="baseline"/>
        <w:rPr>
          <w:szCs w:val="22"/>
        </w:rPr>
      </w:pPr>
      <w:r>
        <w:rPr>
          <w:szCs w:val="22"/>
        </w:rPr>
        <w:t>S</w:t>
      </w:r>
      <w:r w:rsidRPr="00905C2B">
        <w:rPr>
          <w:szCs w:val="22"/>
        </w:rPr>
        <w:t>upports public safety answering point functions or operations</w:t>
      </w:r>
      <w:r>
        <w:rPr>
          <w:szCs w:val="22"/>
        </w:rPr>
        <w:t>;</w:t>
      </w:r>
      <w:r w:rsidRPr="00905C2B">
        <w:rPr>
          <w:szCs w:val="22"/>
        </w:rPr>
        <w:t xml:space="preserve"> or</w:t>
      </w:r>
    </w:p>
    <w:p w:rsidR="007D5EBF" w:rsidRPr="00905C2B" w:rsidP="007D5EBF" w14:paraId="6824E799" w14:textId="77777777">
      <w:pPr>
        <w:pStyle w:val="ColorfulList-Accent11"/>
        <w:shd w:val="clear" w:color="auto" w:fill="FFFFFF"/>
        <w:spacing w:after="240"/>
        <w:ind w:left="1080"/>
        <w:contextualSpacing/>
        <w:textAlignment w:val="baseline"/>
        <w:rPr>
          <w:szCs w:val="22"/>
        </w:rPr>
      </w:pPr>
    </w:p>
    <w:p w:rsidR="007D5EBF" w:rsidRPr="00905C2B" w:rsidP="007D5EBF" w14:paraId="6AD5B6EA" w14:textId="77777777">
      <w:pPr>
        <w:pStyle w:val="ColorfulList-Accent11"/>
        <w:numPr>
          <w:ilvl w:val="0"/>
          <w:numId w:val="38"/>
        </w:numPr>
        <w:shd w:val="clear" w:color="auto" w:fill="FFFFFF"/>
        <w:contextualSpacing/>
        <w:textAlignment w:val="baseline"/>
        <w:rPr>
          <w:szCs w:val="22"/>
        </w:rPr>
      </w:pPr>
      <w:r>
        <w:rPr>
          <w:szCs w:val="22"/>
        </w:rPr>
        <w:t>H</w:t>
      </w:r>
      <w:r w:rsidRPr="00905C2B">
        <w:rPr>
          <w:szCs w:val="22"/>
        </w:rPr>
        <w:t>as a direct impact on the ability of a public safety answering point to:</w:t>
      </w:r>
    </w:p>
    <w:p w:rsidR="007D5EBF" w:rsidRPr="00905C2B" w:rsidP="007D5EBF" w14:paraId="23D72326" w14:textId="77777777">
      <w:pPr>
        <w:pStyle w:val="ListParagraph"/>
        <w:rPr>
          <w:sz w:val="22"/>
          <w:szCs w:val="22"/>
        </w:rPr>
      </w:pPr>
    </w:p>
    <w:p w:rsidR="007D5EBF" w:rsidRPr="00905C2B" w:rsidP="007D5EBF" w14:paraId="0F6C3143" w14:textId="77777777">
      <w:pPr>
        <w:pStyle w:val="ColorfulList-Accent11"/>
        <w:numPr>
          <w:ilvl w:val="0"/>
          <w:numId w:val="39"/>
        </w:numPr>
        <w:shd w:val="clear" w:color="auto" w:fill="FFFFFF"/>
        <w:contextualSpacing/>
        <w:textAlignment w:val="baseline"/>
        <w:rPr>
          <w:szCs w:val="22"/>
        </w:rPr>
      </w:pPr>
      <w:r>
        <w:rPr>
          <w:szCs w:val="22"/>
        </w:rPr>
        <w:t>R</w:t>
      </w:r>
      <w:r w:rsidRPr="00905C2B">
        <w:rPr>
          <w:szCs w:val="22"/>
        </w:rPr>
        <w:t>eceive or respond to 911 calls</w:t>
      </w:r>
      <w:r>
        <w:rPr>
          <w:szCs w:val="22"/>
        </w:rPr>
        <w:t>;</w:t>
      </w:r>
      <w:r w:rsidRPr="00905C2B">
        <w:rPr>
          <w:szCs w:val="22"/>
        </w:rPr>
        <w:t xml:space="preserve"> or</w:t>
      </w:r>
    </w:p>
    <w:p w:rsidR="007D5EBF" w:rsidRPr="00905C2B" w:rsidP="007D5EBF" w14:paraId="44AAA39E" w14:textId="77777777">
      <w:pPr>
        <w:pStyle w:val="ColorfulList-Accent11"/>
        <w:numPr>
          <w:ilvl w:val="0"/>
          <w:numId w:val="39"/>
        </w:numPr>
        <w:shd w:val="clear" w:color="auto" w:fill="FFFFFF"/>
        <w:contextualSpacing/>
        <w:textAlignment w:val="baseline"/>
        <w:rPr>
          <w:szCs w:val="22"/>
        </w:rPr>
      </w:pPr>
      <w:r>
        <w:rPr>
          <w:szCs w:val="22"/>
        </w:rPr>
        <w:t>D</w:t>
      </w:r>
      <w:r w:rsidRPr="00905C2B">
        <w:rPr>
          <w:szCs w:val="22"/>
        </w:rPr>
        <w:t>ispatch emergency responders.</w:t>
      </w:r>
    </w:p>
    <w:p w:rsidR="007D5EBF" w:rsidRPr="00905C2B" w:rsidP="007D5EBF" w14:paraId="6153BACA" w14:textId="77777777">
      <w:pPr>
        <w:pStyle w:val="ListParagraph"/>
        <w:rPr>
          <w:sz w:val="22"/>
          <w:szCs w:val="22"/>
        </w:rPr>
      </w:pPr>
    </w:p>
    <w:p w:rsidR="007D5EBF" w:rsidRPr="00905C2B" w:rsidP="007D5EBF" w14:paraId="6431C1C7" w14:textId="77777777">
      <w:pPr>
        <w:pStyle w:val="ColorfulList-Accent11"/>
        <w:shd w:val="clear" w:color="auto" w:fill="FFFFFF"/>
        <w:ind w:left="0"/>
        <w:contextualSpacing/>
        <w:textAlignment w:val="baseline"/>
        <w:rPr>
          <w:b/>
          <w:bCs/>
          <w:szCs w:val="22"/>
        </w:rPr>
      </w:pPr>
      <w:r w:rsidRPr="00905C2B">
        <w:rPr>
          <w:b/>
          <w:bCs/>
          <w:szCs w:val="22"/>
        </w:rPr>
        <w:t>§ 9.25 Participation in annual fee report data collection.</w:t>
      </w:r>
    </w:p>
    <w:p w:rsidR="007D5EBF" w:rsidRPr="00905C2B" w:rsidP="007D5EBF" w14:paraId="63E3ECCC" w14:textId="77777777">
      <w:pPr>
        <w:pStyle w:val="ColorfulList-Accent11"/>
        <w:shd w:val="clear" w:color="auto" w:fill="FFFFFF"/>
        <w:ind w:left="0"/>
        <w:contextualSpacing/>
        <w:textAlignment w:val="baseline"/>
        <w:rPr>
          <w:b/>
          <w:bCs/>
          <w:szCs w:val="22"/>
        </w:rPr>
      </w:pPr>
    </w:p>
    <w:p w:rsidR="007D5EBF" w:rsidP="007D5EBF" w14:paraId="3A003177" w14:textId="77777777">
      <w:pPr>
        <w:pStyle w:val="ColorfulList-Accent11"/>
        <w:numPr>
          <w:ilvl w:val="0"/>
          <w:numId w:val="42"/>
        </w:numPr>
        <w:shd w:val="clear" w:color="auto" w:fill="FFFFFF"/>
        <w:contextualSpacing/>
        <w:textAlignment w:val="baseline"/>
        <w:rPr>
          <w:szCs w:val="22"/>
        </w:rPr>
      </w:pPr>
      <w:r w:rsidRPr="00905C2B">
        <w:rPr>
          <w:szCs w:val="22"/>
        </w:rPr>
        <w:t xml:space="preserve">If a State or taxing jurisdiction receives a grant under section 158 of the National Telecommunications and Information Administration Organization Act (47 U.S.C. 942) after December 27, 2020, such State or taxing jurisdiction shall provide the information requested by the Commission to prepare the report required under section 6(f)(2) </w:t>
      </w:r>
      <w:bookmarkStart w:id="3" w:name="_Hlk71820206"/>
      <w:r w:rsidRPr="00905C2B">
        <w:rPr>
          <w:szCs w:val="22"/>
        </w:rPr>
        <w:t>of the Wireless Communications and Public Safety Act of 1999</w:t>
      </w:r>
      <w:r>
        <w:rPr>
          <w:szCs w:val="22"/>
        </w:rPr>
        <w:t>, as amended</w:t>
      </w:r>
      <w:r w:rsidRPr="00905C2B">
        <w:rPr>
          <w:szCs w:val="22"/>
        </w:rPr>
        <w:t xml:space="preserve"> (47 U.S.C. 615a</w:t>
      </w:r>
      <w:r>
        <w:rPr>
          <w:szCs w:val="22"/>
        </w:rPr>
        <w:t>-</w:t>
      </w:r>
      <w:r w:rsidRPr="00905C2B">
        <w:rPr>
          <w:szCs w:val="22"/>
        </w:rPr>
        <w:t>1(f)(2)).</w:t>
      </w:r>
    </w:p>
    <w:p w:rsidR="007D5EBF" w:rsidRPr="00D957AE" w:rsidP="007D5EBF" w14:paraId="34767687" w14:textId="13748656">
      <w:pPr>
        <w:pStyle w:val="NormalWeb"/>
        <w:numPr>
          <w:ilvl w:val="0"/>
          <w:numId w:val="42"/>
        </w:numPr>
        <w:shd w:val="clear" w:color="auto" w:fill="FFFFFF"/>
        <w:spacing w:after="0" w:line="240" w:lineRule="auto"/>
        <w:rPr>
          <w:rFonts w:ascii="Times New Roman" w:hAnsi="Times New Roman"/>
          <w:color w:val="000000"/>
          <w:sz w:val="22"/>
          <w:szCs w:val="22"/>
        </w:rPr>
      </w:pPr>
      <w:r w:rsidRPr="00D957AE">
        <w:rPr>
          <w:rFonts w:ascii="Times New Roman" w:hAnsi="Times New Roman"/>
          <w:color w:val="000000"/>
          <w:sz w:val="22"/>
          <w:szCs w:val="22"/>
        </w:rPr>
        <w:t xml:space="preserve">Each </w:t>
      </w:r>
      <w:r w:rsidRPr="00D957AE" w:rsidR="00D957AE">
        <w:rPr>
          <w:rFonts w:ascii="Times New Roman" w:hAnsi="Times New Roman"/>
          <w:color w:val="000000"/>
          <w:sz w:val="22"/>
          <w:szCs w:val="22"/>
        </w:rPr>
        <w:t>S</w:t>
      </w:r>
      <w:r w:rsidRPr="00D957AE">
        <w:rPr>
          <w:rFonts w:ascii="Times New Roman" w:hAnsi="Times New Roman"/>
          <w:color w:val="000000"/>
          <w:sz w:val="22"/>
          <w:szCs w:val="22"/>
        </w:rPr>
        <w:t>tate or taxing jurisdiction subject to paragraph (a) of this section must file the information requested by the Commission and in the form specified by the Public Safety and Homeland Security </w:t>
      </w:r>
      <w:r w:rsidRPr="00D957AE">
        <w:rPr>
          <w:rStyle w:val="hits"/>
          <w:rFonts w:ascii="Times New Roman" w:hAnsi="Times New Roman"/>
          <w:sz w:val="22"/>
          <w:szCs w:val="22"/>
        </w:rPr>
        <w:t>Bureau</w:t>
      </w:r>
      <w:r w:rsidRPr="00D957AE">
        <w:rPr>
          <w:rFonts w:ascii="Times New Roman" w:hAnsi="Times New Roman"/>
          <w:color w:val="000000"/>
          <w:sz w:val="22"/>
          <w:szCs w:val="22"/>
        </w:rPr>
        <w:t xml:space="preserve">.  </w:t>
      </w:r>
    </w:p>
    <w:p w:rsidR="007D5EBF" w:rsidRPr="00D957AE" w:rsidP="007D5EBF" w14:paraId="3FADD9C8" w14:textId="77777777">
      <w:pPr>
        <w:pStyle w:val="NormalWeb"/>
        <w:numPr>
          <w:ilvl w:val="0"/>
          <w:numId w:val="42"/>
        </w:numPr>
        <w:shd w:val="clear" w:color="auto" w:fill="FFFFFF"/>
        <w:spacing w:after="0" w:line="240" w:lineRule="auto"/>
        <w:rPr>
          <w:color w:val="000000"/>
          <w:sz w:val="22"/>
          <w:szCs w:val="22"/>
        </w:rPr>
      </w:pPr>
      <w:r w:rsidRPr="00D957AE">
        <w:rPr>
          <w:rFonts w:ascii="Times New Roman" w:hAnsi="Times New Roman"/>
          <w:color w:val="333333"/>
          <w:sz w:val="22"/>
          <w:szCs w:val="22"/>
        </w:rPr>
        <w:t>Paragraph (b) of this section contains information collection and recordkeeping requirements.</w:t>
      </w:r>
      <w:r w:rsidRPr="00D957AE">
        <w:rPr>
          <w:rFonts w:ascii="Georgia" w:hAnsi="Georgia"/>
          <w:color w:val="333333"/>
          <w:sz w:val="22"/>
          <w:szCs w:val="22"/>
          <w:shd w:val="clear" w:color="auto" w:fill="F1F1F1"/>
        </w:rPr>
        <w:t xml:space="preserve"> </w:t>
      </w:r>
      <w:r w:rsidRPr="00D957AE">
        <w:rPr>
          <w:rFonts w:ascii="Times New Roman" w:hAnsi="Times New Roman"/>
          <w:color w:val="333333"/>
          <w:sz w:val="22"/>
          <w:szCs w:val="22"/>
        </w:rPr>
        <w:t>Compliance will not be required until after approval by the Office of Management and Budget.  The Commission will publish a document in the </w:t>
      </w:r>
      <w:r w:rsidRPr="00E15514">
        <w:rPr>
          <w:rStyle w:val="Strong"/>
          <w:rFonts w:ascii="Times New Roman" w:hAnsi="Times New Roman"/>
          <w:b w:val="0"/>
          <w:bCs w:val="0"/>
          <w:color w:val="333333"/>
          <w:sz w:val="22"/>
          <w:szCs w:val="22"/>
        </w:rPr>
        <w:t>Federal Register</w:t>
      </w:r>
      <w:r w:rsidRPr="00D957AE">
        <w:rPr>
          <w:rFonts w:ascii="Times New Roman" w:hAnsi="Times New Roman"/>
          <w:color w:val="333333"/>
          <w:sz w:val="22"/>
          <w:szCs w:val="22"/>
        </w:rPr>
        <w:t> announcing that compliance date and revising this paragraph accordingly.</w:t>
      </w:r>
    </w:p>
    <w:bookmarkEnd w:id="3"/>
    <w:p w:rsidR="007D5EBF" w:rsidRPr="00905C2B" w:rsidP="007D5EBF" w14:paraId="0B88A51A" w14:textId="77777777">
      <w:pPr>
        <w:pStyle w:val="ColorfulList-Accent11"/>
        <w:shd w:val="clear" w:color="auto" w:fill="FFFFFF"/>
        <w:ind w:left="0"/>
        <w:contextualSpacing/>
        <w:textAlignment w:val="baseline"/>
        <w:rPr>
          <w:szCs w:val="22"/>
        </w:rPr>
      </w:pPr>
    </w:p>
    <w:p w:rsidR="007D5EBF" w:rsidRPr="00905C2B" w:rsidP="007D5EBF" w14:paraId="143288F3" w14:textId="77777777">
      <w:pPr>
        <w:pStyle w:val="ParaNum"/>
        <w:numPr>
          <w:ilvl w:val="0"/>
          <w:numId w:val="0"/>
        </w:numPr>
        <w:rPr>
          <w:b/>
          <w:bCs/>
          <w:szCs w:val="22"/>
        </w:rPr>
      </w:pPr>
      <w:r w:rsidRPr="00905C2B">
        <w:rPr>
          <w:b/>
          <w:bCs/>
          <w:szCs w:val="22"/>
        </w:rPr>
        <w:t>§ 9.26 Advisory committee participation.</w:t>
      </w:r>
    </w:p>
    <w:p w:rsidR="007D5EBF" w:rsidRPr="00905C2B" w:rsidP="007D5EBF" w14:paraId="71BC9616" w14:textId="77777777">
      <w:pPr>
        <w:pStyle w:val="ColorfulList-Accent11"/>
        <w:shd w:val="clear" w:color="auto" w:fill="FFFFFF"/>
        <w:ind w:left="0"/>
        <w:contextualSpacing/>
        <w:textAlignment w:val="baseline"/>
        <w:rPr>
          <w:b/>
          <w:bCs/>
          <w:szCs w:val="22"/>
        </w:rPr>
      </w:pPr>
      <w:r w:rsidRPr="00905C2B">
        <w:rPr>
          <w:szCs w:val="22"/>
        </w:rPr>
        <w:t>Notwithstanding any other provision of law, any State or taxing jurisdiction identified by the Commission in the report required under section 6(f)(2) of the Wireless Communications and Public Safety Act of 1999</w:t>
      </w:r>
      <w:r>
        <w:rPr>
          <w:szCs w:val="22"/>
        </w:rPr>
        <w:t>, as amended</w:t>
      </w:r>
      <w:r w:rsidRPr="00905C2B">
        <w:rPr>
          <w:szCs w:val="22"/>
        </w:rPr>
        <w:t xml:space="preserve"> (47 U.S.C. 615a</w:t>
      </w:r>
      <w:r>
        <w:rPr>
          <w:szCs w:val="22"/>
        </w:rPr>
        <w:t>-</w:t>
      </w:r>
      <w:r w:rsidRPr="00905C2B">
        <w:rPr>
          <w:szCs w:val="22"/>
        </w:rPr>
        <w:t>1(f)(2))</w:t>
      </w:r>
      <w:r>
        <w:rPr>
          <w:szCs w:val="22"/>
        </w:rPr>
        <w:t>,</w:t>
      </w:r>
      <w:r w:rsidRPr="00905C2B">
        <w:rPr>
          <w:szCs w:val="22"/>
        </w:rPr>
        <w:t xml:space="preserve"> as engaging in diversion of 911 fees or charges shall be ineligible to participate or send a representative to serve on any advisory committee established by the Commission.</w:t>
      </w:r>
    </w:p>
    <w:p w:rsidR="007D5EBF" w:rsidRPr="00A32859" w:rsidP="00F7639D" w14:paraId="11766137" w14:textId="77777777">
      <w:pPr>
        <w:keepNext/>
        <w:widowControl/>
      </w:pPr>
    </w:p>
    <w:sectPr w:rsidSect="0055614C">
      <w:headerReference w:type="default" r:id="rId4"/>
      <w:footerReference w:type="even" r:id="rId5"/>
      <w:footerReference w:type="default" r:id="rId6"/>
      <w:headerReference w:type="first" r:id="rId7"/>
      <w:footerReference w:type="first" r:id="rId8"/>
      <w:footnotePr>
        <w:numStart w:val="252"/>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598E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B177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D1C84" w14:paraId="587B01CE"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D1C84" w14:paraId="65E70914" w14:textId="77777777">
    <w:pPr>
      <w:pStyle w:val="Footer"/>
      <w:tabs>
        <w:tab w:val="clear" w:pos="4320"/>
        <w:tab w:val="center" w:pos="4680"/>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00777C" w14:textId="5279AB66">
    <w:pPr>
      <w:pStyle w:val="Header"/>
      <w:rPr>
        <w:b w:val="0"/>
      </w:rPr>
    </w:pPr>
    <w:r>
      <w:tab/>
      <w:t>Federal Communications Commission</w:t>
    </w:r>
    <w:r>
      <w:tab/>
    </w:r>
  </w:p>
  <w:p w:rsidR="00D25FB5" w14:paraId="60F4A29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240DF7C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52755D" w14:textId="7D842B2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00E64DAB">
      <w:tab/>
      <w:t>Federal Communications Commission</w:t>
    </w:r>
    <w:r w:rsidR="00E64D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7615A"/>
    <w:multiLevelType w:val="hybridMultilevel"/>
    <w:tmpl w:val="7180C5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6B16F5"/>
    <w:multiLevelType w:val="hybridMultilevel"/>
    <w:tmpl w:val="6356493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08F031C"/>
    <w:multiLevelType w:val="hybridMultilevel"/>
    <w:tmpl w:val="1116E8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4B3486E"/>
    <w:multiLevelType w:val="hybridMultilevel"/>
    <w:tmpl w:val="E0E0B6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6591C3F"/>
    <w:multiLevelType w:val="hybridMultilevel"/>
    <w:tmpl w:val="9A4260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D643D32"/>
    <w:multiLevelType w:val="hybridMultilevel"/>
    <w:tmpl w:val="AF3E7B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E96207D"/>
    <w:multiLevelType w:val="hybridMultilevel"/>
    <w:tmpl w:val="A6C68830"/>
    <w:lvl w:ilvl="0">
      <w:start w:val="1"/>
      <w:numFmt w:val="lowerLetter"/>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B534C8"/>
    <w:multiLevelType w:val="hybridMultilevel"/>
    <w:tmpl w:val="3ABCA7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ACA338F"/>
    <w:multiLevelType w:val="hybridMultilevel"/>
    <w:tmpl w:val="722EC7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EB35254"/>
    <w:multiLevelType w:val="hybridMultilevel"/>
    <w:tmpl w:val="163A34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0B67E65"/>
    <w:multiLevelType w:val="hybridMultilevel"/>
    <w:tmpl w:val="73DAE9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48225B1"/>
    <w:multiLevelType w:val="hybridMultilevel"/>
    <w:tmpl w:val="616E2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04720DB"/>
    <w:multiLevelType w:val="hybridMultilevel"/>
    <w:tmpl w:val="1A603F78"/>
    <w:lvl w:ilvl="0">
      <w:start w:val="1"/>
      <w:numFmt w:val="decimal"/>
      <w:lvlText w:val="(%1)"/>
      <w:lvlJc w:val="left"/>
      <w:pPr>
        <w:ind w:left="1080" w:hanging="360"/>
      </w:pPr>
      <w:rPr>
        <w:rFonts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34A380C"/>
    <w:multiLevelType w:val="hybridMultilevel"/>
    <w:tmpl w:val="1DFCA16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4FD4F63"/>
    <w:multiLevelType w:val="hybridMultilevel"/>
    <w:tmpl w:val="A49EAE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4B6D4FCF"/>
    <w:multiLevelType w:val="hybridMultilevel"/>
    <w:tmpl w:val="DB6672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DCD66D1"/>
    <w:multiLevelType w:val="hybridMultilevel"/>
    <w:tmpl w:val="714606A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E2120AB"/>
    <w:multiLevelType w:val="hybridMultilevel"/>
    <w:tmpl w:val="FDB46D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81C04A1"/>
    <w:multiLevelType w:val="hybridMultilevel"/>
    <w:tmpl w:val="3C2E3188"/>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5A2621E4"/>
    <w:multiLevelType w:val="hybridMultilevel"/>
    <w:tmpl w:val="3CCA86B8"/>
    <w:lvl w:ilvl="0">
      <w:start w:val="1"/>
      <w:numFmt w:val="decimal"/>
      <w:lvlText w:val="%1."/>
      <w:lvlJc w:val="left"/>
      <w:pPr>
        <w:ind w:left="775" w:hanging="360"/>
      </w:pPr>
    </w:lvl>
    <w:lvl w:ilvl="1" w:tentative="1">
      <w:start w:val="1"/>
      <w:numFmt w:val="lowerLetter"/>
      <w:lvlText w:val="%2."/>
      <w:lvlJc w:val="left"/>
      <w:pPr>
        <w:ind w:left="1495" w:hanging="360"/>
      </w:pPr>
    </w:lvl>
    <w:lvl w:ilvl="2" w:tentative="1">
      <w:start w:val="1"/>
      <w:numFmt w:val="lowerRoman"/>
      <w:lvlText w:val="%3."/>
      <w:lvlJc w:val="right"/>
      <w:pPr>
        <w:ind w:left="2215" w:hanging="180"/>
      </w:pPr>
    </w:lvl>
    <w:lvl w:ilvl="3" w:tentative="1">
      <w:start w:val="1"/>
      <w:numFmt w:val="decimal"/>
      <w:lvlText w:val="%4."/>
      <w:lvlJc w:val="left"/>
      <w:pPr>
        <w:ind w:left="2935" w:hanging="360"/>
      </w:pPr>
    </w:lvl>
    <w:lvl w:ilvl="4" w:tentative="1">
      <w:start w:val="1"/>
      <w:numFmt w:val="lowerLetter"/>
      <w:lvlText w:val="%5."/>
      <w:lvlJc w:val="left"/>
      <w:pPr>
        <w:ind w:left="3655" w:hanging="360"/>
      </w:pPr>
    </w:lvl>
    <w:lvl w:ilvl="5" w:tentative="1">
      <w:start w:val="1"/>
      <w:numFmt w:val="lowerRoman"/>
      <w:lvlText w:val="%6."/>
      <w:lvlJc w:val="right"/>
      <w:pPr>
        <w:ind w:left="4375" w:hanging="180"/>
      </w:pPr>
    </w:lvl>
    <w:lvl w:ilvl="6" w:tentative="1">
      <w:start w:val="1"/>
      <w:numFmt w:val="decimal"/>
      <w:lvlText w:val="%7."/>
      <w:lvlJc w:val="left"/>
      <w:pPr>
        <w:ind w:left="5095" w:hanging="360"/>
      </w:pPr>
    </w:lvl>
    <w:lvl w:ilvl="7" w:tentative="1">
      <w:start w:val="1"/>
      <w:numFmt w:val="lowerLetter"/>
      <w:lvlText w:val="%8."/>
      <w:lvlJc w:val="left"/>
      <w:pPr>
        <w:ind w:left="5815" w:hanging="360"/>
      </w:pPr>
    </w:lvl>
    <w:lvl w:ilvl="8" w:tentative="1">
      <w:start w:val="1"/>
      <w:numFmt w:val="lowerRoman"/>
      <w:lvlText w:val="%9."/>
      <w:lvlJc w:val="right"/>
      <w:pPr>
        <w:ind w:left="6535" w:hanging="180"/>
      </w:pPr>
    </w:lvl>
  </w:abstractNum>
  <w:abstractNum w:abstractNumId="25">
    <w:nsid w:val="5D055182"/>
    <w:multiLevelType w:val="hybridMultilevel"/>
    <w:tmpl w:val="61C65A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F797296"/>
    <w:multiLevelType w:val="hybridMultilevel"/>
    <w:tmpl w:val="DCAAEA5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F7B34B1"/>
    <w:multiLevelType w:val="hybridMultilevel"/>
    <w:tmpl w:val="757EF9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1182925"/>
    <w:multiLevelType w:val="singleLevel"/>
    <w:tmpl w:val="AD063140"/>
    <w:lvl w:ilvl="0">
      <w:start w:val="1"/>
      <w:numFmt w:val="decimal"/>
      <w:pStyle w:val="ParaNum"/>
      <w:lvlText w:val="%1."/>
      <w:lvlJc w:val="left"/>
      <w:pPr>
        <w:tabs>
          <w:tab w:val="num" w:pos="720"/>
        </w:tabs>
        <w:ind w:left="0" w:firstLine="360"/>
      </w:pPr>
      <w:rPr>
        <w:rFonts w:ascii="Times New Roman" w:eastAsia="Times New Roman" w:hAnsi="Times New Roman" w:cs="Times New Roman" w:hint="default"/>
      </w:rPr>
    </w:lvl>
  </w:abstractNum>
  <w:abstractNum w:abstractNumId="29">
    <w:nsid w:val="76975343"/>
    <w:multiLevelType w:val="hybridMultilevel"/>
    <w:tmpl w:val="F63CDC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1">
    <w:nsid w:val="7A641004"/>
    <w:multiLevelType w:val="hybridMultilevel"/>
    <w:tmpl w:val="89A046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28"/>
  </w:num>
  <w:num w:numId="3">
    <w:abstractNumId w:val="11"/>
  </w:num>
  <w:num w:numId="4">
    <w:abstractNumId w:val="21"/>
  </w:num>
  <w:num w:numId="5">
    <w:abstractNumId w:val="10"/>
  </w:num>
  <w:num w:numId="6">
    <w:abstractNumId w:val="1"/>
  </w:num>
  <w:num w:numId="7">
    <w:abstractNumId w:val="30"/>
  </w:num>
  <w:num w:numId="8">
    <w:abstractNumId w:val="14"/>
  </w:num>
  <w:num w:numId="9">
    <w:abstractNumId w:val="3"/>
  </w:num>
  <w:num w:numId="10">
    <w:abstractNumId w:val="15"/>
  </w:num>
  <w:num w:numId="11">
    <w:abstractNumId w:val="29"/>
  </w:num>
  <w:num w:numId="12">
    <w:abstractNumId w:val="18"/>
  </w:num>
  <w:num w:numId="13">
    <w:abstractNumId w:val="25"/>
  </w:num>
  <w:num w:numId="14">
    <w:abstractNumId w:val="6"/>
  </w:num>
  <w:num w:numId="15">
    <w:abstractNumId w:val="27"/>
  </w:num>
  <w:num w:numId="16">
    <w:abstractNumId w:val="12"/>
  </w:num>
  <w:num w:numId="17">
    <w:abstractNumId w:val="19"/>
  </w:num>
  <w:num w:numId="18">
    <w:abstractNumId w:val="4"/>
  </w:num>
  <w:num w:numId="19">
    <w:abstractNumId w:val="22"/>
  </w:num>
  <w:num w:numId="20">
    <w:abstractNumId w:val="5"/>
  </w:num>
  <w:num w:numId="21">
    <w:abstractNumId w:val="20"/>
  </w:num>
  <w:num w:numId="22">
    <w:abstractNumId w:val="28"/>
  </w:num>
  <w:num w:numId="23">
    <w:abstractNumId w:val="28"/>
  </w:num>
  <w:num w:numId="24">
    <w:abstractNumId w:val="8"/>
  </w:num>
  <w:num w:numId="25">
    <w:abstractNumId w:val="28"/>
  </w:num>
  <w:num w:numId="26">
    <w:abstractNumId w:val="28"/>
  </w:num>
  <w:num w:numId="27">
    <w:abstractNumId w:val="28"/>
  </w:num>
  <w:num w:numId="28">
    <w:abstractNumId w:val="28"/>
  </w:num>
  <w:num w:numId="29">
    <w:abstractNumId w:val="28"/>
  </w:num>
  <w:num w:numId="30">
    <w:abstractNumId w:val="28"/>
  </w:num>
  <w:num w:numId="31">
    <w:abstractNumId w:val="28"/>
  </w:num>
  <w:num w:numId="32">
    <w:abstractNumId w:val="28"/>
  </w:num>
  <w:num w:numId="33">
    <w:abstractNumId w:val="24"/>
  </w:num>
  <w:num w:numId="34">
    <w:abstractNumId w:val="17"/>
  </w:num>
  <w:num w:numId="35">
    <w:abstractNumId w:val="2"/>
  </w:num>
  <w:num w:numId="36">
    <w:abstractNumId w:val="0"/>
  </w:num>
  <w:num w:numId="37">
    <w:abstractNumId w:val="26"/>
  </w:num>
  <w:num w:numId="38">
    <w:abstractNumId w:val="13"/>
  </w:num>
  <w:num w:numId="39">
    <w:abstractNumId w:val="23"/>
  </w:num>
  <w:num w:numId="40">
    <w:abstractNumId w:val="16"/>
  </w:num>
  <w:num w:numId="41">
    <w:abstractNumId w:val="3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Start w:val="25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CF"/>
    <w:rsid w:val="00003016"/>
    <w:rsid w:val="00007527"/>
    <w:rsid w:val="0000786D"/>
    <w:rsid w:val="00010D18"/>
    <w:rsid w:val="00022D9D"/>
    <w:rsid w:val="00033263"/>
    <w:rsid w:val="00036039"/>
    <w:rsid w:val="000363E7"/>
    <w:rsid w:val="00037F90"/>
    <w:rsid w:val="00043C8B"/>
    <w:rsid w:val="0005561E"/>
    <w:rsid w:val="0006259D"/>
    <w:rsid w:val="00067034"/>
    <w:rsid w:val="0006796C"/>
    <w:rsid w:val="0007193B"/>
    <w:rsid w:val="00074B78"/>
    <w:rsid w:val="000875BF"/>
    <w:rsid w:val="00096D8C"/>
    <w:rsid w:val="000A22CC"/>
    <w:rsid w:val="000A4804"/>
    <w:rsid w:val="000B4328"/>
    <w:rsid w:val="000B4DCC"/>
    <w:rsid w:val="000C0B65"/>
    <w:rsid w:val="000C30F1"/>
    <w:rsid w:val="000E05FE"/>
    <w:rsid w:val="000E3D42"/>
    <w:rsid w:val="000F3173"/>
    <w:rsid w:val="00115480"/>
    <w:rsid w:val="00122BD5"/>
    <w:rsid w:val="0012400D"/>
    <w:rsid w:val="00133F79"/>
    <w:rsid w:val="00141895"/>
    <w:rsid w:val="00141C78"/>
    <w:rsid w:val="00147906"/>
    <w:rsid w:val="001615A3"/>
    <w:rsid w:val="0017397A"/>
    <w:rsid w:val="00194A66"/>
    <w:rsid w:val="001B2E1C"/>
    <w:rsid w:val="001C0363"/>
    <w:rsid w:val="001C050D"/>
    <w:rsid w:val="001C59DD"/>
    <w:rsid w:val="001D52BF"/>
    <w:rsid w:val="001D5DDE"/>
    <w:rsid w:val="001D6BCF"/>
    <w:rsid w:val="001E01CA"/>
    <w:rsid w:val="001E264F"/>
    <w:rsid w:val="00201697"/>
    <w:rsid w:val="00204617"/>
    <w:rsid w:val="00210053"/>
    <w:rsid w:val="002269AF"/>
    <w:rsid w:val="00226A21"/>
    <w:rsid w:val="00230498"/>
    <w:rsid w:val="0023571F"/>
    <w:rsid w:val="002409B9"/>
    <w:rsid w:val="00242E0C"/>
    <w:rsid w:val="002447EF"/>
    <w:rsid w:val="002513EC"/>
    <w:rsid w:val="00251B36"/>
    <w:rsid w:val="0025209C"/>
    <w:rsid w:val="00260F3F"/>
    <w:rsid w:val="002651C1"/>
    <w:rsid w:val="00267DB4"/>
    <w:rsid w:val="00275CF5"/>
    <w:rsid w:val="0028301F"/>
    <w:rsid w:val="00284CA3"/>
    <w:rsid w:val="00285017"/>
    <w:rsid w:val="002917C1"/>
    <w:rsid w:val="002A08C0"/>
    <w:rsid w:val="002A2D2E"/>
    <w:rsid w:val="002A7046"/>
    <w:rsid w:val="002B2C4C"/>
    <w:rsid w:val="002C00E8"/>
    <w:rsid w:val="002D1C84"/>
    <w:rsid w:val="002E311D"/>
    <w:rsid w:val="002E6502"/>
    <w:rsid w:val="0031036E"/>
    <w:rsid w:val="00311988"/>
    <w:rsid w:val="00330AF3"/>
    <w:rsid w:val="00337107"/>
    <w:rsid w:val="00343749"/>
    <w:rsid w:val="0034521C"/>
    <w:rsid w:val="00345BFC"/>
    <w:rsid w:val="00350454"/>
    <w:rsid w:val="00351A2D"/>
    <w:rsid w:val="00352142"/>
    <w:rsid w:val="003535E0"/>
    <w:rsid w:val="003660ED"/>
    <w:rsid w:val="00366100"/>
    <w:rsid w:val="0037017B"/>
    <w:rsid w:val="00375334"/>
    <w:rsid w:val="0037547E"/>
    <w:rsid w:val="0038058A"/>
    <w:rsid w:val="003812E5"/>
    <w:rsid w:val="003A1528"/>
    <w:rsid w:val="003B0550"/>
    <w:rsid w:val="003B2F28"/>
    <w:rsid w:val="003B3D9E"/>
    <w:rsid w:val="003B694F"/>
    <w:rsid w:val="003C2D0F"/>
    <w:rsid w:val="003E5256"/>
    <w:rsid w:val="003E6366"/>
    <w:rsid w:val="003E6916"/>
    <w:rsid w:val="003E765A"/>
    <w:rsid w:val="003F171C"/>
    <w:rsid w:val="00405FDF"/>
    <w:rsid w:val="004121D5"/>
    <w:rsid w:val="00412FC5"/>
    <w:rsid w:val="00422276"/>
    <w:rsid w:val="004242F1"/>
    <w:rsid w:val="00435E55"/>
    <w:rsid w:val="004412B4"/>
    <w:rsid w:val="00445A00"/>
    <w:rsid w:val="00451B0F"/>
    <w:rsid w:val="00455324"/>
    <w:rsid w:val="004560F4"/>
    <w:rsid w:val="004567B2"/>
    <w:rsid w:val="00460363"/>
    <w:rsid w:val="00463031"/>
    <w:rsid w:val="00466E0C"/>
    <w:rsid w:val="00470DE8"/>
    <w:rsid w:val="00471EBD"/>
    <w:rsid w:val="00477A89"/>
    <w:rsid w:val="0048313B"/>
    <w:rsid w:val="004A606D"/>
    <w:rsid w:val="004C2EE3"/>
    <w:rsid w:val="004C4BEC"/>
    <w:rsid w:val="004D3076"/>
    <w:rsid w:val="004E0DB6"/>
    <w:rsid w:val="004E284B"/>
    <w:rsid w:val="004E4A22"/>
    <w:rsid w:val="005070A7"/>
    <w:rsid w:val="00511968"/>
    <w:rsid w:val="00517DC8"/>
    <w:rsid w:val="0052520F"/>
    <w:rsid w:val="00525CF3"/>
    <w:rsid w:val="00533741"/>
    <w:rsid w:val="005448DB"/>
    <w:rsid w:val="00544C08"/>
    <w:rsid w:val="005506EE"/>
    <w:rsid w:val="00551F3B"/>
    <w:rsid w:val="0055614C"/>
    <w:rsid w:val="0056210C"/>
    <w:rsid w:val="0056236E"/>
    <w:rsid w:val="00566D06"/>
    <w:rsid w:val="00570C73"/>
    <w:rsid w:val="00570E57"/>
    <w:rsid w:val="005716B1"/>
    <w:rsid w:val="00572A2A"/>
    <w:rsid w:val="00576D1C"/>
    <w:rsid w:val="00590892"/>
    <w:rsid w:val="005954F2"/>
    <w:rsid w:val="005A06E6"/>
    <w:rsid w:val="005A252A"/>
    <w:rsid w:val="005B1403"/>
    <w:rsid w:val="005C088F"/>
    <w:rsid w:val="005C4F34"/>
    <w:rsid w:val="005C7405"/>
    <w:rsid w:val="005D2D80"/>
    <w:rsid w:val="005E14C2"/>
    <w:rsid w:val="005E64E3"/>
    <w:rsid w:val="005F46DC"/>
    <w:rsid w:val="00602610"/>
    <w:rsid w:val="00607BA5"/>
    <w:rsid w:val="0061180A"/>
    <w:rsid w:val="0061371D"/>
    <w:rsid w:val="00617B36"/>
    <w:rsid w:val="00626EB6"/>
    <w:rsid w:val="00641B76"/>
    <w:rsid w:val="00641C94"/>
    <w:rsid w:val="006429C5"/>
    <w:rsid w:val="00652BAD"/>
    <w:rsid w:val="00655D03"/>
    <w:rsid w:val="00664AD9"/>
    <w:rsid w:val="00670D33"/>
    <w:rsid w:val="00673DE8"/>
    <w:rsid w:val="00675E56"/>
    <w:rsid w:val="0068143A"/>
    <w:rsid w:val="006831AB"/>
    <w:rsid w:val="00683388"/>
    <w:rsid w:val="00683F84"/>
    <w:rsid w:val="006A3772"/>
    <w:rsid w:val="006A6A81"/>
    <w:rsid w:val="006C6A7D"/>
    <w:rsid w:val="006E3A69"/>
    <w:rsid w:val="006F1B55"/>
    <w:rsid w:val="006F7393"/>
    <w:rsid w:val="0070224F"/>
    <w:rsid w:val="00710D2D"/>
    <w:rsid w:val="007115F7"/>
    <w:rsid w:val="007172DD"/>
    <w:rsid w:val="007220D4"/>
    <w:rsid w:val="00722322"/>
    <w:rsid w:val="0072775B"/>
    <w:rsid w:val="00731438"/>
    <w:rsid w:val="007331C2"/>
    <w:rsid w:val="00736570"/>
    <w:rsid w:val="00751742"/>
    <w:rsid w:val="00754046"/>
    <w:rsid w:val="007565D3"/>
    <w:rsid w:val="00757408"/>
    <w:rsid w:val="00764EAF"/>
    <w:rsid w:val="00765D1F"/>
    <w:rsid w:val="00777379"/>
    <w:rsid w:val="00785689"/>
    <w:rsid w:val="007865C9"/>
    <w:rsid w:val="00797192"/>
    <w:rsid w:val="0079754B"/>
    <w:rsid w:val="007A1E6D"/>
    <w:rsid w:val="007A31B0"/>
    <w:rsid w:val="007B0EB2"/>
    <w:rsid w:val="007C57F6"/>
    <w:rsid w:val="007D5EBF"/>
    <w:rsid w:val="007E1D05"/>
    <w:rsid w:val="007E6E8C"/>
    <w:rsid w:val="007F1DFD"/>
    <w:rsid w:val="007F6CC9"/>
    <w:rsid w:val="00810B6F"/>
    <w:rsid w:val="00811C37"/>
    <w:rsid w:val="00817EA4"/>
    <w:rsid w:val="008219A9"/>
    <w:rsid w:val="00822CE0"/>
    <w:rsid w:val="00841AB1"/>
    <w:rsid w:val="008545BC"/>
    <w:rsid w:val="00862BB0"/>
    <w:rsid w:val="0086333C"/>
    <w:rsid w:val="0087567A"/>
    <w:rsid w:val="00876E89"/>
    <w:rsid w:val="008823E1"/>
    <w:rsid w:val="00887078"/>
    <w:rsid w:val="008934EB"/>
    <w:rsid w:val="00896264"/>
    <w:rsid w:val="00896ED6"/>
    <w:rsid w:val="008A04F7"/>
    <w:rsid w:val="008B2378"/>
    <w:rsid w:val="008B38CC"/>
    <w:rsid w:val="008C1149"/>
    <w:rsid w:val="008C3B45"/>
    <w:rsid w:val="008C43BC"/>
    <w:rsid w:val="008C517B"/>
    <w:rsid w:val="008C534D"/>
    <w:rsid w:val="008C68F1"/>
    <w:rsid w:val="008E5D8B"/>
    <w:rsid w:val="008F3C79"/>
    <w:rsid w:val="00905C2B"/>
    <w:rsid w:val="00921803"/>
    <w:rsid w:val="00924525"/>
    <w:rsid w:val="00926503"/>
    <w:rsid w:val="00934FE0"/>
    <w:rsid w:val="00947968"/>
    <w:rsid w:val="0095207A"/>
    <w:rsid w:val="00964458"/>
    <w:rsid w:val="009648F9"/>
    <w:rsid w:val="009650AA"/>
    <w:rsid w:val="009726D8"/>
    <w:rsid w:val="00990D9F"/>
    <w:rsid w:val="0099347E"/>
    <w:rsid w:val="0099615C"/>
    <w:rsid w:val="009A556B"/>
    <w:rsid w:val="009C1E4E"/>
    <w:rsid w:val="009C2F65"/>
    <w:rsid w:val="009D7308"/>
    <w:rsid w:val="009E72B4"/>
    <w:rsid w:val="009F4D20"/>
    <w:rsid w:val="009F5C68"/>
    <w:rsid w:val="009F6508"/>
    <w:rsid w:val="009F76DB"/>
    <w:rsid w:val="00A03573"/>
    <w:rsid w:val="00A10D7D"/>
    <w:rsid w:val="00A11924"/>
    <w:rsid w:val="00A13654"/>
    <w:rsid w:val="00A2313F"/>
    <w:rsid w:val="00A304C5"/>
    <w:rsid w:val="00A30A35"/>
    <w:rsid w:val="00A32859"/>
    <w:rsid w:val="00A32C3B"/>
    <w:rsid w:val="00A32F22"/>
    <w:rsid w:val="00A443DC"/>
    <w:rsid w:val="00A45F4F"/>
    <w:rsid w:val="00A46CB3"/>
    <w:rsid w:val="00A600A9"/>
    <w:rsid w:val="00A60414"/>
    <w:rsid w:val="00A6102B"/>
    <w:rsid w:val="00A63EC0"/>
    <w:rsid w:val="00A66BD0"/>
    <w:rsid w:val="00A8470A"/>
    <w:rsid w:val="00A85C73"/>
    <w:rsid w:val="00AA55B7"/>
    <w:rsid w:val="00AA5B9E"/>
    <w:rsid w:val="00AB2407"/>
    <w:rsid w:val="00AB53DF"/>
    <w:rsid w:val="00AB562E"/>
    <w:rsid w:val="00AC5D8E"/>
    <w:rsid w:val="00AD1B9A"/>
    <w:rsid w:val="00AD4B02"/>
    <w:rsid w:val="00AD6766"/>
    <w:rsid w:val="00AE097F"/>
    <w:rsid w:val="00AE6204"/>
    <w:rsid w:val="00B01FE8"/>
    <w:rsid w:val="00B07E5C"/>
    <w:rsid w:val="00B130EC"/>
    <w:rsid w:val="00B13237"/>
    <w:rsid w:val="00B2215A"/>
    <w:rsid w:val="00B271C3"/>
    <w:rsid w:val="00B458D8"/>
    <w:rsid w:val="00B53790"/>
    <w:rsid w:val="00B6160F"/>
    <w:rsid w:val="00B75B66"/>
    <w:rsid w:val="00B811F7"/>
    <w:rsid w:val="00B9476D"/>
    <w:rsid w:val="00B9498E"/>
    <w:rsid w:val="00BA5DC6"/>
    <w:rsid w:val="00BA6196"/>
    <w:rsid w:val="00BB7CAF"/>
    <w:rsid w:val="00BC1F4C"/>
    <w:rsid w:val="00BC2CE7"/>
    <w:rsid w:val="00BC6D8C"/>
    <w:rsid w:val="00BD3E8E"/>
    <w:rsid w:val="00BE7158"/>
    <w:rsid w:val="00BF0D0A"/>
    <w:rsid w:val="00C008F9"/>
    <w:rsid w:val="00C05BA6"/>
    <w:rsid w:val="00C11B18"/>
    <w:rsid w:val="00C143E0"/>
    <w:rsid w:val="00C17CC2"/>
    <w:rsid w:val="00C22835"/>
    <w:rsid w:val="00C238B1"/>
    <w:rsid w:val="00C242A4"/>
    <w:rsid w:val="00C2501C"/>
    <w:rsid w:val="00C27B32"/>
    <w:rsid w:val="00C34006"/>
    <w:rsid w:val="00C36B4C"/>
    <w:rsid w:val="00C426B1"/>
    <w:rsid w:val="00C43FBB"/>
    <w:rsid w:val="00C4691A"/>
    <w:rsid w:val="00C520B1"/>
    <w:rsid w:val="00C54F82"/>
    <w:rsid w:val="00C637C5"/>
    <w:rsid w:val="00C66160"/>
    <w:rsid w:val="00C721AC"/>
    <w:rsid w:val="00C7691E"/>
    <w:rsid w:val="00C900F1"/>
    <w:rsid w:val="00C90D6A"/>
    <w:rsid w:val="00C9147B"/>
    <w:rsid w:val="00C92A82"/>
    <w:rsid w:val="00C93E3D"/>
    <w:rsid w:val="00CA247E"/>
    <w:rsid w:val="00CA6D21"/>
    <w:rsid w:val="00CB0404"/>
    <w:rsid w:val="00CB0873"/>
    <w:rsid w:val="00CC72B6"/>
    <w:rsid w:val="00CD0E1A"/>
    <w:rsid w:val="00CD627C"/>
    <w:rsid w:val="00CF01FB"/>
    <w:rsid w:val="00CF2D51"/>
    <w:rsid w:val="00CF3C9A"/>
    <w:rsid w:val="00CF6EEE"/>
    <w:rsid w:val="00CF7539"/>
    <w:rsid w:val="00D0218D"/>
    <w:rsid w:val="00D0656F"/>
    <w:rsid w:val="00D124B6"/>
    <w:rsid w:val="00D17A05"/>
    <w:rsid w:val="00D25FB5"/>
    <w:rsid w:val="00D26D46"/>
    <w:rsid w:val="00D334E0"/>
    <w:rsid w:val="00D34174"/>
    <w:rsid w:val="00D44223"/>
    <w:rsid w:val="00D6589F"/>
    <w:rsid w:val="00D67FE0"/>
    <w:rsid w:val="00D75C1E"/>
    <w:rsid w:val="00D9257F"/>
    <w:rsid w:val="00D957AE"/>
    <w:rsid w:val="00D96932"/>
    <w:rsid w:val="00DA2529"/>
    <w:rsid w:val="00DB130A"/>
    <w:rsid w:val="00DB2C5E"/>
    <w:rsid w:val="00DB2EBB"/>
    <w:rsid w:val="00DB62F7"/>
    <w:rsid w:val="00DC10A1"/>
    <w:rsid w:val="00DC655F"/>
    <w:rsid w:val="00DC77A0"/>
    <w:rsid w:val="00DD0B59"/>
    <w:rsid w:val="00DD7EBD"/>
    <w:rsid w:val="00DF3B24"/>
    <w:rsid w:val="00DF62B6"/>
    <w:rsid w:val="00E00D07"/>
    <w:rsid w:val="00E054E7"/>
    <w:rsid w:val="00E05747"/>
    <w:rsid w:val="00E07225"/>
    <w:rsid w:val="00E15514"/>
    <w:rsid w:val="00E249AD"/>
    <w:rsid w:val="00E433F3"/>
    <w:rsid w:val="00E5175C"/>
    <w:rsid w:val="00E5409F"/>
    <w:rsid w:val="00E558D3"/>
    <w:rsid w:val="00E57244"/>
    <w:rsid w:val="00E6112E"/>
    <w:rsid w:val="00E64DAB"/>
    <w:rsid w:val="00E65818"/>
    <w:rsid w:val="00E701D1"/>
    <w:rsid w:val="00E810D1"/>
    <w:rsid w:val="00E81CB1"/>
    <w:rsid w:val="00E86F9D"/>
    <w:rsid w:val="00E918ED"/>
    <w:rsid w:val="00E9399B"/>
    <w:rsid w:val="00E94FC9"/>
    <w:rsid w:val="00E96A39"/>
    <w:rsid w:val="00EA0235"/>
    <w:rsid w:val="00EB4273"/>
    <w:rsid w:val="00EB573A"/>
    <w:rsid w:val="00EB57F8"/>
    <w:rsid w:val="00EE6488"/>
    <w:rsid w:val="00F020BB"/>
    <w:rsid w:val="00F021FA"/>
    <w:rsid w:val="00F10C00"/>
    <w:rsid w:val="00F1357C"/>
    <w:rsid w:val="00F14B72"/>
    <w:rsid w:val="00F15D1B"/>
    <w:rsid w:val="00F218E8"/>
    <w:rsid w:val="00F306CF"/>
    <w:rsid w:val="00F40ABC"/>
    <w:rsid w:val="00F4457B"/>
    <w:rsid w:val="00F5503F"/>
    <w:rsid w:val="00F60A6D"/>
    <w:rsid w:val="00F62E43"/>
    <w:rsid w:val="00F62E97"/>
    <w:rsid w:val="00F63D8E"/>
    <w:rsid w:val="00F64209"/>
    <w:rsid w:val="00F75620"/>
    <w:rsid w:val="00F7639D"/>
    <w:rsid w:val="00F80B55"/>
    <w:rsid w:val="00F87FBF"/>
    <w:rsid w:val="00F908C0"/>
    <w:rsid w:val="00F93BF5"/>
    <w:rsid w:val="00F95545"/>
    <w:rsid w:val="00FA5BC2"/>
    <w:rsid w:val="00FC08AB"/>
    <w:rsid w:val="00FD01D1"/>
    <w:rsid w:val="00FD5C89"/>
    <w:rsid w:val="00FD7811"/>
    <w:rsid w:val="00FD7EF8"/>
    <w:rsid w:val="00FE4A85"/>
    <w:rsid w:val="00FE7A9F"/>
    <w:rsid w:val="00FF16CF"/>
    <w:rsid w:val="00FF52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8A21D8"/>
  <w15:chartTrackingRefBased/>
  <w15:docId w15:val="{4961DE11-0156-413A-85E9-8190D7E0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2409B9"/>
    <w:pPr>
      <w:numPr>
        <w:numId w:val="2"/>
      </w:numPr>
      <w:tabs>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Caption">
    <w:name w:val="caption"/>
    <w:basedOn w:val="Normal"/>
    <w:next w:val="Normal"/>
    <w:qFormat/>
    <w:rsid w:val="00F306CF"/>
    <w:pPr>
      <w:widowControl/>
      <w:spacing w:before="120" w:after="120" w:line="276" w:lineRule="auto"/>
    </w:pPr>
    <w:rPr>
      <w:rFonts w:ascii="Calibri" w:eastAsia="Calibri" w:hAnsi="Calibri"/>
      <w:b/>
      <w:snapToGrid/>
      <w:kern w:val="0"/>
      <w:szCs w:val="22"/>
    </w:rPr>
  </w:style>
  <w:style w:type="paragraph" w:styleId="NormalWeb">
    <w:name w:val="Normal (Web)"/>
    <w:basedOn w:val="Normal"/>
    <w:uiPriority w:val="99"/>
    <w:unhideWhenUsed/>
    <w:rsid w:val="00F306CF"/>
    <w:pPr>
      <w:widowControl/>
      <w:spacing w:after="200" w:line="276" w:lineRule="auto"/>
    </w:pPr>
    <w:rPr>
      <w:rFonts w:ascii="Calibri" w:eastAsia="Calibri" w:hAnsi="Calibri"/>
      <w:kern w:val="0"/>
      <w:sz w:val="24"/>
      <w:szCs w:val="24"/>
    </w:rPr>
  </w:style>
  <w:style w:type="character" w:customStyle="1" w:styleId="ParaNumChar">
    <w:name w:val="ParaNum Char"/>
    <w:link w:val="ParaNum"/>
    <w:locked/>
    <w:rsid w:val="002409B9"/>
    <w:rPr>
      <w:snapToGrid w:val="0"/>
      <w:kern w:val="28"/>
      <w:sz w:val="22"/>
    </w:rPr>
  </w:style>
  <w:style w:type="character" w:styleId="CommentReference">
    <w:name w:val="annotation reference"/>
    <w:uiPriority w:val="99"/>
    <w:unhideWhenUsed/>
    <w:rsid w:val="00F306CF"/>
    <w:rPr>
      <w:sz w:val="16"/>
      <w:szCs w:val="16"/>
    </w:rPr>
  </w:style>
  <w:style w:type="paragraph" w:styleId="CommentText">
    <w:name w:val="annotation text"/>
    <w:basedOn w:val="Normal"/>
    <w:link w:val="CommentTextChar"/>
    <w:uiPriority w:val="99"/>
    <w:unhideWhenUsed/>
    <w:rsid w:val="00F306CF"/>
    <w:pPr>
      <w:widowControl/>
      <w:spacing w:after="200" w:line="276" w:lineRule="auto"/>
    </w:pPr>
    <w:rPr>
      <w:rFonts w:ascii="Calibri" w:eastAsia="Calibri" w:hAnsi="Calibri"/>
      <w:snapToGrid/>
      <w:kern w:val="0"/>
      <w:sz w:val="20"/>
      <w:szCs w:val="22"/>
    </w:rPr>
  </w:style>
  <w:style w:type="character" w:customStyle="1" w:styleId="CommentTextChar">
    <w:name w:val="Comment Text Char"/>
    <w:link w:val="CommentText"/>
    <w:uiPriority w:val="99"/>
    <w:rsid w:val="00F306CF"/>
    <w:rPr>
      <w:rFonts w:ascii="Calibri" w:eastAsia="Calibri" w:hAnsi="Calibri"/>
      <w:szCs w:val="22"/>
    </w:rPr>
  </w:style>
  <w:style w:type="paragraph" w:styleId="BalloonText">
    <w:name w:val="Balloon Text"/>
    <w:basedOn w:val="Normal"/>
    <w:link w:val="BalloonTextChar"/>
    <w:rsid w:val="00F306CF"/>
    <w:rPr>
      <w:rFonts w:ascii="Segoe UI" w:hAnsi="Segoe UI" w:cs="Segoe UI"/>
      <w:sz w:val="18"/>
      <w:szCs w:val="18"/>
    </w:rPr>
  </w:style>
  <w:style w:type="character" w:customStyle="1" w:styleId="BalloonTextChar">
    <w:name w:val="Balloon Text Char"/>
    <w:link w:val="BalloonText"/>
    <w:rsid w:val="00F306CF"/>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B9498E"/>
    <w:pPr>
      <w:widowControl w:val="0"/>
      <w:spacing w:after="0" w:line="240" w:lineRule="auto"/>
    </w:pPr>
    <w:rPr>
      <w:rFonts w:ascii="Times New Roman" w:eastAsia="Times New Roman" w:hAnsi="Times New Roman"/>
      <w:b/>
      <w:bCs/>
      <w:snapToGrid w:val="0"/>
      <w:kern w:val="28"/>
      <w:szCs w:val="20"/>
    </w:rPr>
  </w:style>
  <w:style w:type="character" w:customStyle="1" w:styleId="CommentSubjectChar">
    <w:name w:val="Comment Subject Char"/>
    <w:link w:val="CommentSubject"/>
    <w:rsid w:val="00B9498E"/>
    <w:rPr>
      <w:rFonts w:ascii="Calibri" w:eastAsia="Calibri" w:hAnsi="Calibri"/>
      <w:b/>
      <w:bCs/>
      <w:snapToGrid w:val="0"/>
      <w:kern w:val="28"/>
      <w:szCs w:val="22"/>
    </w:rPr>
  </w:style>
  <w:style w:type="paragraph" w:styleId="Revision">
    <w:name w:val="Revision"/>
    <w:hidden/>
    <w:uiPriority w:val="99"/>
    <w:semiHidden/>
    <w:rsid w:val="00B9476D"/>
    <w:rPr>
      <w:snapToGrid w:val="0"/>
      <w:kern w:val="28"/>
      <w:sz w:val="22"/>
    </w:rPr>
  </w:style>
  <w:style w:type="paragraph" w:customStyle="1" w:styleId="ColorfulList-Accent11">
    <w:name w:val="Colorful List - Accent 11"/>
    <w:basedOn w:val="Normal"/>
    <w:uiPriority w:val="34"/>
    <w:qFormat/>
    <w:rsid w:val="007D5EBF"/>
    <w:pPr>
      <w:ind w:left="720"/>
    </w:pPr>
  </w:style>
  <w:style w:type="paragraph" w:styleId="ListParagraph">
    <w:name w:val="List Paragraph"/>
    <w:basedOn w:val="Normal"/>
    <w:uiPriority w:val="34"/>
    <w:qFormat/>
    <w:rsid w:val="007D5EBF"/>
    <w:pPr>
      <w:widowControl/>
      <w:autoSpaceDE w:val="0"/>
      <w:autoSpaceDN w:val="0"/>
      <w:adjustRightInd w:val="0"/>
    </w:pPr>
    <w:rPr>
      <w:rFonts w:eastAsia="Calibri"/>
      <w:snapToGrid/>
      <w:kern w:val="0"/>
      <w:sz w:val="24"/>
      <w:szCs w:val="24"/>
    </w:rPr>
  </w:style>
  <w:style w:type="character" w:customStyle="1" w:styleId="hits">
    <w:name w:val="hits"/>
    <w:rsid w:val="007D5EBF"/>
  </w:style>
  <w:style w:type="character" w:styleId="Strong">
    <w:name w:val="Strong"/>
    <w:uiPriority w:val="22"/>
    <w:qFormat/>
    <w:rsid w:val="007D5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