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B52E30F" w14:textId="77777777" w:rsidTr="006D5D22">
        <w:tblPrEx>
          <w:tblW w:w="0" w:type="auto"/>
          <w:tblLook w:val="0000"/>
        </w:tblPrEx>
        <w:trPr>
          <w:trHeight w:val="2181"/>
        </w:trPr>
        <w:tc>
          <w:tcPr>
            <w:tcW w:w="8856" w:type="dxa"/>
          </w:tcPr>
          <w:p w:rsidR="00FF232D" w:rsidP="006A7D75" w14:paraId="07237091"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75A22484" w14:textId="77777777">
            <w:pPr>
              <w:rPr>
                <w:b/>
                <w:bCs/>
                <w:sz w:val="12"/>
                <w:szCs w:val="12"/>
              </w:rPr>
            </w:pPr>
          </w:p>
          <w:p w:rsidR="007A44F8" w:rsidRPr="008A3940" w:rsidP="00BB4E29" w14:paraId="685FE4D8" w14:textId="77777777">
            <w:pPr>
              <w:rPr>
                <w:b/>
                <w:bCs/>
                <w:sz w:val="22"/>
                <w:szCs w:val="22"/>
              </w:rPr>
            </w:pPr>
            <w:r w:rsidRPr="008A3940">
              <w:rPr>
                <w:b/>
                <w:bCs/>
                <w:sz w:val="22"/>
                <w:szCs w:val="22"/>
              </w:rPr>
              <w:t xml:space="preserve">Media Contact: </w:t>
            </w:r>
          </w:p>
          <w:p w:rsidR="007A44F8" w:rsidRPr="008A3940" w:rsidP="00BB4E29" w14:paraId="41DB2D47" w14:textId="77777777">
            <w:pPr>
              <w:rPr>
                <w:bCs/>
                <w:sz w:val="22"/>
                <w:szCs w:val="22"/>
              </w:rPr>
            </w:pPr>
            <w:r w:rsidRPr="008A3940">
              <w:rPr>
                <w:bCs/>
                <w:sz w:val="22"/>
                <w:szCs w:val="22"/>
              </w:rPr>
              <w:t>Will Wiquist</w:t>
            </w:r>
          </w:p>
          <w:p w:rsidR="00FF232D" w:rsidRPr="008A3940" w:rsidP="00BB4E29" w14:paraId="1064CB79" w14:textId="77777777">
            <w:pPr>
              <w:rPr>
                <w:bCs/>
                <w:sz w:val="22"/>
                <w:szCs w:val="22"/>
              </w:rPr>
            </w:pPr>
            <w:r w:rsidRPr="008A3940">
              <w:rPr>
                <w:bCs/>
                <w:sz w:val="22"/>
                <w:szCs w:val="22"/>
              </w:rPr>
              <w:t>will.wiquist@fcc.gov</w:t>
            </w:r>
          </w:p>
          <w:p w:rsidR="007A44F8" w:rsidRPr="008A3940" w:rsidP="00BB4E29" w14:paraId="05DE89CC" w14:textId="77777777">
            <w:pPr>
              <w:rPr>
                <w:bCs/>
                <w:sz w:val="22"/>
                <w:szCs w:val="22"/>
              </w:rPr>
            </w:pPr>
          </w:p>
          <w:p w:rsidR="007A44F8" w:rsidRPr="008A3940" w:rsidP="00BB4E29" w14:paraId="45590A5C" w14:textId="77777777">
            <w:pPr>
              <w:rPr>
                <w:b/>
                <w:sz w:val="22"/>
                <w:szCs w:val="22"/>
              </w:rPr>
            </w:pPr>
            <w:r w:rsidRPr="008A3940">
              <w:rPr>
                <w:b/>
                <w:sz w:val="22"/>
                <w:szCs w:val="22"/>
              </w:rPr>
              <w:t>For Immediate Release</w:t>
            </w:r>
          </w:p>
          <w:p w:rsidR="007A44F8" w:rsidRPr="004A729A" w:rsidP="00BB4E29" w14:paraId="03EF4E8E" w14:textId="77777777">
            <w:pPr>
              <w:jc w:val="center"/>
              <w:rPr>
                <w:b/>
                <w:bCs/>
                <w:sz w:val="22"/>
                <w:szCs w:val="22"/>
              </w:rPr>
            </w:pPr>
          </w:p>
          <w:p w:rsidR="00CC5E08" w:rsidRPr="00214FB5" w:rsidP="00214FB5" w14:paraId="0EA55CFB" w14:textId="77777777">
            <w:pPr>
              <w:tabs>
                <w:tab w:val="left" w:pos="8625"/>
              </w:tabs>
              <w:jc w:val="center"/>
              <w:rPr>
                <w:i/>
              </w:rPr>
            </w:pPr>
            <w:bookmarkStart w:id="0" w:name="_Hlk82078325"/>
            <w:r w:rsidRPr="00214FB5">
              <w:rPr>
                <w:b/>
                <w:bCs/>
              </w:rPr>
              <w:t xml:space="preserve">FCC ANNOUNCES TENTATIVE </w:t>
            </w:r>
            <w:r w:rsidRPr="004F3AFE">
              <w:rPr>
                <w:b/>
                <w:bCs/>
              </w:rPr>
              <w:t xml:space="preserve">AGENDA FOR </w:t>
            </w:r>
            <w:r w:rsidRPr="004F3AFE" w:rsidR="00227807">
              <w:rPr>
                <w:b/>
                <w:bCs/>
              </w:rPr>
              <w:t>SEPTEMBER</w:t>
            </w:r>
            <w:r w:rsidRPr="004F3AFE">
              <w:rPr>
                <w:b/>
                <w:bCs/>
              </w:rPr>
              <w:t xml:space="preserve"> OPEN MEETING</w:t>
            </w:r>
          </w:p>
          <w:p w:rsidR="00F61155" w:rsidRPr="00DE158D" w:rsidP="00BB4E29" w14:paraId="78ECAFEB"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2B25C70E" w14:textId="394A8625">
            <w:pPr>
              <w:rPr>
                <w:sz w:val="22"/>
                <w:szCs w:val="22"/>
              </w:rPr>
            </w:pPr>
            <w:r w:rsidRPr="00DE158D">
              <w:rPr>
                <w:sz w:val="22"/>
                <w:szCs w:val="22"/>
              </w:rPr>
              <w:t xml:space="preserve">WASHINGTON, </w:t>
            </w:r>
            <w:r w:rsidRPr="004F3AFE" w:rsidR="00227807">
              <w:rPr>
                <w:sz w:val="22"/>
                <w:szCs w:val="22"/>
              </w:rPr>
              <w:t>September 9</w:t>
            </w:r>
            <w:r w:rsidRPr="004F3AFE">
              <w:rPr>
                <w:sz w:val="22"/>
                <w:szCs w:val="22"/>
              </w:rPr>
              <w:t>,</w:t>
            </w:r>
            <w:r w:rsidRPr="00DE158D">
              <w:rPr>
                <w:sz w:val="22"/>
                <w:szCs w:val="22"/>
              </w:rPr>
              <w:t xml:space="preserve"> 202</w:t>
            </w:r>
            <w:r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w:t>
            </w:r>
            <w:r w:rsidRPr="004F3AFE">
              <w:rPr>
                <w:sz w:val="22"/>
                <w:szCs w:val="22"/>
              </w:rPr>
              <w:t xml:space="preserve">announced that the items below are tentatively on the agenda for the </w:t>
            </w:r>
            <w:r w:rsidRPr="004F3AFE" w:rsidR="00227807">
              <w:rPr>
                <w:sz w:val="22"/>
                <w:szCs w:val="22"/>
              </w:rPr>
              <w:t>September</w:t>
            </w:r>
            <w:r w:rsidRPr="004F3AFE">
              <w:rPr>
                <w:sz w:val="22"/>
                <w:szCs w:val="22"/>
              </w:rPr>
              <w:t xml:space="preserve"> Open Commission Meeting scheduled for </w:t>
            </w:r>
            <w:r w:rsidR="00E14F1C">
              <w:rPr>
                <w:sz w:val="22"/>
                <w:szCs w:val="22"/>
              </w:rPr>
              <w:t>Thursday</w:t>
            </w:r>
            <w:r w:rsidRPr="004F3AFE">
              <w:rPr>
                <w:sz w:val="22"/>
                <w:szCs w:val="22"/>
              </w:rPr>
              <w:t xml:space="preserve">, </w:t>
            </w:r>
            <w:r w:rsidRPr="004F3AFE" w:rsidR="00227807">
              <w:rPr>
                <w:sz w:val="22"/>
                <w:szCs w:val="22"/>
              </w:rPr>
              <w:t>September 30</w:t>
            </w:r>
            <w:r w:rsidRPr="004F3AFE">
              <w:rPr>
                <w:sz w:val="22"/>
                <w:szCs w:val="22"/>
              </w:rPr>
              <w:t>, 202</w:t>
            </w:r>
            <w:r w:rsidRPr="004F3AFE" w:rsidR="00D83C81">
              <w:rPr>
                <w:sz w:val="22"/>
                <w:szCs w:val="22"/>
              </w:rPr>
              <w:t>1</w:t>
            </w:r>
            <w:r w:rsidRPr="004F3AFE">
              <w:rPr>
                <w:sz w:val="22"/>
                <w:szCs w:val="22"/>
              </w:rPr>
              <w:t>:</w:t>
            </w:r>
          </w:p>
          <w:p w:rsidR="003D476B" w:rsidP="003D476B" w14:paraId="63522127" w14:textId="77777777">
            <w:pPr>
              <w:rPr>
                <w:b/>
                <w:bCs/>
                <w:sz w:val="22"/>
                <w:szCs w:val="22"/>
              </w:rPr>
            </w:pPr>
          </w:p>
          <w:p w:rsidR="001105FC" w:rsidP="00C17FE5" w14:paraId="60CEB06E" w14:textId="77777777">
            <w:pPr>
              <w:rPr>
                <w:sz w:val="22"/>
                <w:szCs w:val="22"/>
              </w:rPr>
            </w:pPr>
            <w:r>
              <w:rPr>
                <w:b/>
                <w:bCs/>
                <w:sz w:val="22"/>
                <w:szCs w:val="22"/>
              </w:rPr>
              <w:t xml:space="preserve">Promoting More </w:t>
            </w:r>
            <w:r w:rsidRPr="00686A84" w:rsidR="00686A84">
              <w:rPr>
                <w:b/>
                <w:bCs/>
                <w:sz w:val="22"/>
                <w:szCs w:val="22"/>
              </w:rPr>
              <w:t>Resilient Networks</w:t>
            </w:r>
            <w:r w:rsidRPr="00686A84" w:rsidR="00686A84">
              <w:rPr>
                <w:sz w:val="22"/>
                <w:szCs w:val="22"/>
              </w:rPr>
              <w:t xml:space="preserve"> – The Commission will consider a Notice of Proposed Rulemaking to examine the Wireless Network Resiliency Cooperative Framework, the FCC’s network outage reporting rules, and strategies to address the effect of power outages on communications networks. (PS Docket Nos. 21-346</w:t>
            </w:r>
            <w:r w:rsidR="003568B9">
              <w:rPr>
                <w:sz w:val="22"/>
                <w:szCs w:val="22"/>
              </w:rPr>
              <w:t xml:space="preserve">, </w:t>
            </w:r>
            <w:r w:rsidRPr="00686A84" w:rsidR="00686A84">
              <w:rPr>
                <w:sz w:val="22"/>
                <w:szCs w:val="22"/>
              </w:rPr>
              <w:t>15-80; ET Docket No. 04-35)</w:t>
            </w:r>
          </w:p>
          <w:p w:rsidR="00686A84" w:rsidRPr="001D1EE6" w:rsidP="00C17FE5" w14:paraId="74534EF0" w14:textId="77777777">
            <w:pPr>
              <w:rPr>
                <w:b/>
                <w:bCs/>
                <w:sz w:val="22"/>
                <w:szCs w:val="22"/>
              </w:rPr>
            </w:pPr>
          </w:p>
          <w:p w:rsidR="001105FC" w:rsidP="005B6EF2" w14:paraId="3B084B5E" w14:textId="77777777">
            <w:pPr>
              <w:rPr>
                <w:sz w:val="22"/>
                <w:szCs w:val="22"/>
              </w:rPr>
            </w:pPr>
            <w:r w:rsidRPr="001D1EE6">
              <w:rPr>
                <w:b/>
                <w:bCs/>
                <w:sz w:val="22"/>
                <w:szCs w:val="22"/>
              </w:rPr>
              <w:t xml:space="preserve">Reassessing 4.9 GHz Band for Public Safety </w:t>
            </w:r>
            <w:r w:rsidR="005B6EF2">
              <w:rPr>
                <w:sz w:val="22"/>
                <w:szCs w:val="22"/>
              </w:rPr>
              <w:t xml:space="preserve">– </w:t>
            </w:r>
            <w:r w:rsidRPr="005B6EF2" w:rsidR="005B6EF2">
              <w:rPr>
                <w:sz w:val="22"/>
                <w:szCs w:val="22"/>
              </w:rPr>
              <w:t>The Commission will consider an Order on Reconsideration that would vacate the 2020 Sixth Report and Order, which adopted a state-by-state leasing framework for the 4.9 GHz (4940-4900 MHz) band.  The Commission also will consider an Eighth Further Notice of Proposed Rulemaking that would seek comment on a nationwide framework for the 4.9 GHz band, ways to foster greater public safety use, and ways to facilitate compatible non-public safety access to the band. (WP Docket No. 07-100)</w:t>
            </w:r>
          </w:p>
          <w:p w:rsidR="005B6EF2" w:rsidP="005B6EF2" w14:paraId="48402A7E" w14:textId="77777777">
            <w:pPr>
              <w:rPr>
                <w:sz w:val="22"/>
                <w:szCs w:val="22"/>
              </w:rPr>
            </w:pPr>
          </w:p>
          <w:p w:rsidR="001105FC" w:rsidP="00C17FE5" w14:paraId="60AAF957" w14:textId="77777777">
            <w:pPr>
              <w:rPr>
                <w:sz w:val="22"/>
                <w:szCs w:val="22"/>
              </w:rPr>
            </w:pPr>
            <w:r w:rsidRPr="00686A84">
              <w:rPr>
                <w:b/>
                <w:bCs/>
                <w:sz w:val="22"/>
                <w:szCs w:val="22"/>
              </w:rPr>
              <w:t>Authorizing 6 GHz Band Automated Frequency Coordination Systems</w:t>
            </w:r>
            <w:r>
              <w:rPr>
                <w:sz w:val="22"/>
                <w:szCs w:val="22"/>
              </w:rPr>
              <w:t xml:space="preserve"> – </w:t>
            </w:r>
            <w:r w:rsidRPr="00686A84">
              <w:rPr>
                <w:sz w:val="22"/>
                <w:szCs w:val="22"/>
              </w:rPr>
              <w:t>The Commission will consider a Public Notice beginning the process for authorizing Automated Frequency Coordination Systems to govern the operation of standard-power devices in the 6 GHz band (5.925-7.125 GHz)</w:t>
            </w:r>
            <w:r>
              <w:rPr>
                <w:sz w:val="22"/>
                <w:szCs w:val="22"/>
              </w:rPr>
              <w:t xml:space="preserve">. </w:t>
            </w:r>
            <w:r w:rsidRPr="00686A84">
              <w:rPr>
                <w:sz w:val="22"/>
                <w:szCs w:val="22"/>
              </w:rPr>
              <w:t>(ET Docket No. 21-352)</w:t>
            </w:r>
          </w:p>
          <w:p w:rsidR="00686A84" w:rsidP="00C17FE5" w14:paraId="1A2C6915" w14:textId="77777777">
            <w:pPr>
              <w:rPr>
                <w:sz w:val="22"/>
                <w:szCs w:val="22"/>
              </w:rPr>
            </w:pPr>
          </w:p>
          <w:p w:rsidR="001105FC" w:rsidP="00686A84" w14:paraId="34C80260" w14:textId="77777777">
            <w:pPr>
              <w:rPr>
                <w:sz w:val="22"/>
                <w:szCs w:val="22"/>
              </w:rPr>
            </w:pPr>
            <w:r w:rsidRPr="00686A84">
              <w:rPr>
                <w:b/>
                <w:bCs/>
                <w:sz w:val="22"/>
                <w:szCs w:val="22"/>
              </w:rPr>
              <w:t>Spectrum Requirements for the Internet of Things</w:t>
            </w:r>
            <w:r>
              <w:rPr>
                <w:sz w:val="22"/>
                <w:szCs w:val="22"/>
              </w:rPr>
              <w:t xml:space="preserve"> – </w:t>
            </w:r>
            <w:r w:rsidRPr="00686A84">
              <w:rPr>
                <w:sz w:val="22"/>
                <w:szCs w:val="22"/>
              </w:rPr>
              <w:t>The Commission will consider a Notice of Inquiry seeking comment on current and future spectrum needs to enable better connectivity relating to the Internet of Things (IoT). (ET Docket No. 21-353)</w:t>
            </w:r>
          </w:p>
          <w:p w:rsidR="009965A1" w:rsidP="009965A1" w14:paraId="170087E9" w14:textId="77777777">
            <w:pPr>
              <w:rPr>
                <w:sz w:val="22"/>
                <w:szCs w:val="22"/>
              </w:rPr>
            </w:pPr>
          </w:p>
          <w:p w:rsidR="00686A84" w:rsidP="009965A1" w14:paraId="780FFC1B" w14:textId="610028C2">
            <w:pPr>
              <w:rPr>
                <w:sz w:val="22"/>
                <w:szCs w:val="22"/>
              </w:rPr>
            </w:pPr>
            <w:r w:rsidRPr="005B6EF2">
              <w:rPr>
                <w:b/>
                <w:bCs/>
                <w:sz w:val="22"/>
                <w:szCs w:val="22"/>
              </w:rPr>
              <w:t>Shielding 911 Call Centers from Robocalls</w:t>
            </w:r>
            <w:r>
              <w:rPr>
                <w:sz w:val="22"/>
                <w:szCs w:val="22"/>
              </w:rPr>
              <w:t xml:space="preserve"> – </w:t>
            </w:r>
            <w:r w:rsidRPr="005B6EF2">
              <w:rPr>
                <w:sz w:val="22"/>
                <w:szCs w:val="22"/>
              </w:rPr>
              <w:t>The Commission will consider a Further Notice of Proposed Rulemaking to update the Commission's rules regarding the implementation of the Public Safety Answering Point (PSAP) Do-Not-Call registry in order to protect PSAPs from unwanted robocalls. (CG Docket No. 12-129; PS Docket No. 21-343)</w:t>
            </w:r>
          </w:p>
          <w:p w:rsidR="009965A1" w:rsidRPr="0075748E" w:rsidP="009965A1" w14:paraId="5E2886BF" w14:textId="77777777">
            <w:pPr>
              <w:rPr>
                <w:b/>
                <w:bCs/>
                <w:sz w:val="22"/>
                <w:szCs w:val="22"/>
              </w:rPr>
            </w:pPr>
          </w:p>
          <w:p w:rsidR="001105FC" w:rsidP="0075748E" w14:paraId="184792D8" w14:textId="2F1A84CD">
            <w:pPr>
              <w:rPr>
                <w:sz w:val="22"/>
                <w:szCs w:val="22"/>
              </w:rPr>
            </w:pPr>
            <w:bookmarkStart w:id="1" w:name="_Hlk82080541"/>
            <w:r>
              <w:rPr>
                <w:b/>
                <w:bCs/>
                <w:sz w:val="22"/>
                <w:szCs w:val="22"/>
              </w:rPr>
              <w:t>Stopping</w:t>
            </w:r>
            <w:r w:rsidRPr="0075748E">
              <w:rPr>
                <w:b/>
                <w:bCs/>
                <w:sz w:val="22"/>
                <w:szCs w:val="22"/>
              </w:rPr>
              <w:t xml:space="preserve"> </w:t>
            </w:r>
            <w:r>
              <w:rPr>
                <w:b/>
                <w:bCs/>
                <w:sz w:val="22"/>
                <w:szCs w:val="22"/>
              </w:rPr>
              <w:t xml:space="preserve">Illegal </w:t>
            </w:r>
            <w:r w:rsidRPr="0075748E" w:rsidR="0075748E">
              <w:rPr>
                <w:b/>
                <w:bCs/>
                <w:sz w:val="22"/>
                <w:szCs w:val="22"/>
              </w:rPr>
              <w:t xml:space="preserve">Robocalls </w:t>
            </w:r>
            <w:r>
              <w:rPr>
                <w:b/>
                <w:bCs/>
                <w:sz w:val="22"/>
                <w:szCs w:val="22"/>
              </w:rPr>
              <w:t>From</w:t>
            </w:r>
            <w:r w:rsidR="0075748E">
              <w:rPr>
                <w:b/>
                <w:bCs/>
                <w:sz w:val="22"/>
                <w:szCs w:val="22"/>
              </w:rPr>
              <w:t xml:space="preserve"> Enter</w:t>
            </w:r>
            <w:r>
              <w:rPr>
                <w:b/>
                <w:bCs/>
                <w:sz w:val="22"/>
                <w:szCs w:val="22"/>
              </w:rPr>
              <w:t>ing</w:t>
            </w:r>
            <w:r w:rsidR="0075748E">
              <w:rPr>
                <w:b/>
                <w:bCs/>
                <w:sz w:val="22"/>
                <w:szCs w:val="22"/>
              </w:rPr>
              <w:t xml:space="preserve"> American Phone Networks</w:t>
            </w:r>
            <w:r w:rsidRPr="0075748E" w:rsidR="0075748E">
              <w:rPr>
                <w:sz w:val="22"/>
                <w:szCs w:val="22"/>
              </w:rPr>
              <w:t xml:space="preserve"> </w:t>
            </w:r>
            <w:bookmarkEnd w:id="1"/>
            <w:r w:rsidR="0075748E">
              <w:rPr>
                <w:sz w:val="22"/>
                <w:szCs w:val="22"/>
              </w:rPr>
              <w:t>–</w:t>
            </w:r>
            <w:r w:rsidRPr="0075748E" w:rsidR="0075748E">
              <w:rPr>
                <w:sz w:val="22"/>
                <w:szCs w:val="22"/>
              </w:rPr>
              <w:t xml:space="preserve"> The Commission will consider a Further Notice of Proposed Rulemaking that proposes to impose obligations on gateway providers to help stop illegal robocalls originating abroad from reaching U.S. consumers and businesses. (CG Docket No. 17-59</w:t>
            </w:r>
            <w:r w:rsidR="0075748E">
              <w:rPr>
                <w:sz w:val="22"/>
                <w:szCs w:val="22"/>
              </w:rPr>
              <w:t xml:space="preserve">; </w:t>
            </w:r>
            <w:r w:rsidRPr="0075748E" w:rsidR="0075748E">
              <w:rPr>
                <w:sz w:val="22"/>
                <w:szCs w:val="22"/>
              </w:rPr>
              <w:t>WC Docket No. 17-97)</w:t>
            </w:r>
          </w:p>
          <w:p w:rsidR="0075748E" w:rsidRPr="0075748E" w:rsidP="0075748E" w14:paraId="0CD925D7" w14:textId="77777777">
            <w:pPr>
              <w:rPr>
                <w:b/>
                <w:bCs/>
                <w:sz w:val="22"/>
                <w:szCs w:val="22"/>
              </w:rPr>
            </w:pPr>
          </w:p>
          <w:p w:rsidR="00C17FE5" w:rsidRPr="005B6EF2" w:rsidP="005B6EF2" w14:paraId="480F3218" w14:textId="37FD99C2">
            <w:pPr>
              <w:rPr>
                <w:sz w:val="22"/>
                <w:szCs w:val="22"/>
              </w:rPr>
            </w:pPr>
            <w:bookmarkStart w:id="2" w:name="_Hlk82080579"/>
            <w:r>
              <w:rPr>
                <w:b/>
                <w:bCs/>
                <w:sz w:val="22"/>
                <w:szCs w:val="22"/>
              </w:rPr>
              <w:t xml:space="preserve">Supporting </w:t>
            </w:r>
            <w:r w:rsidRPr="0075748E" w:rsidR="0075748E">
              <w:rPr>
                <w:b/>
                <w:bCs/>
                <w:sz w:val="22"/>
                <w:szCs w:val="22"/>
              </w:rPr>
              <w:t>Broadband for Tribal Libraries Through E-Ra</w:t>
            </w:r>
            <w:r w:rsidR="003E3A97">
              <w:rPr>
                <w:b/>
                <w:bCs/>
                <w:sz w:val="22"/>
                <w:szCs w:val="22"/>
              </w:rPr>
              <w:t>t</w:t>
            </w:r>
            <w:r w:rsidRPr="0075748E" w:rsidR="0075748E">
              <w:rPr>
                <w:b/>
                <w:bCs/>
                <w:sz w:val="22"/>
                <w:szCs w:val="22"/>
              </w:rPr>
              <w:t>e</w:t>
            </w:r>
            <w:r w:rsidR="003E3A97">
              <w:rPr>
                <w:b/>
                <w:bCs/>
                <w:sz w:val="22"/>
                <w:szCs w:val="22"/>
              </w:rPr>
              <w:t xml:space="preserve"> </w:t>
            </w:r>
            <w:bookmarkEnd w:id="2"/>
            <w:r w:rsidR="0075748E">
              <w:rPr>
                <w:sz w:val="22"/>
                <w:szCs w:val="22"/>
              </w:rPr>
              <w:t xml:space="preserve">– </w:t>
            </w:r>
            <w:r w:rsidRPr="0075748E" w:rsidR="0075748E">
              <w:rPr>
                <w:sz w:val="22"/>
                <w:szCs w:val="22"/>
              </w:rPr>
              <w:t xml:space="preserve">The Commission will consider a Notice of Proposed Rulemaking that proposes to update sections 54.500 and </w:t>
            </w:r>
            <w:r w:rsidRPr="0075748E" w:rsidR="0075748E">
              <w:rPr>
                <w:sz w:val="22"/>
                <w:szCs w:val="22"/>
              </w:rPr>
              <w:t xml:space="preserve">54.501(b)(1) of the Commission’s rules to amend the definition of library and to clarify Tribal libraries are eligible for support through the E-Rate Program. </w:t>
            </w:r>
            <w:r w:rsidR="0075748E">
              <w:rPr>
                <w:sz w:val="22"/>
                <w:szCs w:val="22"/>
              </w:rPr>
              <w:t>(</w:t>
            </w:r>
            <w:r w:rsidRPr="0075748E" w:rsidR="0075748E">
              <w:rPr>
                <w:sz w:val="22"/>
                <w:szCs w:val="22"/>
              </w:rPr>
              <w:t>CC Docket</w:t>
            </w:r>
            <w:r w:rsidR="0075748E">
              <w:rPr>
                <w:sz w:val="22"/>
                <w:szCs w:val="22"/>
              </w:rPr>
              <w:t xml:space="preserve"> No.</w:t>
            </w:r>
            <w:r w:rsidRPr="0075748E" w:rsidR="0075748E">
              <w:rPr>
                <w:sz w:val="22"/>
                <w:szCs w:val="22"/>
              </w:rPr>
              <w:t xml:space="preserve"> 02-6</w:t>
            </w:r>
            <w:r w:rsidR="0075748E">
              <w:rPr>
                <w:sz w:val="22"/>
                <w:szCs w:val="22"/>
              </w:rPr>
              <w:t>)</w:t>
            </w:r>
            <w:bookmarkStart w:id="3" w:name="_Hlk82072801"/>
            <w:bookmarkStart w:id="4" w:name="_Hlk82073058"/>
          </w:p>
          <w:bookmarkEnd w:id="3"/>
          <w:p w:rsidR="001105FC" w:rsidRPr="005B6EF2" w:rsidP="00C17FE5" w14:paraId="0A01957B" w14:textId="77777777">
            <w:pPr>
              <w:rPr>
                <w:sz w:val="22"/>
                <w:szCs w:val="22"/>
              </w:rPr>
            </w:pPr>
          </w:p>
          <w:p w:rsidR="004F3AFE" w:rsidP="00214FB5" w14:paraId="79D047E0" w14:textId="46D08224">
            <w:pPr>
              <w:rPr>
                <w:sz w:val="22"/>
                <w:szCs w:val="22"/>
              </w:rPr>
            </w:pPr>
            <w:r w:rsidRPr="005B6EF2">
              <w:rPr>
                <w:b/>
                <w:bCs/>
                <w:sz w:val="22"/>
                <w:szCs w:val="22"/>
              </w:rPr>
              <w:t>Strengthening Security Review of Companies with Foreign</w:t>
            </w:r>
            <w:r w:rsidR="009F1DF0">
              <w:rPr>
                <w:b/>
                <w:bCs/>
                <w:sz w:val="22"/>
                <w:szCs w:val="22"/>
              </w:rPr>
              <w:t xml:space="preserve"> Ownership</w:t>
            </w:r>
            <w:r w:rsidRPr="005B6EF2">
              <w:rPr>
                <w:b/>
                <w:bCs/>
                <w:sz w:val="22"/>
                <w:szCs w:val="22"/>
              </w:rPr>
              <w:t xml:space="preserve"> </w:t>
            </w:r>
            <w:r w:rsidRPr="005B6EF2">
              <w:rPr>
                <w:sz w:val="22"/>
                <w:szCs w:val="22"/>
              </w:rPr>
              <w:t xml:space="preserve">– The Commission will consider a Second Report and Order that would adopt Standard Questions – a baseline set of national security and law enforcement questions – that certain applicants with reportable foreign ownership must provide to the Executive Branch prior to or at the same time they file their applications with the Commission, thus expediting the Executive Branch’s review for national security and law enforcement concerns. </w:t>
            </w:r>
            <w:bookmarkStart w:id="5" w:name="_GoBack"/>
            <w:bookmarkEnd w:id="5"/>
            <w:r w:rsidRPr="005B6EF2">
              <w:rPr>
                <w:sz w:val="22"/>
                <w:szCs w:val="22"/>
              </w:rPr>
              <w:t>(IB Docket No. 16-155)</w:t>
            </w:r>
          </w:p>
          <w:bookmarkEnd w:id="4"/>
          <w:p w:rsidR="005B6EF2" w:rsidP="00214FB5" w14:paraId="4662656B" w14:textId="77777777">
            <w:pPr>
              <w:rPr>
                <w:sz w:val="22"/>
                <w:szCs w:val="22"/>
              </w:rPr>
            </w:pPr>
          </w:p>
          <w:p w:rsidR="00214FB5" w:rsidP="00214FB5" w14:paraId="47D99C40" w14:textId="77777777">
            <w:pPr>
              <w:rPr>
                <w:sz w:val="22"/>
                <w:szCs w:val="22"/>
              </w:rPr>
            </w:pPr>
            <w:r w:rsidRPr="004F3AFE">
              <w:rPr>
                <w:sz w:val="22"/>
                <w:szCs w:val="22"/>
              </w:rPr>
              <w:t xml:space="preserve">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4F3AFE" w:rsidRPr="002E165B" w:rsidP="00214FB5" w14:paraId="024C300D" w14:textId="77777777">
            <w:pPr>
              <w:rPr>
                <w:sz w:val="22"/>
                <w:szCs w:val="22"/>
              </w:rPr>
            </w:pPr>
          </w:p>
          <w:p w:rsidR="004F0F1F" w:rsidRPr="007475A1" w:rsidP="00850E26" w14:paraId="3FDC0C4F" w14:textId="77777777">
            <w:pPr>
              <w:ind w:right="72"/>
              <w:jc w:val="center"/>
              <w:rPr>
                <w:sz w:val="22"/>
                <w:szCs w:val="22"/>
              </w:rPr>
            </w:pPr>
            <w:r w:rsidRPr="007475A1">
              <w:rPr>
                <w:sz w:val="22"/>
                <w:szCs w:val="22"/>
              </w:rPr>
              <w:t>###</w:t>
            </w:r>
          </w:p>
          <w:bookmarkEnd w:id="0"/>
          <w:p w:rsidR="00CC5E08" w:rsidRPr="0080486B" w:rsidP="00850E26" w14:paraId="77D1054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8C41F5B" w14:textId="77777777">
            <w:pPr>
              <w:ind w:right="72"/>
              <w:jc w:val="center"/>
              <w:rPr>
                <w:b/>
                <w:bCs/>
                <w:sz w:val="18"/>
                <w:szCs w:val="18"/>
              </w:rPr>
            </w:pPr>
          </w:p>
          <w:p w:rsidR="00EE0E90" w:rsidRPr="00EF729B" w:rsidP="00850E26" w14:paraId="06F3A02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5DDA4D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8A1DF2"/>
    <w:multiLevelType w:val="hybridMultilevel"/>
    <w:tmpl w:val="EA3A5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5A13556F"/>
    <w:multiLevelType w:val="hybridMultilevel"/>
    <w:tmpl w:val="9BE6515E"/>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57971C4"/>
    <w:multiLevelType w:val="hybridMultilevel"/>
    <w:tmpl w:val="6B249DEE"/>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84"/>
    <w:rsid w:val="00011D63"/>
    <w:rsid w:val="0002500C"/>
    <w:rsid w:val="000311FC"/>
    <w:rsid w:val="00040127"/>
    <w:rsid w:val="00047998"/>
    <w:rsid w:val="00065E2D"/>
    <w:rsid w:val="00081232"/>
    <w:rsid w:val="00091E65"/>
    <w:rsid w:val="00096D4A"/>
    <w:rsid w:val="000A38EA"/>
    <w:rsid w:val="000B0ACA"/>
    <w:rsid w:val="000C1E47"/>
    <w:rsid w:val="000C26F3"/>
    <w:rsid w:val="000E049E"/>
    <w:rsid w:val="0010799B"/>
    <w:rsid w:val="001105FC"/>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1EE6"/>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145E"/>
    <w:rsid w:val="0031773E"/>
    <w:rsid w:val="00333871"/>
    <w:rsid w:val="003470E4"/>
    <w:rsid w:val="00347716"/>
    <w:rsid w:val="003506E1"/>
    <w:rsid w:val="003568B9"/>
    <w:rsid w:val="003727E3"/>
    <w:rsid w:val="003809E2"/>
    <w:rsid w:val="00385A93"/>
    <w:rsid w:val="003910F1"/>
    <w:rsid w:val="003D476B"/>
    <w:rsid w:val="003E3A97"/>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3AFE"/>
    <w:rsid w:val="005022AA"/>
    <w:rsid w:val="00504845"/>
    <w:rsid w:val="0050757F"/>
    <w:rsid w:val="00516AD2"/>
    <w:rsid w:val="005459DE"/>
    <w:rsid w:val="00545DAE"/>
    <w:rsid w:val="00571B83"/>
    <w:rsid w:val="00575A00"/>
    <w:rsid w:val="00586417"/>
    <w:rsid w:val="0058673C"/>
    <w:rsid w:val="005A7972"/>
    <w:rsid w:val="005B17E7"/>
    <w:rsid w:val="005B2643"/>
    <w:rsid w:val="005B4984"/>
    <w:rsid w:val="005B6EF2"/>
    <w:rsid w:val="005D17FD"/>
    <w:rsid w:val="005F0D55"/>
    <w:rsid w:val="005F183E"/>
    <w:rsid w:val="00600DDA"/>
    <w:rsid w:val="00603A30"/>
    <w:rsid w:val="00604211"/>
    <w:rsid w:val="00613498"/>
    <w:rsid w:val="00617B94"/>
    <w:rsid w:val="00620BED"/>
    <w:rsid w:val="00630B1D"/>
    <w:rsid w:val="006415B4"/>
    <w:rsid w:val="00644E3D"/>
    <w:rsid w:val="00651B9E"/>
    <w:rsid w:val="00652019"/>
    <w:rsid w:val="00657EC9"/>
    <w:rsid w:val="00665633"/>
    <w:rsid w:val="00674C86"/>
    <w:rsid w:val="0068015E"/>
    <w:rsid w:val="006861AB"/>
    <w:rsid w:val="00686A84"/>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5748E"/>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65A1"/>
    <w:rsid w:val="009972BC"/>
    <w:rsid w:val="009B4B16"/>
    <w:rsid w:val="009C7D2A"/>
    <w:rsid w:val="009E54A1"/>
    <w:rsid w:val="009F1DF0"/>
    <w:rsid w:val="009F4E25"/>
    <w:rsid w:val="009F5B1F"/>
    <w:rsid w:val="00A1532E"/>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17FE5"/>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14F1C"/>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AB6438"/>
  <w15:docId w15:val="{B8841B9B-FE24-4E4E-AEF0-C817D82E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 w:type="paragraph" w:styleId="ListParagraph">
    <w:name w:val="List Paragraph"/>
    <w:basedOn w:val="Normal"/>
    <w:uiPriority w:val="34"/>
    <w:qFormat/>
    <w:rsid w:val="00C1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