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FB461B" w:rsidRPr="00947C13" w:rsidP="00FB461B" w14:paraId="643821FF" w14:textId="77777777">
      <w:pPr>
        <w:spacing w:before="60"/>
        <w:rPr>
          <w:rFonts w:ascii="Times New Roman" w:hAnsi="Times New Roman" w:cs="Times New Roman"/>
          <w:b/>
          <w:sz w:val="24"/>
        </w:rPr>
      </w:pPr>
    </w:p>
    <w:p w:rsidR="00FB461B" w:rsidRPr="00947C13" w:rsidP="00FB461B" w14:paraId="587D253A" w14:textId="77777777">
      <w:pPr>
        <w:spacing w:before="60"/>
        <w:jc w:val="right"/>
        <w:rPr>
          <w:rFonts w:ascii="Times New Roman" w:hAnsi="Times New Roman" w:cs="Times New Roman"/>
          <w:b/>
          <w:sz w:val="24"/>
        </w:rPr>
        <w:sectPr w:rsidSect="00FB461B">
          <w:headerReference w:type="first" r:id="rId5"/>
          <w:pgSz w:w="12240" w:h="15840" w:code="1"/>
          <w:pgMar w:top="2940" w:right="1440" w:bottom="720" w:left="1440" w:header="720" w:footer="720" w:gutter="0"/>
          <w:cols w:space="720"/>
          <w:titlePg/>
        </w:sectPr>
      </w:pPr>
    </w:p>
    <w:p w:rsidR="00FB461B" w:rsidRPr="00947C13" w:rsidP="00947C13" w14:paraId="202E5301" w14:textId="54708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47C13">
        <w:rPr>
          <w:rFonts w:ascii="Times New Roman" w:hAnsi="Times New Roman" w:cs="Times New Roman"/>
          <w:b/>
          <w:sz w:val="24"/>
        </w:rPr>
        <w:t xml:space="preserve">Released:  </w:t>
      </w:r>
      <w:r w:rsidR="009015ED">
        <w:rPr>
          <w:rFonts w:ascii="Times New Roman" w:hAnsi="Times New Roman" w:cs="Times New Roman"/>
          <w:b/>
          <w:sz w:val="24"/>
        </w:rPr>
        <w:t xml:space="preserve">September </w:t>
      </w:r>
      <w:r w:rsidR="008E4804">
        <w:rPr>
          <w:rFonts w:ascii="Times New Roman" w:hAnsi="Times New Roman" w:cs="Times New Roman"/>
          <w:b/>
          <w:sz w:val="24"/>
        </w:rPr>
        <w:t>2</w:t>
      </w:r>
      <w:r w:rsidR="00DF27BC">
        <w:rPr>
          <w:rFonts w:ascii="Times New Roman" w:hAnsi="Times New Roman" w:cs="Times New Roman"/>
          <w:b/>
          <w:sz w:val="24"/>
        </w:rPr>
        <w:t>4</w:t>
      </w:r>
      <w:r w:rsidR="009015ED">
        <w:rPr>
          <w:rFonts w:ascii="Times New Roman" w:hAnsi="Times New Roman" w:cs="Times New Roman"/>
          <w:b/>
          <w:sz w:val="24"/>
        </w:rPr>
        <w:t>, 2021</w:t>
      </w:r>
    </w:p>
    <w:p w:rsidR="006C4D84" w:rsidRPr="00947C13" w:rsidP="00947C13" w14:paraId="2C331F43" w14:textId="77777777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6C4D84" w:rsidRPr="00947C13" w:rsidP="00FB461B" w14:paraId="40431545" w14:textId="77777777">
      <w:pPr>
        <w:spacing w:after="220"/>
        <w:jc w:val="center"/>
        <w:rPr>
          <w:rFonts w:ascii="Times New Roman" w:hAnsi="Times New Roman" w:cs="Times New Roman"/>
          <w:b/>
          <w:sz w:val="24"/>
        </w:rPr>
      </w:pPr>
      <w:r w:rsidRPr="00947C13">
        <w:rPr>
          <w:rFonts w:ascii="Times New Roman" w:hAnsi="Times New Roman" w:cs="Times New Roman"/>
          <w:b/>
          <w:sz w:val="24"/>
        </w:rPr>
        <w:t>ERRATUM</w:t>
      </w:r>
    </w:p>
    <w:p w:rsidR="008954D7" w:rsidP="008954D7" w14:paraId="0EF13BF4" w14:textId="1F2C8AC2">
      <w:pPr>
        <w:jc w:val="center"/>
        <w:rPr>
          <w:rFonts w:ascii="Times New Roman" w:hAnsi="Times New Roman" w:cs="Times New Roman"/>
        </w:rPr>
      </w:pPr>
      <w:r w:rsidRPr="003B79E3">
        <w:rPr>
          <w:rFonts w:ascii="Times New Roman Bold" w:hAnsi="Times New Roman Bold"/>
          <w:b/>
          <w:caps/>
        </w:rPr>
        <w:t>procedures for filing requests for waiver, reduction, deferral and installment payment of FY 2021 regulatory fees</w:t>
      </w:r>
      <w:r>
        <w:rPr>
          <w:rFonts w:ascii="Times New Roman Bold" w:hAnsi="Times New Roman Bold"/>
          <w:b/>
          <w:caps/>
        </w:rPr>
        <w:t xml:space="preserve"> </w:t>
      </w:r>
      <w:r w:rsidRPr="003B79E3">
        <w:rPr>
          <w:rFonts w:ascii="Times New Roman Bold" w:hAnsi="Times New Roman Bold"/>
          <w:b/>
          <w:caps/>
        </w:rPr>
        <w:t>DUE TO THE CORONAVIRUS PANDEMIC</w:t>
      </w:r>
      <w:r w:rsidRPr="00947C13" w:rsidR="003D167D">
        <w:rPr>
          <w:rFonts w:ascii="Times New Roman" w:hAnsi="Times New Roman" w:cs="Times New Roman"/>
        </w:rPr>
        <w:tab/>
      </w:r>
    </w:p>
    <w:p w:rsidR="008954D7" w:rsidP="008954D7" w14:paraId="24617EF2" w14:textId="77777777">
      <w:pPr>
        <w:jc w:val="center"/>
        <w:rPr>
          <w:rFonts w:ascii="Times New Roman" w:hAnsi="Times New Roman" w:cs="Times New Roman"/>
        </w:rPr>
      </w:pPr>
    </w:p>
    <w:p w:rsidR="008E4804" w:rsidRPr="008E4804" w:rsidP="008E4804" w14:paraId="450750AE" w14:textId="77777777">
      <w:pPr>
        <w:ind w:firstLine="720"/>
        <w:rPr>
          <w:rFonts w:ascii="Times New Roman" w:hAnsi="Times New Roman" w:cs="Times New Roman"/>
          <w:i/>
          <w:iCs/>
        </w:rPr>
      </w:pPr>
      <w:r w:rsidRPr="008E4804">
        <w:rPr>
          <w:rFonts w:ascii="Times New Roman" w:hAnsi="Times New Roman" w:cs="Times New Roman"/>
        </w:rPr>
        <w:t xml:space="preserve">On September 10, 2021, the Office of the Managing Director released a </w:t>
      </w:r>
      <w:r w:rsidRPr="008E4804">
        <w:rPr>
          <w:rFonts w:ascii="Times New Roman" w:hAnsi="Times New Roman" w:cs="Times New Roman"/>
          <w:i/>
        </w:rPr>
        <w:t>Public Notice</w:t>
      </w:r>
      <w:r w:rsidRPr="008E4804">
        <w:rPr>
          <w:rFonts w:ascii="Times New Roman" w:hAnsi="Times New Roman" w:cs="Times New Roman"/>
        </w:rPr>
        <w:t xml:space="preserve">, DA 21-1137, providing guidance on filing waivers, reductions, deferrals, and requests for installment payments (“waivers”) from FY 2021 regulatory fees.  This Erratum amends the </w:t>
      </w:r>
      <w:r w:rsidRPr="008E4804">
        <w:rPr>
          <w:rFonts w:ascii="Times New Roman" w:hAnsi="Times New Roman" w:cs="Times New Roman"/>
          <w:i/>
        </w:rPr>
        <w:t xml:space="preserve">Public Notice </w:t>
      </w:r>
      <w:r w:rsidRPr="008E4804">
        <w:rPr>
          <w:rFonts w:ascii="Times New Roman" w:hAnsi="Times New Roman" w:cs="Times New Roman"/>
        </w:rPr>
        <w:t>by changing the due date for filing waivers to September 27, 2021 to correspond to the due date for filing regulatory fees.</w:t>
      </w:r>
      <w:r>
        <w:rPr>
          <w:rStyle w:val="FootnoteReference"/>
          <w:rFonts w:cs="Times New Roman"/>
          <w:sz w:val="22"/>
        </w:rPr>
        <w:footnoteReference w:id="2"/>
      </w:r>
    </w:p>
    <w:p w:rsidR="003D167D" w:rsidRPr="008954D7" w:rsidP="009015ED" w14:paraId="6CC40F09" w14:textId="5D87FD25">
      <w:pPr>
        <w:rPr>
          <w:rFonts w:ascii="Times New Roman Bold" w:hAnsi="Times New Roman Bold"/>
          <w:b/>
          <w:caps/>
        </w:rPr>
      </w:pPr>
      <w:r>
        <w:rPr>
          <w:rFonts w:ascii="Times New Roman" w:hAnsi="Times New Roman" w:cs="Times New Roman"/>
        </w:rPr>
        <w:t xml:space="preserve"> </w:t>
      </w:r>
    </w:p>
    <w:p w:rsidR="00FB461B" w:rsidRPr="0091391B" w:rsidP="009015ED" w14:paraId="3881BC10" w14:textId="77777777">
      <w:pPr>
        <w:spacing w:before="120" w:after="240"/>
        <w:rPr>
          <w:rFonts w:ascii="Times New Roman" w:hAnsi="Times New Roman" w:cs="Times New Roman"/>
        </w:rPr>
      </w:pPr>
    </w:p>
    <w:p w:rsidR="00FB461B" w:rsidRPr="0091391B" w:rsidP="00FB461B" w14:paraId="64188BF3" w14:textId="77777777">
      <w:pPr>
        <w:spacing w:before="120" w:after="240"/>
        <w:jc w:val="center"/>
        <w:rPr>
          <w:rFonts w:ascii="Times New Roman" w:hAnsi="Times New Roman" w:cs="Times New Roman"/>
        </w:rPr>
      </w:pPr>
      <w:r w:rsidRPr="0091391B">
        <w:rPr>
          <w:rFonts w:ascii="Times New Roman" w:hAnsi="Times New Roman" w:cs="Times New Roman"/>
        </w:rPr>
        <w:t xml:space="preserve">- </w:t>
      </w:r>
      <w:r w:rsidRPr="0091391B">
        <w:rPr>
          <w:rFonts w:ascii="Times New Roman" w:hAnsi="Times New Roman" w:cs="Times New Roman"/>
          <w:b/>
        </w:rPr>
        <w:t>FCC</w:t>
      </w:r>
      <w:r w:rsidRPr="0091391B">
        <w:rPr>
          <w:rFonts w:ascii="Times New Roman" w:hAnsi="Times New Roman" w:cs="Times New Roman"/>
        </w:rPr>
        <w:t xml:space="preserve"> -</w:t>
      </w:r>
    </w:p>
    <w:sectPr w:rsidSect="00FB461B">
      <w:type w:val="continuous"/>
      <w:pgSz w:w="12240" w:h="15840" w:code="1"/>
      <w:pgMar w:top="294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B461B" w14:paraId="1CBDD6D3" w14:textId="77777777">
      <w:r>
        <w:separator/>
      </w:r>
    </w:p>
  </w:footnote>
  <w:footnote w:type="continuationSeparator" w:id="1">
    <w:p w:rsidR="00FB461B" w14:paraId="7398AEAC" w14:textId="77777777">
      <w:r>
        <w:continuationSeparator/>
      </w:r>
    </w:p>
  </w:footnote>
  <w:footnote w:id="2">
    <w:p w:rsidR="008E4804" w:rsidRPr="00951EAC" w:rsidP="008E4804" w14:paraId="44AEEDB1" w14:textId="77777777">
      <w:pPr>
        <w:shd w:val="clear" w:color="auto" w:fill="FFFFFF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D05239">
        <w:rPr>
          <w:rFonts w:ascii="Times New Roman" w:hAnsi="Times New Roman" w:cs="Times New Roman"/>
          <w:i/>
          <w:sz w:val="20"/>
        </w:rPr>
        <w:t>See Regulatory Fee Filing Window is Extended to Monday, September 27, 2021</w:t>
      </w:r>
      <w:r w:rsidRPr="00D05239">
        <w:rPr>
          <w:rFonts w:ascii="Times New Roman" w:hAnsi="Times New Roman" w:cs="Times New Roman"/>
          <w:sz w:val="20"/>
        </w:rPr>
        <w:t>, Public Notice, DA 21-1201 (Office of the Managing Director, Sept. 24, 2021).</w:t>
      </w:r>
    </w:p>
    <w:p w:rsidR="008E4804" w:rsidP="008E4804" w14:paraId="05E167E9" w14:textId="7777777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61B" w:rsidRPr="00947C13" w:rsidP="00947C13" w14:paraId="31F1234E" w14:textId="77777777">
    <w:pPr>
      <w:pStyle w:val="Header"/>
    </w:pPr>
    <w:r w:rsidRPr="00947C13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-659130</wp:posOffset>
          </wp:positionH>
          <wp:positionV relativeFrom="paragraph">
            <wp:posOffset>117475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C1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819150</wp:posOffset>
              </wp:positionV>
              <wp:extent cx="3108960" cy="6286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 w:rsidP="00947C13" w14:textId="77777777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FB461B" w:rsidP="00947C13" w14:textId="626881BC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8954D7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8954D7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8954D7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FB461B" w:rsidP="00947C13" w14:textId="77777777">
                          <w:pPr>
                            <w:spacing w:after="0" w:line="240" w:lineRule="auto"/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49.5pt;margin-top:64.5pt;margin-left:-3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FB461B" w:rsidP="00947C13" w14:paraId="242416CF" w14:textId="77777777">
                    <w:pPr>
                      <w:spacing w:after="0" w:line="240" w:lineRule="auto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FB461B" w:rsidP="00947C13" w14:paraId="178BC1B1" w14:textId="626881BC">
                    <w:pPr>
                      <w:spacing w:after="0" w:line="240" w:lineRule="auto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8954D7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8954D7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8954D7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FB461B" w:rsidP="00947C13" w14:paraId="67926982" w14:textId="77777777">
                    <w:pPr>
                      <w:spacing w:after="0" w:line="240" w:lineRule="auto"/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Pr="00947C13">
      <w:t>PUBLIC NOTICE</w:t>
    </w:r>
  </w:p>
  <w:p w:rsidR="00FB461B" w:rsidRPr="00FB461B" w:rsidP="00947C13" w14:paraId="0AE430D8" w14:textId="77777777">
    <w:pPr>
      <w:pStyle w:val="Header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3361690</wp:posOffset>
              </wp:positionH>
              <wp:positionV relativeFrom="paragraph">
                <wp:posOffset>62230</wp:posOffset>
              </wp:positionV>
              <wp:extent cx="2640965" cy="501015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 w:rsidP="00947C13" w14:textId="77777777">
                          <w:pPr>
                            <w:spacing w:before="40" w:after="0" w:line="240" w:lineRule="auto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B461B" w:rsidP="00947C13" w14:textId="77777777">
                          <w:pPr>
                            <w:spacing w:after="0" w:line="240" w:lineRule="auto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FB461B" w:rsidP="00947C13" w14:textId="77777777">
                          <w:pPr>
                            <w:spacing w:after="0" w:line="240" w:lineRule="auto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FB461B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07.95pt;height:39.45pt;margin-top:4.9pt;margin-left:26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FB461B" w:rsidP="00947C13" w14:paraId="040802CA" w14:textId="77777777">
                    <w:pPr>
                      <w:spacing w:before="40" w:after="0" w:line="240" w:lineRule="auto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FB461B" w:rsidP="00947C13" w14:paraId="425FB841" w14:textId="77777777">
                    <w:pPr>
                      <w:spacing w:after="0" w:line="240" w:lineRule="auto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FB461B" w:rsidP="00947C13" w14:paraId="6D2C6A48" w14:textId="77777777">
                    <w:pPr>
                      <w:spacing w:after="0" w:line="240" w:lineRule="auto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FB461B" w14:paraId="5BF62FBC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645160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0.8pt" to="468pt,50.8pt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B8"/>
    <w:rsid w:val="000204AC"/>
    <w:rsid w:val="00062915"/>
    <w:rsid w:val="00182FAF"/>
    <w:rsid w:val="002137EB"/>
    <w:rsid w:val="00234F26"/>
    <w:rsid w:val="002E1CA3"/>
    <w:rsid w:val="00303AD9"/>
    <w:rsid w:val="00305231"/>
    <w:rsid w:val="003A314E"/>
    <w:rsid w:val="003B5F58"/>
    <w:rsid w:val="003B79E3"/>
    <w:rsid w:val="003C4AA8"/>
    <w:rsid w:val="003D167D"/>
    <w:rsid w:val="0047075B"/>
    <w:rsid w:val="006427F1"/>
    <w:rsid w:val="006539F0"/>
    <w:rsid w:val="00664D5A"/>
    <w:rsid w:val="00682368"/>
    <w:rsid w:val="006C4D84"/>
    <w:rsid w:val="00783A0F"/>
    <w:rsid w:val="00861AF8"/>
    <w:rsid w:val="008620EB"/>
    <w:rsid w:val="008757CF"/>
    <w:rsid w:val="008954D7"/>
    <w:rsid w:val="008E4804"/>
    <w:rsid w:val="009015ED"/>
    <w:rsid w:val="0091391B"/>
    <w:rsid w:val="00947C13"/>
    <w:rsid w:val="00951EAC"/>
    <w:rsid w:val="009B7B97"/>
    <w:rsid w:val="00A20BB8"/>
    <w:rsid w:val="00A23A2E"/>
    <w:rsid w:val="00B74109"/>
    <w:rsid w:val="00B74965"/>
    <w:rsid w:val="00C41864"/>
    <w:rsid w:val="00D05239"/>
    <w:rsid w:val="00D40345"/>
    <w:rsid w:val="00DF27BC"/>
    <w:rsid w:val="00DF6080"/>
    <w:rsid w:val="00E3186A"/>
    <w:rsid w:val="00E32D4B"/>
    <w:rsid w:val="00E42528"/>
    <w:rsid w:val="00E576AB"/>
    <w:rsid w:val="00E82842"/>
    <w:rsid w:val="00FA7E5F"/>
    <w:rsid w:val="00FB46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5EC9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F27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0"/>
    <w:qFormat/>
    <w:rsid w:val="00682368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682368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682368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682368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682368"/>
    <w:pPr>
      <w:keepNext/>
      <w:numPr>
        <w:ilvl w:val="4"/>
        <w:numId w:val="2"/>
      </w:numPr>
      <w:tabs>
        <w:tab w:val="left" w:pos="3600"/>
        <w:tab w:val="clear" w:pos="396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682368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682368"/>
    <w:pPr>
      <w:numPr>
        <w:ilvl w:val="7"/>
        <w:numId w:val="2"/>
      </w:numPr>
      <w:tabs>
        <w:tab w:val="left" w:pos="5040"/>
        <w:tab w:val="clear" w:pos="540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682368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682368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F27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27BC"/>
  </w:style>
  <w:style w:type="paragraph" w:styleId="Header">
    <w:name w:val="header"/>
    <w:basedOn w:val="Normal"/>
    <w:autoRedefine/>
    <w:rsid w:val="00947C13"/>
    <w:pPr>
      <w:tabs>
        <w:tab w:val="center" w:pos="4680"/>
        <w:tab w:val="right" w:pos="9360"/>
      </w:tabs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rsid w:val="00682368"/>
    <w:pPr>
      <w:tabs>
        <w:tab w:val="center" w:pos="4320"/>
        <w:tab w:val="right" w:pos="8640"/>
      </w:tabs>
    </w:pPr>
  </w:style>
  <w:style w:type="character" w:styleId="Hyperlink">
    <w:name w:val="Hyperlink"/>
    <w:rsid w:val="00682368"/>
    <w:rPr>
      <w:color w:val="0000FF"/>
      <w:u w:val="single"/>
    </w:rPr>
  </w:style>
  <w:style w:type="paragraph" w:styleId="BlockText">
    <w:name w:val="Block Text"/>
    <w:basedOn w:val="Normal"/>
    <w:rsid w:val="00682368"/>
    <w:pPr>
      <w:spacing w:after="240"/>
      <w:ind w:left="1440" w:right="1440"/>
    </w:pPr>
  </w:style>
  <w:style w:type="paragraph" w:customStyle="1" w:styleId="Bullet">
    <w:name w:val="Bullet"/>
    <w:basedOn w:val="Normal"/>
    <w:rsid w:val="00682368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FB461B"/>
    <w:pPr>
      <w:spacing w:before="120" w:after="120"/>
    </w:pPr>
    <w:rPr>
      <w:b/>
    </w:rPr>
  </w:style>
  <w:style w:type="character" w:styleId="FootnoteReference">
    <w:name w:val="footnote reference"/>
    <w:rsid w:val="00682368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682368"/>
    <w:pPr>
      <w:spacing w:after="120"/>
    </w:pPr>
  </w:style>
  <w:style w:type="paragraph" w:customStyle="1" w:styleId="NumberedList">
    <w:name w:val="Numbered List"/>
    <w:basedOn w:val="Normal"/>
    <w:rsid w:val="00FB461B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FB461B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FB461B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68236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FB461B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682368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68236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B461B"/>
    <w:rPr>
      <w:snapToGrid w:val="0"/>
      <w:kern w:val="28"/>
    </w:rPr>
  </w:style>
  <w:style w:type="character" w:styleId="EndnoteReference">
    <w:name w:val="endnote reference"/>
    <w:semiHidden/>
    <w:rsid w:val="00682368"/>
    <w:rPr>
      <w:vertAlign w:val="superscript"/>
    </w:rPr>
  </w:style>
  <w:style w:type="paragraph" w:styleId="TOC2">
    <w:name w:val="toc 2"/>
    <w:basedOn w:val="Normal"/>
    <w:next w:val="Normal"/>
    <w:semiHidden/>
    <w:rsid w:val="0068236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8236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8236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8236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8236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8236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8236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8236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8236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82368"/>
  </w:style>
  <w:style w:type="character" w:styleId="PageNumber">
    <w:name w:val="page number"/>
    <w:basedOn w:val="DefaultParagraphFont"/>
    <w:rsid w:val="00682368"/>
  </w:style>
  <w:style w:type="paragraph" w:customStyle="1" w:styleId="Paratitle">
    <w:name w:val="Para title"/>
    <w:basedOn w:val="Normal"/>
    <w:rsid w:val="00682368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68236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8236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82368"/>
    <w:pPr>
      <w:jc w:val="center"/>
    </w:pPr>
    <w:rPr>
      <w:rFonts w:ascii="Times New Roman Bold" w:hAnsi="Times New Roman Bold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