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A4FF7" w:rsidRPr="00C8022E" w:rsidP="000A4FF7" w14:paraId="10CDFB77" w14:textId="777777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C8022E">
        <w:rPr>
          <w:rFonts w:ascii="Times New Roman" w:hAnsi="Times New Roman" w:cs="Times New Roman"/>
          <w:b/>
          <w:bCs/>
          <w:caps/>
          <w:sz w:val="22"/>
          <w:szCs w:val="22"/>
        </w:rPr>
        <w:t>Statement of</w:t>
      </w:r>
    </w:p>
    <w:p w:rsidR="000A4FF7" w:rsidP="000A4FF7" w14:paraId="4934CC03" w14:textId="777777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C8022E">
        <w:rPr>
          <w:rFonts w:ascii="Times New Roman" w:hAnsi="Times New Roman" w:cs="Times New Roman"/>
          <w:b/>
          <w:bCs/>
          <w:caps/>
          <w:sz w:val="22"/>
          <w:szCs w:val="22"/>
        </w:rPr>
        <w:t>commissioner brendan carr</w:t>
      </w:r>
    </w:p>
    <w:p w:rsidR="000A4FF7" w:rsidRPr="00C8022E" w:rsidP="000A4FF7" w14:paraId="09836962" w14:textId="777777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concurring in part and approving in part</w:t>
      </w:r>
    </w:p>
    <w:p w:rsidR="000A4FF7" w:rsidRPr="00C8022E" w:rsidP="000A4FF7" w14:paraId="116E835C" w14:textId="77777777">
      <w:pPr>
        <w:spacing w:before="0" w:beforeAutospacing="0" w:after="0" w:afterAutospacing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53C12" w:rsidP="00A53C12" w14:paraId="6FF1E4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F97566">
        <w:rPr>
          <w:rStyle w:val="normaltextrun"/>
          <w:color w:val="000000"/>
          <w:sz w:val="22"/>
          <w:szCs w:val="22"/>
        </w:rPr>
        <w:t>Re:</w:t>
      </w:r>
      <w:r w:rsidRPr="00F97566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F97566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F97566">
        <w:rPr>
          <w:rStyle w:val="normaltextrun"/>
          <w:i/>
          <w:iCs/>
          <w:color w:val="000000"/>
          <w:sz w:val="22"/>
          <w:szCs w:val="22"/>
        </w:rPr>
        <w:t xml:space="preserve">In the Matter of Amendment of Part 90 of the Commission’s Rules, </w:t>
      </w:r>
      <w:r w:rsidRPr="00F97566">
        <w:rPr>
          <w:rStyle w:val="normaltextrun"/>
          <w:color w:val="000000"/>
          <w:sz w:val="22"/>
          <w:szCs w:val="22"/>
        </w:rPr>
        <w:t>WP Docket No. 07-100</w:t>
      </w:r>
    </w:p>
    <w:p w:rsidR="000A4FF7" w:rsidP="000A4FF7" w14:paraId="67AC1977" w14:textId="77777777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:rsidR="000A4FF7" w:rsidRPr="00C8022E" w:rsidP="000A4FF7" w14:paraId="5059C737" w14:textId="3FB844C1">
      <w:pPr>
        <w:spacing w:before="0" w:beforeAutospacing="0" w:after="0" w:afterAutospacing="0"/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Over the last four years, the FCC took the bold steps necessary to unleash an unprecedented amount of mid-band spectrum for 5G and other next-gen operations.  Those efforts included action on 280 MHz in the C Band, 45 MHz in the 5.9 GHz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b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and, 1,200 MHz in the 6 GHz band, 30 MHz in the L Band, 200 MHz in the 2.5 GHz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b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and, 50 MHz in the 4.9 GHz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b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and, as well as work to prepare 100 MHz in the 3.45 GHz band for auction next month.  Each of those bands took quite a lot of work over the course of many months</w:t>
      </w:r>
      <w:r w:rsidR="00240E8F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and years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.   </w:t>
      </w:r>
    </w:p>
    <w:p w:rsidR="000A4FF7" w:rsidP="000A4FF7" w14:paraId="1F3C72C8" w14:textId="77777777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:rsidR="000A4FF7" w:rsidRPr="00C8022E" w:rsidP="000A4FF7" w14:paraId="6D0C2869" w14:textId="77777777">
      <w:pPr>
        <w:spacing w:before="0" w:beforeAutospacing="0" w:after="0" w:afterAutospacing="0"/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That’s why I was disappointed when the FCC voted to take the 50 MHz at 4.9 GHz off the board earlier this year by staying our 2020 decision.  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I dissented from that decision, b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ut as I said at the time, I am open to working with my colleagues, the public safety community, and all other stakeholders on a new framework for this important band of spectrum.  That remains true today.  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Our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2020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decision was 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certainly not the only way to ensure that the 4.9 GHz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spectrum 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can be put to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good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use.  So while I concur on the portion of today’s decision that reverses our 2020 decision, I approve the Notice that seeks comments on a path forward.   </w:t>
      </w:r>
    </w:p>
    <w:p w:rsidR="000A4FF7" w:rsidP="000A4FF7" w14:paraId="06774879" w14:textId="77777777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:rsidR="000A4FF7" w:rsidRPr="00C8022E" w:rsidP="000A4FF7" w14:paraId="2923F50B" w14:textId="77777777">
      <w:pPr>
        <w:spacing w:before="0" w:beforeAutospacing="0" w:after="0" w:afterAutospacing="0"/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I welcome the chance to work together towards a quick resolution that serves the public interest and, in particular, the public safety stakeholders that have a deep commitment to this band.  I thank the staff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of the </w:t>
      </w:r>
      <w:r w:rsidRPr="00E271BC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Wireless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Telecommunications </w:t>
      </w:r>
      <w:r w:rsidRPr="00E271BC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Bureau and the Public Safety and Homeland Security Bureau</w:t>
      </w:r>
      <w:r w:rsidRPr="00C8022E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for preparing this item.</w:t>
      </w:r>
    </w:p>
    <w:p w:rsidR="000A4FF7" w:rsidRPr="00C8022E" w:rsidP="000A4FF7" w14:paraId="637C6B7B" w14:textId="77777777">
      <w:pPr>
        <w:spacing w:before="0" w:beforeAutospacing="0" w:after="0" w:afterAutospacing="0"/>
        <w:ind w:left="720" w:hanging="720"/>
        <w:rPr>
          <w:rFonts w:ascii="Times New Roman" w:hAnsi="Times New Roman" w:cs="Times New Roman"/>
          <w:i/>
          <w:sz w:val="22"/>
          <w:szCs w:val="22"/>
        </w:rPr>
      </w:pPr>
    </w:p>
    <w:p w:rsidR="000A4FF7" w:rsidRPr="00C8022E" w:rsidP="000A4FF7" w14:paraId="37342846" w14:textId="77777777">
      <w:pPr>
        <w:spacing w:before="0" w:beforeAutospacing="0" w:after="0" w:afterAutospacing="0"/>
        <w:rPr>
          <w:sz w:val="22"/>
          <w:szCs w:val="22"/>
        </w:rPr>
      </w:pPr>
    </w:p>
    <w:p w:rsidR="000A4FF7" w:rsidRPr="00C8022E" w:rsidP="000A4FF7" w14:paraId="66F9D00E" w14:textId="77777777">
      <w:pPr>
        <w:spacing w:before="0" w:beforeAutospacing="0" w:after="0" w:afterAutospacing="0"/>
        <w:rPr>
          <w:sz w:val="22"/>
          <w:szCs w:val="22"/>
        </w:rPr>
      </w:pPr>
    </w:p>
    <w:p w:rsidR="00033DA1" w14:paraId="675AA12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F7"/>
    <w:rsid w:val="00033DA1"/>
    <w:rsid w:val="000A4FF7"/>
    <w:rsid w:val="00240E8F"/>
    <w:rsid w:val="00265500"/>
    <w:rsid w:val="002B48FB"/>
    <w:rsid w:val="009C257C"/>
    <w:rsid w:val="00A53C12"/>
    <w:rsid w:val="00C26867"/>
    <w:rsid w:val="00C8022E"/>
    <w:rsid w:val="00CA37AC"/>
    <w:rsid w:val="00E271BC"/>
    <w:rsid w:val="00F975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FB98B0"/>
  <w15:chartTrackingRefBased/>
  <w15:docId w15:val="{CB892167-6C6C-C248-857A-6D06C4E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A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3C12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53C12"/>
  </w:style>
  <w:style w:type="character" w:customStyle="1" w:styleId="tabchar">
    <w:name w:val="tabchar"/>
    <w:basedOn w:val="DefaultParagraphFont"/>
    <w:rsid w:val="00A5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