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0CF657D2" w14:textId="77777777" w:rsidTr="14D7F901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00FF232D" w:rsidRPr="00176AD8" w:rsidP="006A7D75" w14:paraId="262058FD" w14:textId="137687E1">
            <w:pPr>
              <w:jc w:val="center"/>
              <w:rPr>
                <w:b/>
              </w:rPr>
            </w:pPr>
            <w:r w:rsidRPr="00176AD8">
              <w:rPr>
                <w:b/>
                <w:i/>
                <w:noProof/>
                <w:color w:val="2B579A"/>
                <w:sz w:val="28"/>
                <w:szCs w:val="28"/>
                <w:shd w:val="clear" w:color="auto" w:fill="E6E6E6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176AD8" w:rsidP="00B57131" w14:paraId="4202A160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176AD8" w:rsidP="00BB4E29" w14:paraId="79F5B3F1" w14:textId="77777777">
            <w:pPr>
              <w:rPr>
                <w:b/>
                <w:bCs/>
                <w:sz w:val="22"/>
                <w:szCs w:val="22"/>
              </w:rPr>
            </w:pPr>
            <w:r w:rsidRPr="00176AD8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176AD8" w:rsidP="00BB4E29" w14:paraId="62051D1C" w14:textId="69D5CD6C">
            <w:pPr>
              <w:rPr>
                <w:bCs/>
                <w:sz w:val="22"/>
                <w:szCs w:val="22"/>
              </w:rPr>
            </w:pPr>
            <w:r w:rsidRPr="00176AD8">
              <w:rPr>
                <w:bCs/>
                <w:sz w:val="22"/>
                <w:szCs w:val="22"/>
              </w:rPr>
              <w:t>Anne Veigle</w:t>
            </w:r>
          </w:p>
          <w:p w:rsidR="00FF232D" w:rsidRPr="00176AD8" w:rsidP="00BB4E29" w14:paraId="793A9F0C" w14:textId="074D366E">
            <w:pPr>
              <w:rPr>
                <w:bCs/>
                <w:sz w:val="22"/>
                <w:szCs w:val="22"/>
              </w:rPr>
            </w:pPr>
            <w:r w:rsidRPr="00176AD8">
              <w:rPr>
                <w:bCs/>
                <w:sz w:val="22"/>
                <w:szCs w:val="22"/>
              </w:rPr>
              <w:t>anne</w:t>
            </w:r>
            <w:r w:rsidRPr="00176AD8" w:rsidR="007A44F8">
              <w:rPr>
                <w:bCs/>
                <w:sz w:val="22"/>
                <w:szCs w:val="22"/>
              </w:rPr>
              <w:t>.</w:t>
            </w:r>
            <w:r w:rsidRPr="00176AD8">
              <w:rPr>
                <w:bCs/>
                <w:sz w:val="22"/>
                <w:szCs w:val="22"/>
              </w:rPr>
              <w:t>veigle</w:t>
            </w:r>
            <w:r w:rsidRPr="00176AD8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176AD8" w:rsidP="00BB4E29" w14:paraId="58F4946E" w14:textId="77777777">
            <w:pPr>
              <w:rPr>
                <w:bCs/>
                <w:sz w:val="22"/>
                <w:szCs w:val="22"/>
              </w:rPr>
            </w:pPr>
          </w:p>
          <w:p w:rsidR="00CE2FA6" w:rsidP="00AD6B87" w14:paraId="4F5FAA92" w14:textId="64C78BC8">
            <w:pPr>
              <w:rPr>
                <w:b/>
                <w:sz w:val="22"/>
                <w:szCs w:val="22"/>
              </w:rPr>
            </w:pPr>
            <w:r w:rsidRPr="00176AD8">
              <w:rPr>
                <w:b/>
                <w:sz w:val="22"/>
                <w:szCs w:val="22"/>
              </w:rPr>
              <w:t>For Immediate Release</w:t>
            </w:r>
          </w:p>
          <w:p w:rsidR="006208EA" w:rsidP="00AD6B87" w14:paraId="564A6A12" w14:textId="7FD41C63">
            <w:pPr>
              <w:rPr>
                <w:b/>
                <w:sz w:val="22"/>
                <w:szCs w:val="22"/>
              </w:rPr>
            </w:pPr>
          </w:p>
          <w:p w:rsidR="006208EA" w:rsidRPr="006208EA" w:rsidP="006208EA" w14:paraId="0751F8BB" w14:textId="4EA91FAF">
            <w:pPr>
              <w:jc w:val="center"/>
              <w:rPr>
                <w:b/>
                <w:sz w:val="26"/>
                <w:szCs w:val="26"/>
              </w:rPr>
            </w:pPr>
            <w:bookmarkStart w:id="0" w:name="_Hlk84932586"/>
            <w:r w:rsidRPr="006208EA">
              <w:rPr>
                <w:b/>
                <w:sz w:val="26"/>
                <w:szCs w:val="26"/>
              </w:rPr>
              <w:t>FCC COMMITS OVER $1.1 BILLION IN SECOND FUNDING WAVE OF EMERGENCY CONNECTIVITY FUND PROGRAM, FUNDING OVER 2.4 MILLION DEVICES AND 1.9 MILLION BROADBAND CONNECTIONS</w:t>
            </w:r>
          </w:p>
          <w:bookmarkEnd w:id="0"/>
          <w:p w:rsidR="00AD6B87" w:rsidRPr="00AD6B87" w:rsidP="00AD6B87" w14:paraId="4D18CDCF" w14:textId="5ACB0633">
            <w:pPr>
              <w:rPr>
                <w:b/>
                <w:sz w:val="22"/>
                <w:szCs w:val="22"/>
              </w:rPr>
            </w:pPr>
          </w:p>
          <w:p w:rsidR="007466BC" w:rsidP="004F62B6" w14:paraId="02FB0711" w14:textId="306C4E07">
            <w:pPr>
              <w:tabs>
                <w:tab w:val="left" w:pos="8625"/>
              </w:tabs>
              <w:jc w:val="center"/>
              <w:rPr>
                <w:b/>
                <w:bCs/>
                <w:i/>
                <w:iCs/>
              </w:rPr>
            </w:pPr>
            <w:bookmarkStart w:id="1" w:name="_Hlk84426605"/>
            <w:r>
              <w:rPr>
                <w:b/>
                <w:bCs/>
                <w:i/>
                <w:iCs/>
              </w:rPr>
              <w:t>Over $2.</w:t>
            </w:r>
            <w:r w:rsidR="00AD6B87">
              <w:rPr>
                <w:b/>
                <w:bCs/>
                <w:i/>
                <w:iCs/>
              </w:rPr>
              <w:t>4</w:t>
            </w:r>
            <w:r>
              <w:rPr>
                <w:b/>
                <w:bCs/>
                <w:i/>
                <w:iCs/>
              </w:rPr>
              <w:t xml:space="preserve"> Billion</w:t>
            </w:r>
            <w:r w:rsidR="00AD6B87">
              <w:rPr>
                <w:b/>
                <w:bCs/>
                <w:i/>
                <w:iCs/>
              </w:rPr>
              <w:t xml:space="preserve"> Committed to Date</w:t>
            </w:r>
            <w:r w:rsidR="008B308F">
              <w:rPr>
                <w:b/>
                <w:bCs/>
                <w:i/>
                <w:iCs/>
              </w:rPr>
              <w:t xml:space="preserve">, Connecting </w:t>
            </w:r>
            <w:r w:rsidR="000C7D0D">
              <w:rPr>
                <w:b/>
                <w:bCs/>
                <w:i/>
                <w:iCs/>
              </w:rPr>
              <w:t>Nearly 8 Million</w:t>
            </w:r>
            <w:r w:rsidR="008B308F">
              <w:rPr>
                <w:b/>
                <w:bCs/>
                <w:i/>
                <w:iCs/>
              </w:rPr>
              <w:t xml:space="preserve"> Students,</w:t>
            </w:r>
            <w:r w:rsidR="00AD6B87">
              <w:rPr>
                <w:b/>
                <w:bCs/>
                <w:i/>
                <w:iCs/>
              </w:rPr>
              <w:t xml:space="preserve"> with </w:t>
            </w:r>
            <w:r w:rsidRPr="000C0DDC" w:rsidR="00207BBA">
              <w:rPr>
                <w:b/>
                <w:bCs/>
                <w:i/>
                <w:iCs/>
              </w:rPr>
              <w:t xml:space="preserve">Nearly </w:t>
            </w:r>
            <w:r w:rsidRPr="000C0DDC" w:rsidR="00882908">
              <w:rPr>
                <w:b/>
                <w:bCs/>
                <w:i/>
                <w:iCs/>
              </w:rPr>
              <w:t>6</w:t>
            </w:r>
            <w:r w:rsidRPr="000C0DDC" w:rsidR="00AD6B87">
              <w:rPr>
                <w:b/>
                <w:bCs/>
                <w:i/>
                <w:iCs/>
              </w:rPr>
              <w:t xml:space="preserve">0% of Applications </w:t>
            </w:r>
            <w:r w:rsidRPr="000C0DDC" w:rsidR="00C87500">
              <w:rPr>
                <w:b/>
                <w:bCs/>
                <w:i/>
                <w:iCs/>
              </w:rPr>
              <w:t>Processed</w:t>
            </w:r>
          </w:p>
          <w:p w:rsidR="004F62B6" w:rsidRPr="007466BC" w:rsidP="004F62B6" w14:paraId="45FA2F1F" w14:textId="77777777">
            <w:pPr>
              <w:tabs>
                <w:tab w:val="left" w:pos="8625"/>
              </w:tabs>
              <w:jc w:val="center"/>
              <w:rPr>
                <w:b/>
                <w:bCs/>
                <w:i/>
                <w:iCs/>
              </w:rPr>
            </w:pPr>
          </w:p>
          <w:p w:rsidR="00986FAC" w:rsidP="004F62B6" w14:paraId="11915EDD" w14:textId="55713F71">
            <w:pPr>
              <w:rPr>
                <w:sz w:val="22"/>
                <w:szCs w:val="22"/>
              </w:rPr>
            </w:pPr>
            <w:r w:rsidRPr="14D7F901">
              <w:rPr>
                <w:sz w:val="22"/>
                <w:szCs w:val="22"/>
              </w:rPr>
              <w:t xml:space="preserve">WASHINGTON, </w:t>
            </w:r>
            <w:r w:rsidRPr="14D7F901" w:rsidR="00AB11AB">
              <w:rPr>
                <w:sz w:val="22"/>
                <w:szCs w:val="22"/>
              </w:rPr>
              <w:t xml:space="preserve">October </w:t>
            </w:r>
            <w:r w:rsidRPr="002B0EAB" w:rsidR="00AB11AB">
              <w:rPr>
                <w:sz w:val="22"/>
                <w:szCs w:val="22"/>
              </w:rPr>
              <w:t>12</w:t>
            </w:r>
            <w:r w:rsidRPr="14D7F901" w:rsidR="008C4947">
              <w:rPr>
                <w:sz w:val="22"/>
                <w:szCs w:val="22"/>
              </w:rPr>
              <w:t>,</w:t>
            </w:r>
            <w:r w:rsidRPr="14D7F901">
              <w:rPr>
                <w:sz w:val="22"/>
                <w:szCs w:val="22"/>
              </w:rPr>
              <w:t xml:space="preserve"> 2021—</w:t>
            </w:r>
            <w:bookmarkStart w:id="2" w:name="_Hlk84932638"/>
            <w:r w:rsidRPr="14D7F901">
              <w:rPr>
                <w:sz w:val="22"/>
                <w:szCs w:val="22"/>
              </w:rPr>
              <w:t xml:space="preserve">The Federal Communications Commission today announced that it is </w:t>
            </w:r>
            <w:r w:rsidRPr="14D7F901" w:rsidR="727ADA8E">
              <w:rPr>
                <w:sz w:val="22"/>
                <w:szCs w:val="22"/>
              </w:rPr>
              <w:t>committing</w:t>
            </w:r>
            <w:r w:rsidR="003F7707">
              <w:rPr>
                <w:sz w:val="22"/>
                <w:szCs w:val="22"/>
              </w:rPr>
              <w:t xml:space="preserve"> $1,159,681,350.34</w:t>
            </w:r>
            <w:r w:rsidRPr="14D7F901" w:rsidR="00AB11AB">
              <w:rPr>
                <w:sz w:val="22"/>
                <w:szCs w:val="22"/>
              </w:rPr>
              <w:t xml:space="preserve"> </w:t>
            </w:r>
            <w:r w:rsidRPr="14D7F901">
              <w:rPr>
                <w:sz w:val="22"/>
                <w:szCs w:val="22"/>
              </w:rPr>
              <w:t xml:space="preserve">for </w:t>
            </w:r>
            <w:r w:rsidR="003F7707">
              <w:rPr>
                <w:sz w:val="22"/>
                <w:szCs w:val="22"/>
              </w:rPr>
              <w:t>2,471</w:t>
            </w:r>
            <w:r w:rsidRPr="14D7F901" w:rsidR="000839B7">
              <w:rPr>
                <w:sz w:val="22"/>
                <w:szCs w:val="22"/>
              </w:rPr>
              <w:t xml:space="preserve"> </w:t>
            </w:r>
            <w:r w:rsidRPr="14D7F901">
              <w:rPr>
                <w:sz w:val="22"/>
                <w:szCs w:val="22"/>
              </w:rPr>
              <w:t>schools</w:t>
            </w:r>
            <w:r w:rsidRPr="14D7F901" w:rsidR="00225242">
              <w:rPr>
                <w:sz w:val="22"/>
                <w:szCs w:val="22"/>
              </w:rPr>
              <w:t xml:space="preserve">, </w:t>
            </w:r>
            <w:r w:rsidR="003F7707">
              <w:rPr>
                <w:sz w:val="22"/>
                <w:szCs w:val="22"/>
              </w:rPr>
              <w:t>205</w:t>
            </w:r>
            <w:r w:rsidRPr="14D7F901" w:rsidR="005173D6">
              <w:rPr>
                <w:sz w:val="22"/>
                <w:szCs w:val="22"/>
              </w:rPr>
              <w:t xml:space="preserve"> </w:t>
            </w:r>
            <w:r w:rsidRPr="14D7F901" w:rsidR="00225242">
              <w:rPr>
                <w:sz w:val="22"/>
                <w:szCs w:val="22"/>
              </w:rPr>
              <w:t xml:space="preserve">libraries, and </w:t>
            </w:r>
            <w:r w:rsidR="003F7707">
              <w:rPr>
                <w:sz w:val="22"/>
                <w:szCs w:val="22"/>
              </w:rPr>
              <w:t>26</w:t>
            </w:r>
            <w:r w:rsidRPr="14D7F901" w:rsidR="00225242">
              <w:rPr>
                <w:sz w:val="22"/>
                <w:szCs w:val="22"/>
              </w:rPr>
              <w:t xml:space="preserve"> consortia</w:t>
            </w:r>
            <w:r w:rsidRPr="14D7F901">
              <w:rPr>
                <w:sz w:val="22"/>
                <w:szCs w:val="22"/>
              </w:rPr>
              <w:t xml:space="preserve"> that applied for support from the </w:t>
            </w:r>
            <w:r w:rsidRPr="14D7F901" w:rsidR="00A53273">
              <w:rPr>
                <w:sz w:val="22"/>
                <w:szCs w:val="22"/>
              </w:rPr>
              <w:t xml:space="preserve">$7.17 billion </w:t>
            </w:r>
            <w:r w:rsidRPr="14D7F901">
              <w:rPr>
                <w:sz w:val="22"/>
                <w:szCs w:val="22"/>
              </w:rPr>
              <w:t xml:space="preserve">Emergency Connectivity Fund </w:t>
            </w:r>
            <w:r w:rsidRPr="14D7F901" w:rsidR="00D12B36">
              <w:rPr>
                <w:sz w:val="22"/>
                <w:szCs w:val="22"/>
              </w:rPr>
              <w:t>P</w:t>
            </w:r>
            <w:r w:rsidRPr="14D7F901" w:rsidR="00704F22">
              <w:rPr>
                <w:sz w:val="22"/>
                <w:szCs w:val="22"/>
              </w:rPr>
              <w:t>rogram</w:t>
            </w:r>
            <w:r w:rsidRPr="14D7F901">
              <w:rPr>
                <w:sz w:val="22"/>
                <w:szCs w:val="22"/>
              </w:rPr>
              <w:t xml:space="preserve">.  </w:t>
            </w:r>
            <w:r w:rsidR="006A1F23">
              <w:rPr>
                <w:sz w:val="22"/>
                <w:szCs w:val="22"/>
              </w:rPr>
              <w:t xml:space="preserve">Combined with the first funding wave, </w:t>
            </w:r>
            <w:r w:rsidRPr="14D7F901" w:rsidR="001125DF">
              <w:rPr>
                <w:sz w:val="22"/>
                <w:szCs w:val="22"/>
              </w:rPr>
              <w:t xml:space="preserve">students, school staff and library patrons </w:t>
            </w:r>
            <w:r w:rsidRPr="14D7F901" w:rsidR="00AB11AB">
              <w:rPr>
                <w:sz w:val="22"/>
                <w:szCs w:val="22"/>
              </w:rPr>
              <w:t xml:space="preserve">in </w:t>
            </w:r>
            <w:r w:rsidR="006A1F23">
              <w:rPr>
                <w:sz w:val="22"/>
                <w:szCs w:val="22"/>
              </w:rPr>
              <w:t>all 50</w:t>
            </w:r>
            <w:r w:rsidRPr="14D7F901" w:rsidR="00AB11AB">
              <w:rPr>
                <w:sz w:val="22"/>
                <w:szCs w:val="22"/>
              </w:rPr>
              <w:t xml:space="preserve"> states, the District of Columbia, Puerto Rico, </w:t>
            </w:r>
            <w:r w:rsidR="006A1F23">
              <w:rPr>
                <w:sz w:val="22"/>
                <w:szCs w:val="22"/>
              </w:rPr>
              <w:t xml:space="preserve">Guam, </w:t>
            </w:r>
            <w:r w:rsidRPr="14D7F901" w:rsidR="00AB11AB">
              <w:rPr>
                <w:sz w:val="22"/>
                <w:szCs w:val="22"/>
              </w:rPr>
              <w:t xml:space="preserve">and </w:t>
            </w:r>
            <w:r w:rsidR="006A1F23">
              <w:rPr>
                <w:sz w:val="22"/>
                <w:szCs w:val="22"/>
              </w:rPr>
              <w:t xml:space="preserve">the </w:t>
            </w:r>
            <w:r w:rsidRPr="14D7F901" w:rsidR="00AB11AB">
              <w:rPr>
                <w:sz w:val="22"/>
                <w:szCs w:val="22"/>
              </w:rPr>
              <w:t>Virgin Islands</w:t>
            </w:r>
            <w:r w:rsidRPr="14D7F901" w:rsidR="00CE2FA6">
              <w:rPr>
                <w:sz w:val="22"/>
                <w:szCs w:val="22"/>
              </w:rPr>
              <w:t xml:space="preserve"> </w:t>
            </w:r>
            <w:r w:rsidR="006A1F23">
              <w:rPr>
                <w:sz w:val="22"/>
                <w:szCs w:val="22"/>
              </w:rPr>
              <w:t xml:space="preserve">will receive </w:t>
            </w:r>
            <w:r w:rsidRPr="14D7F901" w:rsidR="001125DF">
              <w:rPr>
                <w:sz w:val="22"/>
                <w:szCs w:val="22"/>
              </w:rPr>
              <w:t>access to the devices and broadband connectivity they need to support their off</w:t>
            </w:r>
            <w:r w:rsidRPr="14D7F901" w:rsidR="000F49B8">
              <w:rPr>
                <w:sz w:val="22"/>
                <w:szCs w:val="22"/>
              </w:rPr>
              <w:t>-premises</w:t>
            </w:r>
            <w:r w:rsidRPr="14D7F901" w:rsidR="001125DF">
              <w:rPr>
                <w:sz w:val="22"/>
                <w:szCs w:val="22"/>
              </w:rPr>
              <w:t xml:space="preserve"> </w:t>
            </w:r>
            <w:r w:rsidRPr="14D7F901" w:rsidR="007F4FEB">
              <w:rPr>
                <w:sz w:val="22"/>
                <w:szCs w:val="22"/>
              </w:rPr>
              <w:t>educational</w:t>
            </w:r>
            <w:r w:rsidRPr="14D7F901" w:rsidR="001125DF">
              <w:rPr>
                <w:sz w:val="22"/>
                <w:szCs w:val="22"/>
              </w:rPr>
              <w:t xml:space="preserve"> needs.  </w:t>
            </w:r>
          </w:p>
          <w:bookmarkEnd w:id="2"/>
          <w:p w:rsidR="00986FAC" w14:paraId="0A7441F3" w14:textId="77777777">
            <w:pPr>
              <w:rPr>
                <w:sz w:val="22"/>
                <w:szCs w:val="22"/>
              </w:rPr>
            </w:pPr>
          </w:p>
          <w:p w:rsidR="00882908" w:rsidRPr="008E43FB" w14:paraId="2837F29E" w14:textId="08BA7D1B">
            <w:r w:rsidRPr="14D7F901">
              <w:rPr>
                <w:sz w:val="22"/>
                <w:szCs w:val="22"/>
              </w:rPr>
              <w:t>The Commission to date has committed</w:t>
            </w:r>
            <w:r w:rsidR="003F7707">
              <w:rPr>
                <w:sz w:val="22"/>
                <w:szCs w:val="22"/>
              </w:rPr>
              <w:t xml:space="preserve"> $2,362,788,847.22</w:t>
            </w:r>
            <w:r w:rsidRPr="14D7F901">
              <w:rPr>
                <w:sz w:val="22"/>
                <w:szCs w:val="22"/>
              </w:rPr>
              <w:t xml:space="preserve"> in program funding to school and library applicants, and </w:t>
            </w:r>
            <w:r w:rsidRPr="14D7F901" w:rsidR="007F4FEB">
              <w:rPr>
                <w:sz w:val="22"/>
                <w:szCs w:val="22"/>
              </w:rPr>
              <w:t>exceeded</w:t>
            </w:r>
            <w:r w:rsidRPr="14D7F901">
              <w:rPr>
                <w:sz w:val="22"/>
                <w:szCs w:val="22"/>
              </w:rPr>
              <w:t xml:space="preserve"> its goal of responding to </w:t>
            </w:r>
            <w:r w:rsidRPr="14D7F901" w:rsidR="007F4FEB">
              <w:rPr>
                <w:sz w:val="22"/>
                <w:szCs w:val="22"/>
              </w:rPr>
              <w:t>50 percent</w:t>
            </w:r>
            <w:r w:rsidRPr="14D7F901">
              <w:rPr>
                <w:sz w:val="22"/>
                <w:szCs w:val="22"/>
              </w:rPr>
              <w:t xml:space="preserve"> of all applications within </w:t>
            </w:r>
            <w:r w:rsidRPr="000C0DDC">
              <w:rPr>
                <w:sz w:val="22"/>
                <w:szCs w:val="22"/>
              </w:rPr>
              <w:t xml:space="preserve">60 days of the closing of the </w:t>
            </w:r>
            <w:r w:rsidRPr="000C0DDC" w:rsidR="00986FAC">
              <w:rPr>
                <w:sz w:val="22"/>
                <w:szCs w:val="22"/>
              </w:rPr>
              <w:t xml:space="preserve">first </w:t>
            </w:r>
            <w:r w:rsidRPr="000C0DDC">
              <w:rPr>
                <w:sz w:val="22"/>
                <w:szCs w:val="22"/>
              </w:rPr>
              <w:t>filing window</w:t>
            </w:r>
            <w:r w:rsidRPr="000C0DDC" w:rsidR="007F4FEB">
              <w:rPr>
                <w:sz w:val="22"/>
                <w:szCs w:val="22"/>
              </w:rPr>
              <w:t xml:space="preserve"> by </w:t>
            </w:r>
            <w:r w:rsidRPr="000C0DDC" w:rsidR="00C87500">
              <w:rPr>
                <w:sz w:val="22"/>
                <w:szCs w:val="22"/>
              </w:rPr>
              <w:t>making funding decisions for</w:t>
            </w:r>
            <w:r w:rsidRPr="000C0DDC" w:rsidR="007F4FEB">
              <w:rPr>
                <w:sz w:val="22"/>
                <w:szCs w:val="22"/>
              </w:rPr>
              <w:t xml:space="preserve"> nearly 60 percent of applications</w:t>
            </w:r>
            <w:r w:rsidRPr="000C0DDC">
              <w:rPr>
                <w:sz w:val="22"/>
                <w:szCs w:val="22"/>
              </w:rPr>
              <w:t>.</w:t>
            </w:r>
            <w:r w:rsidRPr="14D7F901">
              <w:rPr>
                <w:sz w:val="22"/>
                <w:szCs w:val="22"/>
              </w:rPr>
              <w:t xml:space="preserve"> </w:t>
            </w:r>
            <w:r w:rsidR="00986FAC">
              <w:rPr>
                <w:sz w:val="22"/>
                <w:szCs w:val="22"/>
              </w:rPr>
              <w:t xml:space="preserve"> </w:t>
            </w:r>
          </w:p>
          <w:p w:rsidR="00882908" w14:paraId="5080BF6A" w14:textId="77777777">
            <w:pPr>
              <w:rPr>
                <w:sz w:val="22"/>
                <w:szCs w:val="22"/>
              </w:rPr>
            </w:pPr>
          </w:p>
          <w:p w:rsidR="000839B7" w14:paraId="1032E98E" w14:textId="32414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“This new round of funding will </w:t>
            </w:r>
            <w:r w:rsidR="00C25FFE">
              <w:rPr>
                <w:sz w:val="22"/>
                <w:szCs w:val="22"/>
              </w:rPr>
              <w:t>connect</w:t>
            </w:r>
            <w:r>
              <w:rPr>
                <w:sz w:val="22"/>
                <w:szCs w:val="22"/>
              </w:rPr>
              <w:t xml:space="preserve"> even more students and library patrons </w:t>
            </w:r>
            <w:r w:rsidR="00C25FFE">
              <w:rPr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new tools </w:t>
            </w:r>
            <w:r w:rsidR="00207BBA">
              <w:rPr>
                <w:sz w:val="22"/>
                <w:szCs w:val="22"/>
              </w:rPr>
              <w:t>for online learning</w:t>
            </w:r>
            <w:r w:rsidR="00D82680">
              <w:rPr>
                <w:sz w:val="22"/>
                <w:szCs w:val="22"/>
              </w:rPr>
              <w:t xml:space="preserve"> and communicating with teachers in our ongoing work </w:t>
            </w:r>
            <w:r w:rsidR="00207BBA">
              <w:rPr>
                <w:sz w:val="22"/>
                <w:szCs w:val="22"/>
              </w:rPr>
              <w:t>to close the Homework Gap</w:t>
            </w:r>
            <w:r>
              <w:rPr>
                <w:sz w:val="22"/>
                <w:szCs w:val="22"/>
              </w:rPr>
              <w:t xml:space="preserve">,” </w:t>
            </w:r>
            <w:r w:rsidRPr="00021580">
              <w:rPr>
                <w:b/>
                <w:bCs/>
                <w:sz w:val="22"/>
                <w:szCs w:val="22"/>
              </w:rPr>
              <w:t>said Acting Chairwoman Jessica Rosenworcel</w:t>
            </w:r>
            <w:r>
              <w:rPr>
                <w:sz w:val="22"/>
                <w:szCs w:val="22"/>
              </w:rPr>
              <w:t>.  “</w:t>
            </w:r>
            <w:r w:rsidR="00D82680">
              <w:rPr>
                <w:sz w:val="22"/>
                <w:szCs w:val="22"/>
              </w:rPr>
              <w:t>We are</w:t>
            </w:r>
            <w:r w:rsidR="00207BBA">
              <w:rPr>
                <w:sz w:val="22"/>
                <w:szCs w:val="22"/>
              </w:rPr>
              <w:t xml:space="preserve"> provid</w:t>
            </w:r>
            <w:r w:rsidR="00D82680">
              <w:rPr>
                <w:sz w:val="22"/>
                <w:szCs w:val="22"/>
              </w:rPr>
              <w:t>ing</w:t>
            </w:r>
            <w:r w:rsidR="00207BBA">
              <w:rPr>
                <w:sz w:val="22"/>
                <w:szCs w:val="22"/>
              </w:rPr>
              <w:t xml:space="preserve"> resources </w:t>
            </w:r>
            <w:r w:rsidR="00310FD0">
              <w:rPr>
                <w:sz w:val="22"/>
                <w:szCs w:val="22"/>
              </w:rPr>
              <w:t>for schools and libraries across the country, from</w:t>
            </w:r>
            <w:r w:rsidR="00207BBA">
              <w:rPr>
                <w:sz w:val="22"/>
                <w:szCs w:val="22"/>
              </w:rPr>
              <w:t xml:space="preserve"> tiny communities in </w:t>
            </w:r>
            <w:r w:rsidR="0036369A">
              <w:rPr>
                <w:sz w:val="22"/>
                <w:szCs w:val="22"/>
              </w:rPr>
              <w:t xml:space="preserve">Delta </w:t>
            </w:r>
            <w:r w:rsidRPr="00990CD9" w:rsidR="0036369A">
              <w:rPr>
                <w:sz w:val="22"/>
                <w:szCs w:val="22"/>
              </w:rPr>
              <w:t>Junction, Alaska</w:t>
            </w:r>
            <w:r w:rsidRPr="00990CD9" w:rsidR="00207BBA">
              <w:rPr>
                <w:sz w:val="22"/>
                <w:szCs w:val="22"/>
              </w:rPr>
              <w:t xml:space="preserve"> supporting </w:t>
            </w:r>
            <w:r w:rsidRPr="00990CD9" w:rsidR="0036369A">
              <w:rPr>
                <w:sz w:val="22"/>
                <w:szCs w:val="22"/>
              </w:rPr>
              <w:t>Delta Community Library</w:t>
            </w:r>
            <w:r w:rsidRPr="00990CD9" w:rsidR="00D82680">
              <w:rPr>
                <w:sz w:val="22"/>
                <w:szCs w:val="22"/>
              </w:rPr>
              <w:t>,</w:t>
            </w:r>
            <w:r w:rsidRPr="00990CD9" w:rsidR="00207BBA">
              <w:rPr>
                <w:sz w:val="22"/>
                <w:szCs w:val="22"/>
              </w:rPr>
              <w:t xml:space="preserve"> to </w:t>
            </w:r>
            <w:r w:rsidRPr="00990CD9">
              <w:rPr>
                <w:sz w:val="22"/>
                <w:szCs w:val="22"/>
              </w:rPr>
              <w:t xml:space="preserve">large school districts </w:t>
            </w:r>
            <w:r w:rsidRPr="00990CD9" w:rsidR="008B308F">
              <w:rPr>
                <w:sz w:val="22"/>
                <w:szCs w:val="22"/>
              </w:rPr>
              <w:t>like</w:t>
            </w:r>
            <w:r w:rsidRPr="00990CD9" w:rsidR="00990CD9">
              <w:rPr>
                <w:sz w:val="22"/>
                <w:szCs w:val="22"/>
              </w:rPr>
              <w:t xml:space="preserve"> </w:t>
            </w:r>
            <w:r w:rsidRPr="00990CD9" w:rsidR="00207BBA">
              <w:rPr>
                <w:sz w:val="22"/>
                <w:szCs w:val="22"/>
              </w:rPr>
              <w:t>New York</w:t>
            </w:r>
            <w:r w:rsidRPr="00990CD9" w:rsidR="008B308F">
              <w:rPr>
                <w:sz w:val="22"/>
                <w:szCs w:val="22"/>
              </w:rPr>
              <w:t xml:space="preserve"> City</w:t>
            </w:r>
            <w:r w:rsidRPr="00990CD9" w:rsidR="00207BBA">
              <w:rPr>
                <w:sz w:val="22"/>
                <w:szCs w:val="22"/>
              </w:rPr>
              <w:t xml:space="preserve">. </w:t>
            </w:r>
            <w:r w:rsidRPr="00990CD9">
              <w:rPr>
                <w:sz w:val="22"/>
                <w:szCs w:val="22"/>
              </w:rPr>
              <w:t xml:space="preserve"> </w:t>
            </w:r>
            <w:r w:rsidRPr="00990CD9" w:rsidR="00207BBA">
              <w:rPr>
                <w:sz w:val="22"/>
                <w:szCs w:val="22"/>
              </w:rPr>
              <w:t>Together with the Emergency Broadband Benefit Progra</w:t>
            </w:r>
            <w:r w:rsidRPr="00176AD8" w:rsidR="00207BBA">
              <w:rPr>
                <w:sz w:val="22"/>
                <w:szCs w:val="22"/>
              </w:rPr>
              <w:t xml:space="preserve">m, </w:t>
            </w:r>
            <w:r w:rsidR="00D82680">
              <w:rPr>
                <w:sz w:val="22"/>
                <w:szCs w:val="22"/>
              </w:rPr>
              <w:t>the Commission is</w:t>
            </w:r>
            <w:r w:rsidRPr="00176AD8" w:rsidR="00207BBA">
              <w:rPr>
                <w:sz w:val="22"/>
                <w:szCs w:val="22"/>
              </w:rPr>
              <w:t xml:space="preserve"> investing more than $10 billion </w:t>
            </w:r>
            <w:r w:rsidR="00207BBA">
              <w:rPr>
                <w:sz w:val="22"/>
                <w:szCs w:val="22"/>
              </w:rPr>
              <w:t xml:space="preserve">to support America’s critical broadband needs.” </w:t>
            </w:r>
          </w:p>
          <w:p w:rsidR="00225242" w:rsidRPr="00176AD8" w14:paraId="152F4E9A" w14:textId="2F19BFA5">
            <w:pPr>
              <w:rPr>
                <w:sz w:val="22"/>
                <w:szCs w:val="22"/>
              </w:rPr>
            </w:pPr>
          </w:p>
          <w:bookmarkEnd w:id="1"/>
          <w:p w:rsidR="00021580" w:rsidP="00986FAC" w14:paraId="08C38A40" w14:textId="73019CEB">
            <w:pPr>
              <w:tabs>
                <w:tab w:val="left" w:pos="8625"/>
              </w:tabs>
              <w:rPr>
                <w:sz w:val="22"/>
                <w:szCs w:val="22"/>
              </w:rPr>
            </w:pPr>
            <w:r w:rsidRPr="00021580">
              <w:rPr>
                <w:sz w:val="22"/>
                <w:szCs w:val="22"/>
              </w:rPr>
              <w:t xml:space="preserve">Last month, the FCC announced that </w:t>
            </w:r>
            <w:r w:rsidR="00D82680">
              <w:rPr>
                <w:sz w:val="22"/>
                <w:szCs w:val="22"/>
              </w:rPr>
              <w:t xml:space="preserve">it </w:t>
            </w:r>
            <w:r w:rsidRPr="00021580">
              <w:rPr>
                <w:sz w:val="22"/>
                <w:szCs w:val="22"/>
              </w:rPr>
              <w:t>was committing $1,203,</w:t>
            </w:r>
            <w:r w:rsidRPr="00785501">
              <w:rPr>
                <w:sz w:val="22"/>
                <w:szCs w:val="22"/>
              </w:rPr>
              <w:t>107,496</w:t>
            </w:r>
            <w:r w:rsidRPr="00785501" w:rsidR="008D00B5">
              <w:rPr>
                <w:sz w:val="22"/>
                <w:szCs w:val="22"/>
              </w:rPr>
              <w:t>.88</w:t>
            </w:r>
            <w:r w:rsidRPr="00785501">
              <w:rPr>
                <w:sz w:val="22"/>
                <w:szCs w:val="22"/>
              </w:rPr>
              <w:t xml:space="preserve"> in</w:t>
            </w:r>
            <w:r w:rsidRPr="000215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Emergency Connectivity Fund support </w:t>
            </w:r>
            <w:r w:rsidRPr="00021580">
              <w:rPr>
                <w:sz w:val="22"/>
                <w:szCs w:val="22"/>
              </w:rPr>
              <w:t>that can be used for the purchase of laptops and tablets, Wi-Fi hotspots, modems, routers, and broadband connections for</w:t>
            </w:r>
            <w:r w:rsidR="000F49B8">
              <w:rPr>
                <w:sz w:val="22"/>
                <w:szCs w:val="22"/>
              </w:rPr>
              <w:t xml:space="preserve"> </w:t>
            </w:r>
            <w:r w:rsidRPr="00021580">
              <w:rPr>
                <w:sz w:val="22"/>
                <w:szCs w:val="22"/>
              </w:rPr>
              <w:t>use by students, school staff, and library patrons in need</w:t>
            </w:r>
            <w:r>
              <w:rPr>
                <w:sz w:val="22"/>
                <w:szCs w:val="22"/>
              </w:rPr>
              <w:t>.  The funding can be used to support</w:t>
            </w:r>
            <w:r w:rsidRPr="00021580">
              <w:rPr>
                <w:sz w:val="22"/>
                <w:szCs w:val="22"/>
              </w:rPr>
              <w:t xml:space="preserve"> </w:t>
            </w:r>
            <w:r w:rsidR="000F49B8">
              <w:rPr>
                <w:sz w:val="22"/>
                <w:szCs w:val="22"/>
              </w:rPr>
              <w:t>off-campus</w:t>
            </w:r>
            <w:r w:rsidRPr="00021580">
              <w:rPr>
                <w:sz w:val="22"/>
                <w:szCs w:val="22"/>
              </w:rPr>
              <w:t xml:space="preserve"> leaning, such as homework and virtual learning as schools continue to respond to the COVID-19 pandemic.  Combined with the second funding wave, the FCC is providing support for</w:t>
            </w:r>
            <w:r w:rsidR="00990CD9">
              <w:rPr>
                <w:sz w:val="22"/>
                <w:szCs w:val="22"/>
              </w:rPr>
              <w:t xml:space="preserve"> 5,420,473 </w:t>
            </w:r>
            <w:r w:rsidRPr="00021580">
              <w:rPr>
                <w:sz w:val="22"/>
                <w:szCs w:val="22"/>
              </w:rPr>
              <w:t>devices and</w:t>
            </w:r>
            <w:r w:rsidR="00990CD9">
              <w:rPr>
                <w:sz w:val="22"/>
                <w:szCs w:val="22"/>
              </w:rPr>
              <w:t xml:space="preserve"> 2,700,834</w:t>
            </w:r>
            <w:r w:rsidRPr="00021580">
              <w:rPr>
                <w:sz w:val="22"/>
                <w:szCs w:val="22"/>
              </w:rPr>
              <w:t xml:space="preserve"> broadband connections </w:t>
            </w:r>
            <w:r>
              <w:rPr>
                <w:sz w:val="22"/>
                <w:szCs w:val="22"/>
              </w:rPr>
              <w:t>to support</w:t>
            </w:r>
            <w:r w:rsidRPr="00021580">
              <w:rPr>
                <w:sz w:val="22"/>
                <w:szCs w:val="22"/>
              </w:rPr>
              <w:t xml:space="preserve"> </w:t>
            </w:r>
            <w:r w:rsidR="00E60DCC">
              <w:rPr>
                <w:sz w:val="22"/>
                <w:szCs w:val="22"/>
              </w:rPr>
              <w:t>5,474</w:t>
            </w:r>
            <w:r>
              <w:rPr>
                <w:sz w:val="22"/>
                <w:szCs w:val="22"/>
              </w:rPr>
              <w:t xml:space="preserve"> </w:t>
            </w:r>
            <w:r w:rsidRPr="00021580">
              <w:rPr>
                <w:sz w:val="22"/>
                <w:szCs w:val="22"/>
              </w:rPr>
              <w:t>schools,</w:t>
            </w:r>
            <w:r w:rsidR="00990CD9">
              <w:rPr>
                <w:sz w:val="22"/>
                <w:szCs w:val="22"/>
              </w:rPr>
              <w:t xml:space="preserve"> 46</w:t>
            </w:r>
            <w:r w:rsidR="00E60DCC">
              <w:rPr>
                <w:sz w:val="22"/>
                <w:szCs w:val="22"/>
              </w:rPr>
              <w:t>1</w:t>
            </w:r>
            <w:r w:rsidRPr="00021580">
              <w:rPr>
                <w:sz w:val="22"/>
                <w:szCs w:val="22"/>
              </w:rPr>
              <w:t xml:space="preserve"> libraries, and</w:t>
            </w:r>
            <w:r w:rsidR="00E60DCC">
              <w:rPr>
                <w:sz w:val="22"/>
                <w:szCs w:val="22"/>
              </w:rPr>
              <w:t xml:space="preserve"> 49</w:t>
            </w:r>
            <w:r w:rsidRPr="00021580">
              <w:rPr>
                <w:sz w:val="22"/>
                <w:szCs w:val="22"/>
              </w:rPr>
              <w:t xml:space="preserve"> consortia of schools and libraries</w:t>
            </w:r>
            <w:r w:rsidR="00842A90">
              <w:rPr>
                <w:sz w:val="22"/>
                <w:szCs w:val="22"/>
              </w:rPr>
              <w:t>, providing nearly 8 million students the devices and internet connections they need</w:t>
            </w:r>
            <w:r w:rsidRPr="00021580">
              <w:rPr>
                <w:sz w:val="22"/>
                <w:szCs w:val="22"/>
              </w:rPr>
              <w:t xml:space="preserve">.  </w:t>
            </w:r>
          </w:p>
          <w:p w:rsidR="006A1F23" w:rsidP="004F62B6" w14:paraId="2A377C9E" w14:textId="22FE112E">
            <w:pPr>
              <w:tabs>
                <w:tab w:val="left" w:pos="29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6A1F23" w:rsidP="00986FAC" w14:paraId="00931E97" w14:textId="27093B4F">
            <w:pPr>
              <w:tabs>
                <w:tab w:val="left" w:pos="8625"/>
              </w:tabs>
              <w:rPr>
                <w:sz w:val="22"/>
                <w:szCs w:val="22"/>
              </w:rPr>
            </w:pPr>
            <w:r w:rsidRPr="00986FAC">
              <w:rPr>
                <w:sz w:val="22"/>
                <w:szCs w:val="22"/>
              </w:rPr>
              <w:t>A second application filing window opened on September 28 and will close on October 1</w:t>
            </w:r>
            <w:r>
              <w:rPr>
                <w:sz w:val="22"/>
                <w:szCs w:val="22"/>
              </w:rPr>
              <w:t>3 at 11:59 p.m. E.T.</w:t>
            </w:r>
          </w:p>
          <w:p w:rsidR="00986FAC" w:rsidP="003F7707" w14:paraId="13CB8F1C" w14:textId="77777777">
            <w:pPr>
              <w:tabs>
                <w:tab w:val="left" w:pos="8625"/>
              </w:tabs>
              <w:rPr>
                <w:sz w:val="22"/>
                <w:szCs w:val="22"/>
              </w:rPr>
            </w:pPr>
          </w:p>
          <w:p w:rsidR="00372807" w:rsidRPr="00176AD8" w14:paraId="724AC5C9" w14:textId="32B3A276">
            <w:pPr>
              <w:rPr>
                <w:sz w:val="22"/>
                <w:szCs w:val="22"/>
              </w:rPr>
            </w:pPr>
            <w:r w:rsidRPr="00176AD8">
              <w:rPr>
                <w:sz w:val="22"/>
                <w:szCs w:val="22"/>
              </w:rPr>
              <w:t>A state-by-state breakdown of total committed funding is available below:</w:t>
            </w:r>
          </w:p>
          <w:p w:rsidR="00AF4B45" w14:paraId="0C92334F" w14:textId="77777777">
            <w:pPr>
              <w:rPr>
                <w:sz w:val="22"/>
                <w:szCs w:val="22"/>
              </w:rPr>
            </w:pPr>
          </w:p>
          <w:tbl>
            <w:tblPr>
              <w:tblStyle w:val="ListTable6Colorful"/>
              <w:tblW w:w="8730" w:type="dxa"/>
              <w:tblLook w:val="04A0"/>
            </w:tblPr>
            <w:tblGrid>
              <w:gridCol w:w="2430"/>
              <w:gridCol w:w="2250"/>
              <w:gridCol w:w="1890"/>
              <w:gridCol w:w="2160"/>
            </w:tblGrid>
            <w:tr w14:paraId="56600143" w14:textId="77777777" w:rsidTr="00AF4B45">
              <w:tblPrEx>
                <w:tblW w:w="8730" w:type="dxa"/>
                <w:tblLook w:val="04A0"/>
              </w:tblPrEx>
              <w:trPr>
                <w:trHeight w:val="300"/>
              </w:trPr>
              <w:tc>
                <w:tcPr>
                  <w:tcW w:w="2430" w:type="dxa"/>
                  <w:noWrap/>
                  <w:hideMark/>
                </w:tcPr>
                <w:p w:rsidR="00AF4B45" w:rsidRPr="003F61DA" w:rsidP="00AF4B45" w14:paraId="5FC70868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State </w:t>
                  </w:r>
                </w:p>
              </w:tc>
              <w:tc>
                <w:tcPr>
                  <w:tcW w:w="2250" w:type="dxa"/>
                  <w:noWrap/>
                  <w:hideMark/>
                </w:tcPr>
                <w:p w:rsidR="00AF4B45" w:rsidRPr="003F61DA" w:rsidP="00AF4B45" w14:paraId="719A6C26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Cumulative Total Committed Funding</w:t>
                  </w:r>
                </w:p>
              </w:tc>
              <w:tc>
                <w:tcPr>
                  <w:tcW w:w="1890" w:type="dxa"/>
                </w:tcPr>
                <w:p w:rsidR="00AF4B45" w:rsidRPr="00671889" w:rsidP="00AF4B45" w14:paraId="4C33DCFF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State </w:t>
                  </w:r>
                </w:p>
              </w:tc>
              <w:tc>
                <w:tcPr>
                  <w:tcW w:w="2160" w:type="dxa"/>
                </w:tcPr>
                <w:p w:rsidR="00AF4B45" w:rsidRPr="003F61DA" w:rsidP="00AF4B45" w14:paraId="7CB211C1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Cumulative Total Committed Funding</w:t>
                  </w:r>
                </w:p>
              </w:tc>
            </w:tr>
            <w:tr w14:paraId="7200AAC3" w14:textId="77777777" w:rsidTr="00AF4B45">
              <w:tblPrEx>
                <w:tblW w:w="8730" w:type="dxa"/>
                <w:tblLook w:val="04A0"/>
              </w:tblPrEx>
              <w:trPr>
                <w:trHeight w:val="300"/>
              </w:trPr>
              <w:tc>
                <w:tcPr>
                  <w:tcW w:w="2430" w:type="dxa"/>
                  <w:noWrap/>
                  <w:hideMark/>
                </w:tcPr>
                <w:p w:rsidR="00AF4B45" w:rsidRPr="003F61DA" w:rsidP="00AF4B45" w14:paraId="3C1D53C3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Alaska </w:t>
                  </w:r>
                </w:p>
              </w:tc>
              <w:tc>
                <w:tcPr>
                  <w:tcW w:w="2250" w:type="dxa"/>
                  <w:noWrap/>
                  <w:hideMark/>
                </w:tcPr>
                <w:p w:rsidR="00AF4B45" w:rsidRPr="003F61DA" w:rsidP="00AF4B45" w14:paraId="4C23334F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$4,387,208.02 </w:t>
                  </w:r>
                </w:p>
              </w:tc>
              <w:tc>
                <w:tcPr>
                  <w:tcW w:w="1890" w:type="dxa"/>
                </w:tcPr>
                <w:p w:rsidR="00AF4B45" w:rsidRPr="00671889" w:rsidP="00AF4B45" w14:paraId="7D7444DF" w14:textId="7777777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Montana </w:t>
                  </w:r>
                </w:p>
              </w:tc>
              <w:tc>
                <w:tcPr>
                  <w:tcW w:w="2160" w:type="dxa"/>
                </w:tcPr>
                <w:p w:rsidR="00AF4B45" w:rsidRPr="003F61DA" w:rsidP="00AF4B45" w14:paraId="708323C8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$2,335,820.17 </w:t>
                  </w:r>
                </w:p>
              </w:tc>
            </w:tr>
            <w:tr w14:paraId="1B6FB59D" w14:textId="77777777" w:rsidTr="00AF4B45">
              <w:tblPrEx>
                <w:tblW w:w="8730" w:type="dxa"/>
                <w:tblLook w:val="04A0"/>
              </w:tblPrEx>
              <w:trPr>
                <w:trHeight w:val="300"/>
              </w:trPr>
              <w:tc>
                <w:tcPr>
                  <w:tcW w:w="2430" w:type="dxa"/>
                  <w:noWrap/>
                  <w:hideMark/>
                </w:tcPr>
                <w:p w:rsidR="00AF4B45" w:rsidRPr="003F61DA" w:rsidP="00AF4B45" w14:paraId="1EA3E577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Alabama </w:t>
                  </w:r>
                </w:p>
              </w:tc>
              <w:tc>
                <w:tcPr>
                  <w:tcW w:w="2250" w:type="dxa"/>
                  <w:noWrap/>
                  <w:hideMark/>
                </w:tcPr>
                <w:p w:rsidR="00AF4B45" w:rsidRPr="003F61DA" w:rsidP="00AF4B45" w14:paraId="10A6CBFE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$25,528,492.81 </w:t>
                  </w:r>
                </w:p>
              </w:tc>
              <w:tc>
                <w:tcPr>
                  <w:tcW w:w="1890" w:type="dxa"/>
                </w:tcPr>
                <w:p w:rsidR="00AF4B45" w:rsidRPr="00671889" w:rsidP="00AF4B45" w14:paraId="69EC86DE" w14:textId="7777777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North Carolina </w:t>
                  </w:r>
                </w:p>
              </w:tc>
              <w:tc>
                <w:tcPr>
                  <w:tcW w:w="2160" w:type="dxa"/>
                </w:tcPr>
                <w:p w:rsidR="00AF4B45" w:rsidRPr="003F61DA" w:rsidP="00AF4B45" w14:paraId="31FEEA4F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$93,642,989.80 </w:t>
                  </w:r>
                </w:p>
              </w:tc>
            </w:tr>
            <w:tr w14:paraId="470E4DED" w14:textId="77777777" w:rsidTr="00AF4B45">
              <w:tblPrEx>
                <w:tblW w:w="8730" w:type="dxa"/>
                <w:tblLook w:val="04A0"/>
              </w:tblPrEx>
              <w:trPr>
                <w:trHeight w:val="300"/>
              </w:trPr>
              <w:tc>
                <w:tcPr>
                  <w:tcW w:w="2430" w:type="dxa"/>
                  <w:noWrap/>
                  <w:hideMark/>
                </w:tcPr>
                <w:p w:rsidR="00AF4B45" w:rsidRPr="003F61DA" w:rsidP="00AF4B45" w14:paraId="27970481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Arkansas </w:t>
                  </w:r>
                </w:p>
              </w:tc>
              <w:tc>
                <w:tcPr>
                  <w:tcW w:w="2250" w:type="dxa"/>
                  <w:noWrap/>
                  <w:hideMark/>
                </w:tcPr>
                <w:p w:rsidR="00AF4B45" w:rsidRPr="003F61DA" w:rsidP="00AF4B45" w14:paraId="679492BE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$15,423,623.44 </w:t>
                  </w:r>
                </w:p>
              </w:tc>
              <w:tc>
                <w:tcPr>
                  <w:tcW w:w="1890" w:type="dxa"/>
                </w:tcPr>
                <w:p w:rsidR="00AF4B45" w:rsidRPr="00671889" w:rsidP="00AF4B45" w14:paraId="49CE609C" w14:textId="7777777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North Dakota </w:t>
                  </w:r>
                </w:p>
              </w:tc>
              <w:tc>
                <w:tcPr>
                  <w:tcW w:w="2160" w:type="dxa"/>
                </w:tcPr>
                <w:p w:rsidR="00AF4B45" w:rsidRPr="003F61DA" w:rsidP="00AF4B45" w14:paraId="0D5D157E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$2,221,328.69 </w:t>
                  </w:r>
                </w:p>
              </w:tc>
            </w:tr>
            <w:tr w14:paraId="1315C4B1" w14:textId="77777777" w:rsidTr="00AF4B45">
              <w:tblPrEx>
                <w:tblW w:w="8730" w:type="dxa"/>
                <w:tblLook w:val="04A0"/>
              </w:tblPrEx>
              <w:trPr>
                <w:trHeight w:val="300"/>
              </w:trPr>
              <w:tc>
                <w:tcPr>
                  <w:tcW w:w="2430" w:type="dxa"/>
                  <w:noWrap/>
                  <w:hideMark/>
                </w:tcPr>
                <w:p w:rsidR="00AF4B45" w:rsidRPr="003F61DA" w:rsidP="00AF4B45" w14:paraId="0AD05E0F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Arizona </w:t>
                  </w:r>
                </w:p>
              </w:tc>
              <w:tc>
                <w:tcPr>
                  <w:tcW w:w="2250" w:type="dxa"/>
                  <w:noWrap/>
                  <w:hideMark/>
                </w:tcPr>
                <w:p w:rsidR="00AF4B45" w:rsidRPr="003F61DA" w:rsidP="00AF4B45" w14:paraId="76B51A92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$74,148,166.16 </w:t>
                  </w:r>
                </w:p>
              </w:tc>
              <w:tc>
                <w:tcPr>
                  <w:tcW w:w="1890" w:type="dxa"/>
                </w:tcPr>
                <w:p w:rsidR="00AF4B45" w:rsidRPr="00671889" w:rsidP="00AF4B45" w14:paraId="1CC94AED" w14:textId="7777777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Nebraska </w:t>
                  </w:r>
                </w:p>
              </w:tc>
              <w:tc>
                <w:tcPr>
                  <w:tcW w:w="2160" w:type="dxa"/>
                </w:tcPr>
                <w:p w:rsidR="00AF4B45" w:rsidRPr="003F61DA" w:rsidP="00AF4B45" w14:paraId="714C318C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$14,114,876.66 </w:t>
                  </w:r>
                </w:p>
              </w:tc>
            </w:tr>
            <w:tr w14:paraId="6599D7C3" w14:textId="77777777" w:rsidTr="00AF4B45">
              <w:tblPrEx>
                <w:tblW w:w="8730" w:type="dxa"/>
                <w:tblLook w:val="04A0"/>
              </w:tblPrEx>
              <w:trPr>
                <w:trHeight w:val="300"/>
              </w:trPr>
              <w:tc>
                <w:tcPr>
                  <w:tcW w:w="2430" w:type="dxa"/>
                  <w:noWrap/>
                  <w:hideMark/>
                </w:tcPr>
                <w:p w:rsidR="00AF4B45" w:rsidRPr="003F61DA" w:rsidP="00AF4B45" w14:paraId="45278574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California </w:t>
                  </w:r>
                </w:p>
              </w:tc>
              <w:tc>
                <w:tcPr>
                  <w:tcW w:w="2250" w:type="dxa"/>
                  <w:noWrap/>
                  <w:hideMark/>
                </w:tcPr>
                <w:p w:rsidR="00AF4B45" w:rsidRPr="003F61DA" w:rsidP="00AF4B45" w14:paraId="1837941A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$149,099,926.36 </w:t>
                  </w:r>
                </w:p>
              </w:tc>
              <w:tc>
                <w:tcPr>
                  <w:tcW w:w="1890" w:type="dxa"/>
                </w:tcPr>
                <w:p w:rsidR="00AF4B45" w:rsidRPr="00671889" w:rsidP="00AF4B45" w14:paraId="27395E92" w14:textId="7777777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New Hampshire </w:t>
                  </w:r>
                </w:p>
              </w:tc>
              <w:tc>
                <w:tcPr>
                  <w:tcW w:w="2160" w:type="dxa"/>
                </w:tcPr>
                <w:p w:rsidR="00AF4B45" w:rsidRPr="003F61DA" w:rsidP="00AF4B45" w14:paraId="5EEDD88F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$4,580,316.95 </w:t>
                  </w:r>
                </w:p>
              </w:tc>
            </w:tr>
            <w:tr w14:paraId="7AAA7D12" w14:textId="77777777" w:rsidTr="00AF4B45">
              <w:tblPrEx>
                <w:tblW w:w="8730" w:type="dxa"/>
                <w:tblLook w:val="04A0"/>
              </w:tblPrEx>
              <w:trPr>
                <w:trHeight w:val="300"/>
              </w:trPr>
              <w:tc>
                <w:tcPr>
                  <w:tcW w:w="2430" w:type="dxa"/>
                  <w:noWrap/>
                  <w:hideMark/>
                </w:tcPr>
                <w:p w:rsidR="00AF4B45" w:rsidRPr="003F61DA" w:rsidP="00AF4B45" w14:paraId="59F750AB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Colorado </w:t>
                  </w:r>
                </w:p>
              </w:tc>
              <w:tc>
                <w:tcPr>
                  <w:tcW w:w="2250" w:type="dxa"/>
                  <w:noWrap/>
                  <w:hideMark/>
                </w:tcPr>
                <w:p w:rsidR="00AF4B45" w:rsidRPr="003F61DA" w:rsidP="00AF4B45" w14:paraId="7FDEA17C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$14,828,240.12 </w:t>
                  </w:r>
                </w:p>
              </w:tc>
              <w:tc>
                <w:tcPr>
                  <w:tcW w:w="1890" w:type="dxa"/>
                </w:tcPr>
                <w:p w:rsidR="00AF4B45" w:rsidRPr="00671889" w:rsidP="00AF4B45" w14:paraId="1AE60B6F" w14:textId="7777777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New Jersey </w:t>
                  </w:r>
                </w:p>
              </w:tc>
              <w:tc>
                <w:tcPr>
                  <w:tcW w:w="2160" w:type="dxa"/>
                </w:tcPr>
                <w:p w:rsidR="00AF4B45" w:rsidRPr="003F61DA" w:rsidP="00AF4B45" w14:paraId="06515EB2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$54,317,015.67 </w:t>
                  </w:r>
                </w:p>
              </w:tc>
            </w:tr>
            <w:tr w14:paraId="3171AEC0" w14:textId="77777777" w:rsidTr="00AF4B45">
              <w:tblPrEx>
                <w:tblW w:w="8730" w:type="dxa"/>
                <w:tblLook w:val="04A0"/>
              </w:tblPrEx>
              <w:trPr>
                <w:trHeight w:val="300"/>
              </w:trPr>
              <w:tc>
                <w:tcPr>
                  <w:tcW w:w="2430" w:type="dxa"/>
                  <w:noWrap/>
                  <w:hideMark/>
                </w:tcPr>
                <w:p w:rsidR="00AF4B45" w:rsidRPr="003F61DA" w:rsidP="00AF4B45" w14:paraId="798D1465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Connecticut </w:t>
                  </w:r>
                </w:p>
              </w:tc>
              <w:tc>
                <w:tcPr>
                  <w:tcW w:w="2250" w:type="dxa"/>
                  <w:noWrap/>
                  <w:hideMark/>
                </w:tcPr>
                <w:p w:rsidR="00AF4B45" w:rsidRPr="003F61DA" w:rsidP="00AF4B45" w14:paraId="34546672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$19,006,062.31 </w:t>
                  </w:r>
                </w:p>
              </w:tc>
              <w:tc>
                <w:tcPr>
                  <w:tcW w:w="1890" w:type="dxa"/>
                </w:tcPr>
                <w:p w:rsidR="00AF4B45" w:rsidRPr="00671889" w:rsidP="00AF4B45" w14:paraId="24EAF1B7" w14:textId="7777777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New Mexico </w:t>
                  </w:r>
                </w:p>
              </w:tc>
              <w:tc>
                <w:tcPr>
                  <w:tcW w:w="2160" w:type="dxa"/>
                </w:tcPr>
                <w:p w:rsidR="00AF4B45" w:rsidRPr="003F61DA" w:rsidP="00AF4B45" w14:paraId="6447CC33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$14,381,075.13 </w:t>
                  </w:r>
                </w:p>
              </w:tc>
            </w:tr>
            <w:tr w14:paraId="35B66679" w14:textId="77777777" w:rsidTr="00AF4B45">
              <w:tblPrEx>
                <w:tblW w:w="8730" w:type="dxa"/>
                <w:tblLook w:val="04A0"/>
              </w:tblPrEx>
              <w:trPr>
                <w:trHeight w:val="300"/>
              </w:trPr>
              <w:tc>
                <w:tcPr>
                  <w:tcW w:w="2430" w:type="dxa"/>
                  <w:noWrap/>
                  <w:hideMark/>
                </w:tcPr>
                <w:p w:rsidR="00AF4B45" w:rsidRPr="003F61DA" w:rsidP="00AF4B45" w14:paraId="7149B6A4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District of Columbia </w:t>
                  </w:r>
                </w:p>
              </w:tc>
              <w:tc>
                <w:tcPr>
                  <w:tcW w:w="2250" w:type="dxa"/>
                  <w:noWrap/>
                  <w:hideMark/>
                </w:tcPr>
                <w:p w:rsidR="00AF4B45" w:rsidRPr="003F61DA" w:rsidP="00AF4B45" w14:paraId="33F0A8F1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$13,734,712.11 </w:t>
                  </w:r>
                </w:p>
              </w:tc>
              <w:tc>
                <w:tcPr>
                  <w:tcW w:w="1890" w:type="dxa"/>
                </w:tcPr>
                <w:p w:rsidR="00AF4B45" w:rsidRPr="00671889" w:rsidP="00AF4B45" w14:paraId="328DE6AA" w14:textId="7777777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Nevada </w:t>
                  </w:r>
                </w:p>
              </w:tc>
              <w:tc>
                <w:tcPr>
                  <w:tcW w:w="2160" w:type="dxa"/>
                </w:tcPr>
                <w:p w:rsidR="00AF4B45" w:rsidRPr="003F61DA" w:rsidP="00AF4B45" w14:paraId="08D6DBAE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$2,553,179.66 </w:t>
                  </w:r>
                </w:p>
              </w:tc>
            </w:tr>
            <w:tr w14:paraId="453113FC" w14:textId="77777777" w:rsidTr="00AF4B45">
              <w:tblPrEx>
                <w:tblW w:w="8730" w:type="dxa"/>
                <w:tblLook w:val="04A0"/>
              </w:tblPrEx>
              <w:trPr>
                <w:trHeight w:val="300"/>
              </w:trPr>
              <w:tc>
                <w:tcPr>
                  <w:tcW w:w="2430" w:type="dxa"/>
                  <w:noWrap/>
                  <w:hideMark/>
                </w:tcPr>
                <w:p w:rsidR="00AF4B45" w:rsidRPr="003F61DA" w:rsidP="00AF4B45" w14:paraId="3185F5A4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Delaware </w:t>
                  </w:r>
                </w:p>
              </w:tc>
              <w:tc>
                <w:tcPr>
                  <w:tcW w:w="2250" w:type="dxa"/>
                  <w:noWrap/>
                  <w:hideMark/>
                </w:tcPr>
                <w:p w:rsidR="00AF4B45" w:rsidRPr="003F61DA" w:rsidP="00AF4B45" w14:paraId="7B2D6B91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$6,824,032.88 </w:t>
                  </w:r>
                </w:p>
              </w:tc>
              <w:tc>
                <w:tcPr>
                  <w:tcW w:w="1890" w:type="dxa"/>
                </w:tcPr>
                <w:p w:rsidR="00AF4B45" w:rsidRPr="00671889" w:rsidP="00AF4B45" w14:paraId="18849576" w14:textId="7777777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New York </w:t>
                  </w:r>
                </w:p>
              </w:tc>
              <w:tc>
                <w:tcPr>
                  <w:tcW w:w="2160" w:type="dxa"/>
                </w:tcPr>
                <w:p w:rsidR="00AF4B45" w:rsidRPr="003F61DA" w:rsidP="00AF4B45" w14:paraId="3166860B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$401,251,255.99 </w:t>
                  </w:r>
                </w:p>
              </w:tc>
            </w:tr>
            <w:tr w14:paraId="7530618C" w14:textId="77777777" w:rsidTr="00AF4B45">
              <w:tblPrEx>
                <w:tblW w:w="8730" w:type="dxa"/>
                <w:tblLook w:val="04A0"/>
              </w:tblPrEx>
              <w:trPr>
                <w:trHeight w:val="300"/>
              </w:trPr>
              <w:tc>
                <w:tcPr>
                  <w:tcW w:w="2430" w:type="dxa"/>
                  <w:noWrap/>
                  <w:hideMark/>
                </w:tcPr>
                <w:p w:rsidR="00AF4B45" w:rsidRPr="003F61DA" w:rsidP="00AF4B45" w14:paraId="06D88909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Florida </w:t>
                  </w:r>
                </w:p>
              </w:tc>
              <w:tc>
                <w:tcPr>
                  <w:tcW w:w="2250" w:type="dxa"/>
                  <w:noWrap/>
                  <w:hideMark/>
                </w:tcPr>
                <w:p w:rsidR="00AF4B45" w:rsidRPr="003F61DA" w:rsidP="00AF4B45" w14:paraId="3C0DD39E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$104,575,507.30 </w:t>
                  </w:r>
                </w:p>
              </w:tc>
              <w:tc>
                <w:tcPr>
                  <w:tcW w:w="1890" w:type="dxa"/>
                </w:tcPr>
                <w:p w:rsidR="00AF4B45" w:rsidRPr="00671889" w:rsidP="00AF4B45" w14:paraId="797C3AD2" w14:textId="7777777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Ohio </w:t>
                  </w:r>
                </w:p>
              </w:tc>
              <w:tc>
                <w:tcPr>
                  <w:tcW w:w="2160" w:type="dxa"/>
                </w:tcPr>
                <w:p w:rsidR="00AF4B45" w:rsidRPr="003F61DA" w:rsidP="00AF4B45" w14:paraId="2DE9961B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$60,070,233.19 </w:t>
                  </w:r>
                </w:p>
              </w:tc>
            </w:tr>
            <w:tr w14:paraId="60936CC8" w14:textId="77777777" w:rsidTr="00AF4B45">
              <w:tblPrEx>
                <w:tblW w:w="8730" w:type="dxa"/>
                <w:tblLook w:val="04A0"/>
              </w:tblPrEx>
              <w:trPr>
                <w:trHeight w:val="300"/>
              </w:trPr>
              <w:tc>
                <w:tcPr>
                  <w:tcW w:w="2430" w:type="dxa"/>
                  <w:noWrap/>
                  <w:hideMark/>
                </w:tcPr>
                <w:p w:rsidR="00AF4B45" w:rsidRPr="003F61DA" w:rsidP="00AF4B45" w14:paraId="5C1B2C99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Georgia </w:t>
                  </w:r>
                </w:p>
              </w:tc>
              <w:tc>
                <w:tcPr>
                  <w:tcW w:w="2250" w:type="dxa"/>
                  <w:noWrap/>
                  <w:hideMark/>
                </w:tcPr>
                <w:p w:rsidR="00AF4B45" w:rsidRPr="003F61DA" w:rsidP="00AF4B45" w14:paraId="198AC36C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$96,309,187.67 </w:t>
                  </w:r>
                </w:p>
              </w:tc>
              <w:tc>
                <w:tcPr>
                  <w:tcW w:w="1890" w:type="dxa"/>
                </w:tcPr>
                <w:p w:rsidR="00AF4B45" w:rsidRPr="00671889" w:rsidP="00AF4B45" w14:paraId="7B77D7E7" w14:textId="7777777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Oklahoma </w:t>
                  </w:r>
                </w:p>
              </w:tc>
              <w:tc>
                <w:tcPr>
                  <w:tcW w:w="2160" w:type="dxa"/>
                </w:tcPr>
                <w:p w:rsidR="00AF4B45" w:rsidRPr="003F61DA" w:rsidP="00AF4B45" w14:paraId="3FA2B8AC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$40,879,434.77 </w:t>
                  </w:r>
                </w:p>
              </w:tc>
            </w:tr>
            <w:tr w14:paraId="60250E40" w14:textId="77777777" w:rsidTr="00AF4B45">
              <w:tblPrEx>
                <w:tblW w:w="8730" w:type="dxa"/>
                <w:tblLook w:val="04A0"/>
              </w:tblPrEx>
              <w:trPr>
                <w:trHeight w:val="300"/>
              </w:trPr>
              <w:tc>
                <w:tcPr>
                  <w:tcW w:w="2430" w:type="dxa"/>
                  <w:noWrap/>
                  <w:hideMark/>
                </w:tcPr>
                <w:p w:rsidR="00AF4B45" w:rsidRPr="003F61DA" w:rsidP="00AF4B45" w14:paraId="12C12DBE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Guam </w:t>
                  </w:r>
                </w:p>
              </w:tc>
              <w:tc>
                <w:tcPr>
                  <w:tcW w:w="2250" w:type="dxa"/>
                  <w:noWrap/>
                  <w:hideMark/>
                </w:tcPr>
                <w:p w:rsidR="00AF4B45" w:rsidRPr="003F61DA" w:rsidP="00AF4B45" w14:paraId="180499E2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$6,327,126.00 </w:t>
                  </w:r>
                </w:p>
              </w:tc>
              <w:tc>
                <w:tcPr>
                  <w:tcW w:w="1890" w:type="dxa"/>
                </w:tcPr>
                <w:p w:rsidR="00AF4B45" w:rsidRPr="00671889" w:rsidP="00AF4B45" w14:paraId="03902E00" w14:textId="7777777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Oregon </w:t>
                  </w:r>
                </w:p>
              </w:tc>
              <w:tc>
                <w:tcPr>
                  <w:tcW w:w="2160" w:type="dxa"/>
                </w:tcPr>
                <w:p w:rsidR="00AF4B45" w:rsidRPr="003F61DA" w:rsidP="00AF4B45" w14:paraId="4D4160A2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$51,926,458.06 </w:t>
                  </w:r>
                </w:p>
              </w:tc>
            </w:tr>
            <w:tr w14:paraId="25BAE2F0" w14:textId="77777777" w:rsidTr="00AF4B45">
              <w:tblPrEx>
                <w:tblW w:w="8730" w:type="dxa"/>
                <w:tblLook w:val="04A0"/>
              </w:tblPrEx>
              <w:trPr>
                <w:trHeight w:val="300"/>
              </w:trPr>
              <w:tc>
                <w:tcPr>
                  <w:tcW w:w="2430" w:type="dxa"/>
                  <w:noWrap/>
                  <w:hideMark/>
                </w:tcPr>
                <w:p w:rsidR="00AF4B45" w:rsidRPr="003F61DA" w:rsidP="00AF4B45" w14:paraId="08A0A091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Hawaii </w:t>
                  </w:r>
                </w:p>
              </w:tc>
              <w:tc>
                <w:tcPr>
                  <w:tcW w:w="2250" w:type="dxa"/>
                  <w:noWrap/>
                  <w:hideMark/>
                </w:tcPr>
                <w:p w:rsidR="00AF4B45" w:rsidRPr="003F61DA" w:rsidP="00AF4B45" w14:paraId="153CA30F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$34,621,071.30 </w:t>
                  </w:r>
                </w:p>
              </w:tc>
              <w:tc>
                <w:tcPr>
                  <w:tcW w:w="1890" w:type="dxa"/>
                </w:tcPr>
                <w:p w:rsidR="00AF4B45" w:rsidRPr="00671889" w:rsidP="00AF4B45" w14:paraId="52483BC2" w14:textId="7777777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Pennsylvania </w:t>
                  </w:r>
                </w:p>
              </w:tc>
              <w:tc>
                <w:tcPr>
                  <w:tcW w:w="2160" w:type="dxa"/>
                </w:tcPr>
                <w:p w:rsidR="00AF4B45" w:rsidRPr="003F61DA" w:rsidP="00AF4B45" w14:paraId="38295BFE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$38,551,737.84 </w:t>
                  </w:r>
                </w:p>
              </w:tc>
            </w:tr>
            <w:tr w14:paraId="12DE848D" w14:textId="77777777" w:rsidTr="00AF4B45">
              <w:tblPrEx>
                <w:tblW w:w="8730" w:type="dxa"/>
                <w:tblLook w:val="04A0"/>
              </w:tblPrEx>
              <w:trPr>
                <w:trHeight w:val="300"/>
              </w:trPr>
              <w:tc>
                <w:tcPr>
                  <w:tcW w:w="2430" w:type="dxa"/>
                  <w:noWrap/>
                  <w:hideMark/>
                </w:tcPr>
                <w:p w:rsidR="00AF4B45" w:rsidRPr="003F61DA" w:rsidP="00AF4B45" w14:paraId="0DA0C57E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Iowa </w:t>
                  </w:r>
                </w:p>
              </w:tc>
              <w:tc>
                <w:tcPr>
                  <w:tcW w:w="2250" w:type="dxa"/>
                  <w:noWrap/>
                  <w:hideMark/>
                </w:tcPr>
                <w:p w:rsidR="00AF4B45" w:rsidRPr="003F61DA" w:rsidP="00AF4B45" w14:paraId="6BC51E01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$17,277,844.35 </w:t>
                  </w:r>
                </w:p>
              </w:tc>
              <w:tc>
                <w:tcPr>
                  <w:tcW w:w="1890" w:type="dxa"/>
                </w:tcPr>
                <w:p w:rsidR="00AF4B45" w:rsidRPr="00671889" w:rsidP="00AF4B45" w14:paraId="041D0527" w14:textId="7777777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Puerto Rico </w:t>
                  </w:r>
                </w:p>
              </w:tc>
              <w:tc>
                <w:tcPr>
                  <w:tcW w:w="2160" w:type="dxa"/>
                </w:tcPr>
                <w:p w:rsidR="00AF4B45" w:rsidRPr="003F61DA" w:rsidP="00AF4B45" w14:paraId="685B5526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$4,710,432.19 </w:t>
                  </w:r>
                </w:p>
              </w:tc>
            </w:tr>
            <w:tr w14:paraId="21A314EA" w14:textId="77777777" w:rsidTr="00AF4B45">
              <w:tblPrEx>
                <w:tblW w:w="8730" w:type="dxa"/>
                <w:tblLook w:val="04A0"/>
              </w:tblPrEx>
              <w:trPr>
                <w:trHeight w:val="300"/>
              </w:trPr>
              <w:tc>
                <w:tcPr>
                  <w:tcW w:w="2430" w:type="dxa"/>
                  <w:noWrap/>
                  <w:hideMark/>
                </w:tcPr>
                <w:p w:rsidR="00AF4B45" w:rsidRPr="003F61DA" w:rsidP="00AF4B45" w14:paraId="7D8FBE5B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Idaho </w:t>
                  </w:r>
                </w:p>
              </w:tc>
              <w:tc>
                <w:tcPr>
                  <w:tcW w:w="2250" w:type="dxa"/>
                  <w:noWrap/>
                  <w:hideMark/>
                </w:tcPr>
                <w:p w:rsidR="00AF4B45" w:rsidRPr="003F61DA" w:rsidP="00AF4B45" w14:paraId="0E869E8D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$12,878,415.56 </w:t>
                  </w:r>
                </w:p>
              </w:tc>
              <w:tc>
                <w:tcPr>
                  <w:tcW w:w="1890" w:type="dxa"/>
                </w:tcPr>
                <w:p w:rsidR="00AF4B45" w:rsidRPr="00671889" w:rsidP="00AF4B45" w14:paraId="5D7D3381" w14:textId="7777777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Rhode Island </w:t>
                  </w:r>
                </w:p>
              </w:tc>
              <w:tc>
                <w:tcPr>
                  <w:tcW w:w="2160" w:type="dxa"/>
                </w:tcPr>
                <w:p w:rsidR="00AF4B45" w:rsidRPr="003F61DA" w:rsidP="00AF4B45" w14:paraId="272DC31E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$7,779,267.22 </w:t>
                  </w:r>
                </w:p>
              </w:tc>
            </w:tr>
            <w:tr w14:paraId="08F2627A" w14:textId="77777777" w:rsidTr="00AF4B45">
              <w:tblPrEx>
                <w:tblW w:w="8730" w:type="dxa"/>
                <w:tblLook w:val="04A0"/>
              </w:tblPrEx>
              <w:trPr>
                <w:trHeight w:val="300"/>
              </w:trPr>
              <w:tc>
                <w:tcPr>
                  <w:tcW w:w="2430" w:type="dxa"/>
                  <w:noWrap/>
                  <w:hideMark/>
                </w:tcPr>
                <w:p w:rsidR="00AF4B45" w:rsidRPr="003F61DA" w:rsidP="00AF4B45" w14:paraId="086625A2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Illinois </w:t>
                  </w:r>
                </w:p>
              </w:tc>
              <w:tc>
                <w:tcPr>
                  <w:tcW w:w="2250" w:type="dxa"/>
                  <w:noWrap/>
                  <w:hideMark/>
                </w:tcPr>
                <w:p w:rsidR="00AF4B45" w:rsidRPr="003F61DA" w:rsidP="00AF4B45" w14:paraId="51BE7C69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$158,697,061.50 </w:t>
                  </w:r>
                </w:p>
              </w:tc>
              <w:tc>
                <w:tcPr>
                  <w:tcW w:w="1890" w:type="dxa"/>
                </w:tcPr>
                <w:p w:rsidR="00AF4B45" w:rsidRPr="00671889" w:rsidP="00AF4B45" w14:paraId="13B7A9B4" w14:textId="7777777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South Carolina </w:t>
                  </w:r>
                </w:p>
              </w:tc>
              <w:tc>
                <w:tcPr>
                  <w:tcW w:w="2160" w:type="dxa"/>
                </w:tcPr>
                <w:p w:rsidR="00AF4B45" w:rsidRPr="003F61DA" w:rsidP="00AF4B45" w14:paraId="07F624E7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$9,524,454.48 </w:t>
                  </w:r>
                </w:p>
              </w:tc>
            </w:tr>
            <w:tr w14:paraId="304BCE29" w14:textId="77777777" w:rsidTr="00AF4B45">
              <w:tblPrEx>
                <w:tblW w:w="8730" w:type="dxa"/>
                <w:tblLook w:val="04A0"/>
              </w:tblPrEx>
              <w:trPr>
                <w:trHeight w:val="300"/>
              </w:trPr>
              <w:tc>
                <w:tcPr>
                  <w:tcW w:w="2430" w:type="dxa"/>
                  <w:noWrap/>
                  <w:hideMark/>
                </w:tcPr>
                <w:p w:rsidR="00AF4B45" w:rsidRPr="003F61DA" w:rsidP="00AF4B45" w14:paraId="55B88A68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Indiana </w:t>
                  </w:r>
                </w:p>
              </w:tc>
              <w:tc>
                <w:tcPr>
                  <w:tcW w:w="2250" w:type="dxa"/>
                  <w:noWrap/>
                  <w:hideMark/>
                </w:tcPr>
                <w:p w:rsidR="00AF4B45" w:rsidRPr="003F61DA" w:rsidP="00AF4B45" w14:paraId="23A29871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$30,220,546.81 </w:t>
                  </w:r>
                </w:p>
              </w:tc>
              <w:tc>
                <w:tcPr>
                  <w:tcW w:w="1890" w:type="dxa"/>
                </w:tcPr>
                <w:p w:rsidR="00AF4B45" w:rsidRPr="00671889" w:rsidP="00AF4B45" w14:paraId="2FBEE6AB" w14:textId="7777777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South Dakota </w:t>
                  </w:r>
                </w:p>
              </w:tc>
              <w:tc>
                <w:tcPr>
                  <w:tcW w:w="2160" w:type="dxa"/>
                </w:tcPr>
                <w:p w:rsidR="00AF4B45" w:rsidRPr="003F61DA" w:rsidP="00AF4B45" w14:paraId="49A3E9C4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$5,266,957.72 </w:t>
                  </w:r>
                </w:p>
              </w:tc>
            </w:tr>
            <w:tr w14:paraId="0C733107" w14:textId="77777777" w:rsidTr="00AF4B45">
              <w:tblPrEx>
                <w:tblW w:w="8730" w:type="dxa"/>
                <w:tblLook w:val="04A0"/>
              </w:tblPrEx>
              <w:trPr>
                <w:trHeight w:val="300"/>
              </w:trPr>
              <w:tc>
                <w:tcPr>
                  <w:tcW w:w="2430" w:type="dxa"/>
                  <w:noWrap/>
                  <w:hideMark/>
                </w:tcPr>
                <w:p w:rsidR="00AF4B45" w:rsidRPr="003F61DA" w:rsidP="00AF4B45" w14:paraId="6730B915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Kansas </w:t>
                  </w:r>
                </w:p>
              </w:tc>
              <w:tc>
                <w:tcPr>
                  <w:tcW w:w="2250" w:type="dxa"/>
                  <w:noWrap/>
                  <w:hideMark/>
                </w:tcPr>
                <w:p w:rsidR="00AF4B45" w:rsidRPr="003F61DA" w:rsidP="00AF4B45" w14:paraId="533951B0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$13,090,904.46 </w:t>
                  </w:r>
                </w:p>
              </w:tc>
              <w:tc>
                <w:tcPr>
                  <w:tcW w:w="1890" w:type="dxa"/>
                </w:tcPr>
                <w:p w:rsidR="00AF4B45" w:rsidRPr="00671889" w:rsidP="00AF4B45" w14:paraId="58FFBED4" w14:textId="7777777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Tennessee </w:t>
                  </w:r>
                </w:p>
              </w:tc>
              <w:tc>
                <w:tcPr>
                  <w:tcW w:w="2160" w:type="dxa"/>
                </w:tcPr>
                <w:p w:rsidR="00AF4B45" w:rsidRPr="003F61DA" w:rsidP="00AF4B45" w14:paraId="6648A873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$31,848,366.17 </w:t>
                  </w:r>
                </w:p>
              </w:tc>
            </w:tr>
            <w:tr w14:paraId="6C88190B" w14:textId="77777777" w:rsidTr="00AF4B45">
              <w:tblPrEx>
                <w:tblW w:w="8730" w:type="dxa"/>
                <w:tblLook w:val="04A0"/>
              </w:tblPrEx>
              <w:trPr>
                <w:trHeight w:val="300"/>
              </w:trPr>
              <w:tc>
                <w:tcPr>
                  <w:tcW w:w="2430" w:type="dxa"/>
                  <w:noWrap/>
                  <w:hideMark/>
                </w:tcPr>
                <w:p w:rsidR="00AF4B45" w:rsidRPr="003F61DA" w:rsidP="00AF4B45" w14:paraId="3A2C8693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Kentucky </w:t>
                  </w:r>
                </w:p>
              </w:tc>
              <w:tc>
                <w:tcPr>
                  <w:tcW w:w="2250" w:type="dxa"/>
                  <w:noWrap/>
                  <w:hideMark/>
                </w:tcPr>
                <w:p w:rsidR="00AF4B45" w:rsidRPr="003F61DA" w:rsidP="00AF4B45" w14:paraId="5933959C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$43,151,246.21 </w:t>
                  </w:r>
                </w:p>
              </w:tc>
              <w:tc>
                <w:tcPr>
                  <w:tcW w:w="1890" w:type="dxa"/>
                </w:tcPr>
                <w:p w:rsidR="00AF4B45" w:rsidRPr="00671889" w:rsidP="00AF4B45" w14:paraId="2AFF6434" w14:textId="7777777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Texas </w:t>
                  </w:r>
                </w:p>
              </w:tc>
              <w:tc>
                <w:tcPr>
                  <w:tcW w:w="2160" w:type="dxa"/>
                </w:tcPr>
                <w:p w:rsidR="00AF4B45" w:rsidRPr="003F61DA" w:rsidP="00AF4B45" w14:paraId="22B3F343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$215,025,982.07 </w:t>
                  </w:r>
                </w:p>
              </w:tc>
            </w:tr>
            <w:tr w14:paraId="6DC0370C" w14:textId="77777777" w:rsidTr="00AF4B45">
              <w:tblPrEx>
                <w:tblW w:w="8730" w:type="dxa"/>
                <w:tblLook w:val="04A0"/>
              </w:tblPrEx>
              <w:trPr>
                <w:trHeight w:val="300"/>
              </w:trPr>
              <w:tc>
                <w:tcPr>
                  <w:tcW w:w="2430" w:type="dxa"/>
                  <w:noWrap/>
                  <w:hideMark/>
                </w:tcPr>
                <w:p w:rsidR="00AF4B45" w:rsidRPr="003F61DA" w:rsidP="00AF4B45" w14:paraId="3C35B4AE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Louisiana </w:t>
                  </w:r>
                </w:p>
              </w:tc>
              <w:tc>
                <w:tcPr>
                  <w:tcW w:w="2250" w:type="dxa"/>
                  <w:noWrap/>
                  <w:hideMark/>
                </w:tcPr>
                <w:p w:rsidR="00AF4B45" w:rsidRPr="003F61DA" w:rsidP="00AF4B45" w14:paraId="73615073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$43,561,473.81 </w:t>
                  </w:r>
                </w:p>
              </w:tc>
              <w:tc>
                <w:tcPr>
                  <w:tcW w:w="1890" w:type="dxa"/>
                </w:tcPr>
                <w:p w:rsidR="00AF4B45" w:rsidRPr="00671889" w:rsidP="00AF4B45" w14:paraId="7758326D" w14:textId="7777777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Utah </w:t>
                  </w:r>
                </w:p>
              </w:tc>
              <w:tc>
                <w:tcPr>
                  <w:tcW w:w="2160" w:type="dxa"/>
                </w:tcPr>
                <w:p w:rsidR="00AF4B45" w:rsidRPr="003F61DA" w:rsidP="00AF4B45" w14:paraId="0D937A1C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$29,169,342.88 </w:t>
                  </w:r>
                </w:p>
              </w:tc>
            </w:tr>
            <w:tr w14:paraId="60DA6322" w14:textId="77777777" w:rsidTr="00AF4B45">
              <w:tblPrEx>
                <w:tblW w:w="8730" w:type="dxa"/>
                <w:tblLook w:val="04A0"/>
              </w:tblPrEx>
              <w:trPr>
                <w:trHeight w:val="300"/>
              </w:trPr>
              <w:tc>
                <w:tcPr>
                  <w:tcW w:w="2430" w:type="dxa"/>
                  <w:noWrap/>
                  <w:hideMark/>
                </w:tcPr>
                <w:p w:rsidR="00AF4B45" w:rsidRPr="003F61DA" w:rsidP="00AF4B45" w14:paraId="020CAE04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Massachusetts </w:t>
                  </w:r>
                </w:p>
              </w:tc>
              <w:tc>
                <w:tcPr>
                  <w:tcW w:w="2250" w:type="dxa"/>
                  <w:noWrap/>
                  <w:hideMark/>
                </w:tcPr>
                <w:p w:rsidR="00AF4B45" w:rsidRPr="003F61DA" w:rsidP="00AF4B45" w14:paraId="3B7C7D3C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$29,089,680.79 </w:t>
                  </w:r>
                </w:p>
              </w:tc>
              <w:tc>
                <w:tcPr>
                  <w:tcW w:w="1890" w:type="dxa"/>
                </w:tcPr>
                <w:p w:rsidR="00AF4B45" w:rsidRPr="00671889" w:rsidP="00AF4B45" w14:paraId="31DD3FF7" w14:textId="7777777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Virginia </w:t>
                  </w:r>
                </w:p>
              </w:tc>
              <w:tc>
                <w:tcPr>
                  <w:tcW w:w="2160" w:type="dxa"/>
                </w:tcPr>
                <w:p w:rsidR="00AF4B45" w:rsidRPr="003F61DA" w:rsidP="00AF4B45" w14:paraId="0FEBB70F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$48,333,240.52 </w:t>
                  </w:r>
                </w:p>
              </w:tc>
            </w:tr>
            <w:tr w14:paraId="1ADE22E4" w14:textId="77777777" w:rsidTr="00AF4B45">
              <w:tblPrEx>
                <w:tblW w:w="8730" w:type="dxa"/>
                <w:tblLook w:val="04A0"/>
              </w:tblPrEx>
              <w:trPr>
                <w:trHeight w:val="300"/>
              </w:trPr>
              <w:tc>
                <w:tcPr>
                  <w:tcW w:w="2430" w:type="dxa"/>
                  <w:noWrap/>
                  <w:hideMark/>
                </w:tcPr>
                <w:p w:rsidR="00AF4B45" w:rsidRPr="003F61DA" w:rsidP="00AF4B45" w14:paraId="351A0165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Maryland </w:t>
                  </w:r>
                </w:p>
              </w:tc>
              <w:tc>
                <w:tcPr>
                  <w:tcW w:w="2250" w:type="dxa"/>
                  <w:noWrap/>
                  <w:hideMark/>
                </w:tcPr>
                <w:p w:rsidR="00AF4B45" w:rsidRPr="003F61DA" w:rsidP="00AF4B45" w14:paraId="41B444B3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$22,841,063.25 </w:t>
                  </w:r>
                </w:p>
              </w:tc>
              <w:tc>
                <w:tcPr>
                  <w:tcW w:w="1890" w:type="dxa"/>
                </w:tcPr>
                <w:p w:rsidR="00AF4B45" w:rsidRPr="00671889" w:rsidP="00AF4B45" w14:paraId="3BBC6C08" w14:textId="7777777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71889">
                    <w:rPr>
                      <w:b/>
                      <w:bCs/>
                      <w:color w:val="000000"/>
                      <w:sz w:val="20"/>
                      <w:szCs w:val="20"/>
                    </w:rPr>
                    <w:t>Virgin Islands</w:t>
                  </w:r>
                </w:p>
              </w:tc>
              <w:tc>
                <w:tcPr>
                  <w:tcW w:w="2160" w:type="dxa"/>
                </w:tcPr>
                <w:p w:rsidR="00AF4B45" w:rsidRPr="003F61DA" w:rsidP="00AF4B45" w14:paraId="4689430D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61DA">
                    <w:rPr>
                      <w:color w:val="000000"/>
                      <w:sz w:val="20"/>
                      <w:szCs w:val="20"/>
                    </w:rPr>
                    <w:t>$33,077.60</w:t>
                  </w:r>
                </w:p>
              </w:tc>
            </w:tr>
            <w:tr w14:paraId="0F68472A" w14:textId="77777777" w:rsidTr="00AF4B45">
              <w:tblPrEx>
                <w:tblW w:w="8730" w:type="dxa"/>
                <w:tblLook w:val="04A0"/>
              </w:tblPrEx>
              <w:trPr>
                <w:trHeight w:val="300"/>
              </w:trPr>
              <w:tc>
                <w:tcPr>
                  <w:tcW w:w="2430" w:type="dxa"/>
                  <w:noWrap/>
                  <w:hideMark/>
                </w:tcPr>
                <w:p w:rsidR="00AF4B45" w:rsidRPr="003F61DA" w:rsidP="00AF4B45" w14:paraId="56ED3E26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Maine </w:t>
                  </w:r>
                </w:p>
              </w:tc>
              <w:tc>
                <w:tcPr>
                  <w:tcW w:w="2250" w:type="dxa"/>
                  <w:noWrap/>
                  <w:hideMark/>
                </w:tcPr>
                <w:p w:rsidR="00AF4B45" w:rsidRPr="003F61DA" w:rsidP="00AF4B45" w14:paraId="66760FEB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$3,096,026.30 </w:t>
                  </w:r>
                </w:p>
              </w:tc>
              <w:tc>
                <w:tcPr>
                  <w:tcW w:w="1890" w:type="dxa"/>
                </w:tcPr>
                <w:p w:rsidR="00AF4B45" w:rsidRPr="00671889" w:rsidP="00AF4B45" w14:paraId="5A4D9B96" w14:textId="7777777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Vermont </w:t>
                  </w:r>
                </w:p>
              </w:tc>
              <w:tc>
                <w:tcPr>
                  <w:tcW w:w="2160" w:type="dxa"/>
                </w:tcPr>
                <w:p w:rsidR="00AF4B45" w:rsidRPr="003F61DA" w:rsidP="00AF4B45" w14:paraId="6E56B4F0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$1,396,414.27 </w:t>
                  </w:r>
                </w:p>
              </w:tc>
            </w:tr>
            <w:tr w14:paraId="70D44736" w14:textId="77777777" w:rsidTr="00AF4B45">
              <w:tblPrEx>
                <w:tblW w:w="8730" w:type="dxa"/>
                <w:tblLook w:val="04A0"/>
              </w:tblPrEx>
              <w:trPr>
                <w:trHeight w:val="300"/>
              </w:trPr>
              <w:tc>
                <w:tcPr>
                  <w:tcW w:w="2430" w:type="dxa"/>
                  <w:noWrap/>
                  <w:hideMark/>
                </w:tcPr>
                <w:p w:rsidR="00AF4B45" w:rsidRPr="003F61DA" w:rsidP="00AF4B45" w14:paraId="2E7EBFFF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Michigan </w:t>
                  </w:r>
                </w:p>
              </w:tc>
              <w:tc>
                <w:tcPr>
                  <w:tcW w:w="2250" w:type="dxa"/>
                  <w:noWrap/>
                  <w:hideMark/>
                </w:tcPr>
                <w:p w:rsidR="00AF4B45" w:rsidRPr="003F61DA" w:rsidP="00AF4B45" w14:paraId="4F9853C8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$85,427,333.95 </w:t>
                  </w:r>
                </w:p>
              </w:tc>
              <w:tc>
                <w:tcPr>
                  <w:tcW w:w="1890" w:type="dxa"/>
                </w:tcPr>
                <w:p w:rsidR="00AF4B45" w:rsidRPr="00671889" w:rsidP="00AF4B45" w14:paraId="21D2F7B3" w14:textId="7777777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Washington </w:t>
                  </w:r>
                </w:p>
              </w:tc>
              <w:tc>
                <w:tcPr>
                  <w:tcW w:w="2160" w:type="dxa"/>
                </w:tcPr>
                <w:p w:rsidR="00AF4B45" w:rsidRPr="003F61DA" w:rsidP="00AF4B45" w14:paraId="357551EA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$55,029,881.70 </w:t>
                  </w:r>
                </w:p>
              </w:tc>
            </w:tr>
            <w:tr w14:paraId="48449FAB" w14:textId="77777777" w:rsidTr="00AF4B45">
              <w:tblPrEx>
                <w:tblW w:w="8730" w:type="dxa"/>
                <w:tblLook w:val="04A0"/>
              </w:tblPrEx>
              <w:trPr>
                <w:trHeight w:val="300"/>
              </w:trPr>
              <w:tc>
                <w:tcPr>
                  <w:tcW w:w="2430" w:type="dxa"/>
                  <w:noWrap/>
                  <w:hideMark/>
                </w:tcPr>
                <w:p w:rsidR="00AF4B45" w:rsidRPr="003F61DA" w:rsidP="00AF4B45" w14:paraId="1ABCCE38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Minnesota </w:t>
                  </w:r>
                </w:p>
              </w:tc>
              <w:tc>
                <w:tcPr>
                  <w:tcW w:w="2250" w:type="dxa"/>
                  <w:noWrap/>
                  <w:hideMark/>
                </w:tcPr>
                <w:p w:rsidR="00AF4B45" w:rsidRPr="003F61DA" w:rsidP="00AF4B45" w14:paraId="583FE786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$30,177,906.29 </w:t>
                  </w:r>
                </w:p>
              </w:tc>
              <w:tc>
                <w:tcPr>
                  <w:tcW w:w="1890" w:type="dxa"/>
                </w:tcPr>
                <w:p w:rsidR="00AF4B45" w:rsidRPr="00671889" w:rsidP="00AF4B45" w14:paraId="26A1EDD3" w14:textId="7777777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Wisconsin </w:t>
                  </w:r>
                </w:p>
              </w:tc>
              <w:tc>
                <w:tcPr>
                  <w:tcW w:w="2160" w:type="dxa"/>
                </w:tcPr>
                <w:p w:rsidR="00AF4B45" w:rsidRPr="003F61DA" w:rsidP="00AF4B45" w14:paraId="2D2D91F1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$49,272,359.45 </w:t>
                  </w:r>
                </w:p>
              </w:tc>
            </w:tr>
            <w:tr w14:paraId="7C6F1E79" w14:textId="77777777" w:rsidTr="00303F2D">
              <w:tblPrEx>
                <w:tblW w:w="8730" w:type="dxa"/>
                <w:tblLook w:val="04A0"/>
              </w:tblPrEx>
              <w:trPr>
                <w:trHeight w:val="300"/>
              </w:trPr>
              <w:tc>
                <w:tcPr>
                  <w:tcW w:w="2430" w:type="dxa"/>
                  <w:tcBorders>
                    <w:bottom w:val="nil"/>
                  </w:tcBorders>
                  <w:noWrap/>
                  <w:hideMark/>
                </w:tcPr>
                <w:p w:rsidR="00AF4B45" w:rsidRPr="003F61DA" w:rsidP="00AF4B45" w14:paraId="0BAE4A27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Missouri </w:t>
                  </w:r>
                </w:p>
              </w:tc>
              <w:tc>
                <w:tcPr>
                  <w:tcW w:w="2250" w:type="dxa"/>
                  <w:tcBorders>
                    <w:bottom w:val="nil"/>
                  </w:tcBorders>
                  <w:noWrap/>
                  <w:hideMark/>
                </w:tcPr>
                <w:p w:rsidR="00AF4B45" w:rsidRPr="003F61DA" w:rsidP="00AF4B45" w14:paraId="385F6447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$45,176,404.09 </w:t>
                  </w:r>
                </w:p>
              </w:tc>
              <w:tc>
                <w:tcPr>
                  <w:tcW w:w="1890" w:type="dxa"/>
                  <w:tcBorders>
                    <w:bottom w:val="nil"/>
                  </w:tcBorders>
                </w:tcPr>
                <w:p w:rsidR="00AF4B45" w:rsidRPr="00671889" w:rsidP="00AF4B45" w14:paraId="3E96D4C8" w14:textId="7777777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West Virginia </w:t>
                  </w:r>
                </w:p>
              </w:tc>
              <w:tc>
                <w:tcPr>
                  <w:tcW w:w="2160" w:type="dxa"/>
                  <w:tcBorders>
                    <w:bottom w:val="nil"/>
                  </w:tcBorders>
                </w:tcPr>
                <w:p w:rsidR="00AF4B45" w:rsidRPr="003F61DA" w:rsidP="00AF4B45" w14:paraId="3B6DC018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$16,948,399.11 </w:t>
                  </w:r>
                </w:p>
              </w:tc>
            </w:tr>
            <w:tr w14:paraId="212B5CDF" w14:textId="77777777" w:rsidTr="00303F2D">
              <w:tblPrEx>
                <w:tblW w:w="8730" w:type="dxa"/>
                <w:tblLook w:val="04A0"/>
              </w:tblPrEx>
              <w:trPr>
                <w:trHeight w:val="300"/>
              </w:trPr>
              <w:tc>
                <w:tcPr>
                  <w:tcW w:w="2430" w:type="dxa"/>
                  <w:tcBorders>
                    <w:top w:val="nil"/>
                    <w:bottom w:val="single" w:sz="4" w:space="0" w:color="auto"/>
                  </w:tcBorders>
                  <w:noWrap/>
                  <w:hideMark/>
                </w:tcPr>
                <w:p w:rsidR="00AF4B45" w:rsidRPr="003F61DA" w:rsidP="00AF4B45" w14:paraId="4DF10C48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Mississippi </w:t>
                  </w:r>
                </w:p>
              </w:tc>
              <w:tc>
                <w:tcPr>
                  <w:tcW w:w="2250" w:type="dxa"/>
                  <w:tcBorders>
                    <w:top w:val="nil"/>
                    <w:bottom w:val="single" w:sz="4" w:space="0" w:color="auto"/>
                  </w:tcBorders>
                  <w:noWrap/>
                  <w:hideMark/>
                </w:tcPr>
                <w:p w:rsidR="00AF4B45" w:rsidRPr="003F61DA" w:rsidP="00AF4B45" w14:paraId="3370F79B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$8,077,673.41 </w:t>
                  </w:r>
                </w:p>
              </w:tc>
              <w:tc>
                <w:tcPr>
                  <w:tcW w:w="1890" w:type="dxa"/>
                  <w:tcBorders>
                    <w:top w:val="nil"/>
                    <w:bottom w:val="single" w:sz="4" w:space="0" w:color="auto"/>
                  </w:tcBorders>
                </w:tcPr>
                <w:p w:rsidR="00AF4B45" w:rsidRPr="00671889" w:rsidP="00AF4B45" w14:paraId="0FD7B9CC" w14:textId="7777777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Wyoming </w:t>
                  </w:r>
                </w:p>
              </w:tc>
              <w:tc>
                <w:tcPr>
                  <w:tcW w:w="2160" w:type="dxa"/>
                  <w:tcBorders>
                    <w:top w:val="nil"/>
                    <w:bottom w:val="single" w:sz="4" w:space="0" w:color="auto"/>
                  </w:tcBorders>
                </w:tcPr>
                <w:p w:rsidR="00AF4B45" w:rsidRPr="003F61DA" w:rsidP="00AF4B45" w14:paraId="61FF7B55" w14:textId="777777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color w:val="000000"/>
                      <w:sz w:val="20"/>
                      <w:szCs w:val="20"/>
                    </w:rPr>
                    <w:t xml:space="preserve"> $48,012.00 </w:t>
                  </w:r>
                </w:p>
              </w:tc>
            </w:tr>
            <w:tr w14:paraId="5C4226D9" w14:textId="77777777" w:rsidTr="00303F2D">
              <w:tblPrEx>
                <w:tblW w:w="8730" w:type="dxa"/>
                <w:tblLook w:val="04A0"/>
              </w:tblPrEx>
              <w:trPr>
                <w:trHeight w:val="300"/>
              </w:trPr>
              <w:tc>
                <w:tcPr>
                  <w:tcW w:w="4680" w:type="dxa"/>
                  <w:gridSpan w:val="2"/>
                  <w:tcBorders>
                    <w:top w:val="single" w:sz="4" w:space="0" w:color="auto"/>
                  </w:tcBorders>
                  <w:noWrap/>
                </w:tcPr>
                <w:p w:rsidR="00AF4B45" w:rsidRPr="003F61DA" w:rsidP="00AF4B45" w14:paraId="1796AD8F" w14:textId="77777777">
                  <w:pPr>
                    <w:jc w:val="center"/>
                    <w:rPr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4050" w:type="dxa"/>
                  <w:gridSpan w:val="2"/>
                  <w:tcBorders>
                    <w:top w:val="single" w:sz="4" w:space="0" w:color="auto"/>
                  </w:tcBorders>
                </w:tcPr>
                <w:p w:rsidR="00AF4B45" w:rsidRPr="003F61DA" w:rsidP="00AF4B45" w14:paraId="0A8CF290" w14:textId="7777777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F61DA">
                    <w:rPr>
                      <w:b/>
                      <w:bCs/>
                      <w:color w:val="000000"/>
                      <w:sz w:val="20"/>
                      <w:szCs w:val="20"/>
                    </w:rPr>
                    <w:t>$  2,362,788,847.22</w:t>
                  </w:r>
                </w:p>
              </w:tc>
            </w:tr>
          </w:tbl>
          <w:p w:rsidR="00D82680" w14:paraId="469A2626" w14:textId="77777777">
            <w:pPr>
              <w:rPr>
                <w:sz w:val="22"/>
                <w:szCs w:val="22"/>
              </w:rPr>
            </w:pPr>
          </w:p>
          <w:p w:rsidR="00D82680" w:rsidP="00986FAC" w14:paraId="4E8BEE1B" w14:textId="3B2A12B4">
            <w:pPr>
              <w:tabs>
                <w:tab w:val="left" w:pos="8625"/>
              </w:tabs>
              <w:rPr>
                <w:sz w:val="22"/>
                <w:szCs w:val="22"/>
              </w:rPr>
            </w:pPr>
            <w:r w:rsidRPr="008E43FB">
              <w:rPr>
                <w:sz w:val="22"/>
                <w:szCs w:val="22"/>
              </w:rPr>
              <w:t xml:space="preserve">The FCC continues to review applications and will announce future funding commitments in coming weeks. More details about which schools and libraries will receive funding can be found </w:t>
            </w:r>
            <w:r w:rsidR="009459E4">
              <w:rPr>
                <w:sz w:val="22"/>
                <w:szCs w:val="22"/>
              </w:rPr>
              <w:t xml:space="preserve">at </w:t>
            </w:r>
            <w:hyperlink r:id="rId5" w:history="1">
              <w:r w:rsidRPr="002456B5" w:rsidR="009459E4">
                <w:rPr>
                  <w:rStyle w:val="Hyperlink"/>
                  <w:sz w:val="22"/>
                  <w:szCs w:val="22"/>
                </w:rPr>
                <w:t>https://www.</w:t>
              </w:r>
              <w:r w:rsidRPr="002456B5" w:rsidR="009459E4">
                <w:rPr>
                  <w:rStyle w:val="Hyperlink"/>
                </w:rPr>
                <w:t>fcc.gov/ecf-current-funding-commitments</w:t>
              </w:r>
            </w:hyperlink>
            <w:r w:rsidR="009459E4">
              <w:t xml:space="preserve">. </w:t>
            </w:r>
          </w:p>
          <w:p w:rsidR="00986FAC" w:rsidP="003F7707" w14:paraId="51A11167" w14:textId="77777777">
            <w:pPr>
              <w:tabs>
                <w:tab w:val="left" w:pos="8625"/>
              </w:tabs>
              <w:rPr>
                <w:sz w:val="22"/>
                <w:szCs w:val="22"/>
              </w:rPr>
            </w:pPr>
          </w:p>
          <w:p w:rsidR="0034135F" w:rsidP="00986FAC" w14:paraId="556DC3B8" w14:textId="486BAD82">
            <w:pPr>
              <w:rPr>
                <w:sz w:val="22"/>
                <w:szCs w:val="22"/>
              </w:rPr>
            </w:pPr>
            <w:r w:rsidRPr="005173D6">
              <w:rPr>
                <w:sz w:val="22"/>
                <w:szCs w:val="22"/>
              </w:rPr>
              <w:t>Detailed information on the status of applications submitted during the initial application filing window that closed on August 13, 2021 is available</w:t>
            </w:r>
            <w:r w:rsidRPr="00176AD8">
              <w:rPr>
                <w:sz w:val="22"/>
                <w:szCs w:val="22"/>
              </w:rPr>
              <w:t xml:space="preserve"> in the </w:t>
            </w:r>
            <w:hyperlink r:id="rId6" w:history="1">
              <w:r w:rsidRPr="005173D6">
                <w:rPr>
                  <w:rStyle w:val="Hyperlink"/>
                  <w:sz w:val="22"/>
                  <w:szCs w:val="22"/>
                </w:rPr>
                <w:t>Open Data Portal</w:t>
              </w:r>
            </w:hyperlink>
            <w:r w:rsidRPr="00176AD8" w:rsidR="00225242">
              <w:rPr>
                <w:sz w:val="22"/>
                <w:szCs w:val="22"/>
              </w:rPr>
              <w:t xml:space="preserve">.  </w:t>
            </w:r>
            <w:r w:rsidRPr="00176AD8">
              <w:rPr>
                <w:sz w:val="22"/>
                <w:szCs w:val="22"/>
              </w:rPr>
              <w:t>The Open Data Portal provide</w:t>
            </w:r>
            <w:r w:rsidRPr="00176AD8" w:rsidR="009601B9">
              <w:rPr>
                <w:sz w:val="22"/>
                <w:szCs w:val="22"/>
              </w:rPr>
              <w:t>s</w:t>
            </w:r>
            <w:r w:rsidRPr="00176AD8">
              <w:rPr>
                <w:sz w:val="22"/>
                <w:szCs w:val="22"/>
              </w:rPr>
              <w:t xml:space="preserve"> detailed information </w:t>
            </w:r>
            <w:r w:rsidRPr="00176AD8" w:rsidR="22C2B3D1">
              <w:rPr>
                <w:sz w:val="22"/>
                <w:szCs w:val="22"/>
              </w:rPr>
              <w:t>about</w:t>
            </w:r>
            <w:r w:rsidRPr="00176AD8">
              <w:rPr>
                <w:sz w:val="22"/>
                <w:szCs w:val="22"/>
              </w:rPr>
              <w:t xml:space="preserve"> </w:t>
            </w:r>
            <w:r w:rsidRPr="00176AD8" w:rsidR="007D0A0C">
              <w:rPr>
                <w:sz w:val="22"/>
                <w:szCs w:val="22"/>
              </w:rPr>
              <w:t>these</w:t>
            </w:r>
            <w:r w:rsidRPr="00176AD8">
              <w:rPr>
                <w:sz w:val="22"/>
                <w:szCs w:val="22"/>
              </w:rPr>
              <w:t xml:space="preserve"> applications including applicant details, requested funds, individual product or service details, and funding commitment information. The Commission is also making available a spreadsheet that provides searchable, high-level information regarding </w:t>
            </w:r>
            <w:r w:rsidRPr="00176AD8" w:rsidR="70717E01">
              <w:rPr>
                <w:sz w:val="22"/>
                <w:szCs w:val="22"/>
              </w:rPr>
              <w:t>amounts committed in the first commitment wave</w:t>
            </w:r>
            <w:r w:rsidRPr="00176AD8">
              <w:rPr>
                <w:sz w:val="22"/>
                <w:szCs w:val="22"/>
              </w:rPr>
              <w:t xml:space="preserve">, including applicant name, location, and their requested support. </w:t>
            </w:r>
            <w:r w:rsidRPr="00176AD8" w:rsidR="00F26640">
              <w:rPr>
                <w:sz w:val="22"/>
                <w:szCs w:val="22"/>
              </w:rPr>
              <w:t xml:space="preserve">These resources are available at </w:t>
            </w:r>
            <w:hyperlink r:id="rId7" w:history="1">
              <w:r w:rsidRPr="00176AD8" w:rsidR="00F26640">
                <w:rPr>
                  <w:rStyle w:val="Hyperlink"/>
                  <w:sz w:val="22"/>
                  <w:szCs w:val="22"/>
                </w:rPr>
                <w:t>https://www.emergencyconnectivityfund.org/open-data/</w:t>
              </w:r>
            </w:hyperlink>
            <w:r w:rsidRPr="00176AD8" w:rsidR="00F26640">
              <w:rPr>
                <w:sz w:val="22"/>
                <w:szCs w:val="22"/>
              </w:rPr>
              <w:t>.</w:t>
            </w:r>
          </w:p>
          <w:p w:rsidR="006208EA" w:rsidP="00986FAC" w14:paraId="65EC3ACD" w14:textId="3298BDDD">
            <w:pPr>
              <w:rPr>
                <w:sz w:val="22"/>
                <w:szCs w:val="22"/>
              </w:rPr>
            </w:pPr>
          </w:p>
          <w:p w:rsidR="006208EA" w:rsidRPr="006208EA" w:rsidP="006208EA" w14:paraId="6E8EBA27" w14:textId="77777777">
            <w:pPr>
              <w:rPr>
                <w:sz w:val="22"/>
                <w:szCs w:val="22"/>
              </w:rPr>
            </w:pPr>
          </w:p>
          <w:p w:rsidR="006208EA" w:rsidRPr="00176AD8" w:rsidP="006208EA" w14:paraId="28B896A3" w14:textId="533C41BC">
            <w:pPr>
              <w:rPr>
                <w:sz w:val="22"/>
                <w:szCs w:val="22"/>
              </w:rPr>
            </w:pPr>
            <w:r w:rsidRPr="006208EA">
              <w:rPr>
                <w:sz w:val="22"/>
                <w:szCs w:val="22"/>
              </w:rPr>
              <w:t xml:space="preserve">Additional information on the Emergency Connectivity Fund program is available at: www.emergencyconnectivityfund.org.  The program is administered by the Universal Service </w:t>
            </w:r>
            <w:r w:rsidRPr="006208EA">
              <w:rPr>
                <w:sz w:val="22"/>
                <w:szCs w:val="22"/>
              </w:rPr>
              <w:t>Administrative Company, with oversight from and under rules unanimously adopted by the Federal Communications Commission.</w:t>
            </w:r>
          </w:p>
          <w:p w:rsidR="006208EA" w:rsidP="00850E26" w14:paraId="7251D52A" w14:textId="77777777">
            <w:pPr>
              <w:ind w:right="72"/>
              <w:jc w:val="center"/>
              <w:rPr>
                <w:sz w:val="22"/>
                <w:szCs w:val="22"/>
              </w:rPr>
            </w:pPr>
          </w:p>
          <w:p w:rsidR="004F0F1F" w:rsidRPr="00176AD8" w:rsidP="00850E26" w14:paraId="11FD856F" w14:textId="17F6CE37">
            <w:pPr>
              <w:ind w:right="72"/>
              <w:jc w:val="center"/>
              <w:rPr>
                <w:sz w:val="22"/>
                <w:szCs w:val="22"/>
              </w:rPr>
            </w:pPr>
            <w:r w:rsidRPr="00176AD8">
              <w:rPr>
                <w:sz w:val="22"/>
                <w:szCs w:val="22"/>
              </w:rPr>
              <w:t>###</w:t>
            </w:r>
          </w:p>
          <w:p w:rsidR="00CC5E08" w:rsidRPr="00176AD8" w:rsidP="00850E26" w14:paraId="45F4A1B4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5173D6">
              <w:rPr>
                <w:b/>
                <w:bCs/>
                <w:sz w:val="22"/>
                <w:szCs w:val="22"/>
              </w:rPr>
              <w:br/>
            </w:r>
            <w:bookmarkStart w:id="3" w:name="_Hlk82263677"/>
            <w:r w:rsidRPr="00176AD8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176AD8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176AD8" w:rsidR="00AD0D19">
              <w:rPr>
                <w:b/>
                <w:bCs/>
                <w:sz w:val="17"/>
                <w:szCs w:val="17"/>
              </w:rPr>
              <w:t>418-</w:t>
            </w:r>
            <w:r w:rsidRPr="00176AD8">
              <w:rPr>
                <w:b/>
                <w:bCs/>
                <w:sz w:val="17"/>
                <w:szCs w:val="17"/>
              </w:rPr>
              <w:t>0500</w:t>
            </w:r>
            <w:r w:rsidRPr="00176AD8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176AD8" w:rsidR="00850E26">
              <w:rPr>
                <w:b/>
                <w:bCs/>
                <w:sz w:val="17"/>
                <w:szCs w:val="17"/>
              </w:rPr>
              <w:t>ASL</w:t>
            </w:r>
            <w:r w:rsidRPr="00176AD8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176AD8" w:rsidR="00850E26">
              <w:rPr>
                <w:b/>
                <w:bCs/>
                <w:sz w:val="17"/>
                <w:szCs w:val="17"/>
              </w:rPr>
              <w:t>432-2275</w:t>
            </w:r>
            <w:r w:rsidRPr="00176AD8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176AD8" w:rsidR="006A2FC5">
              <w:rPr>
                <w:b/>
                <w:bCs/>
                <w:sz w:val="17"/>
                <w:szCs w:val="17"/>
              </w:rPr>
              <w:t>Twitter: @FCC</w:t>
            </w:r>
            <w:r w:rsidRPr="00176AD8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176AD8" w:rsidR="00285C36">
              <w:rPr>
                <w:b/>
                <w:sz w:val="17"/>
                <w:szCs w:val="17"/>
              </w:rPr>
              <w:t>www.fcc.gov</w:t>
            </w:r>
            <w:r w:rsidRPr="00176AD8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176AD8" w:rsidP="00850E26" w14:paraId="54EC60F0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176AD8" w:rsidP="00850E26" w14:paraId="0B4FBC4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176AD8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</w:t>
            </w:r>
            <w:bookmarkEnd w:id="3"/>
            <w:r w:rsidRPr="00176AD8">
              <w:rPr>
                <w:bCs/>
                <w:i/>
                <w:sz w:val="16"/>
                <w:szCs w:val="16"/>
              </w:rPr>
              <w:t>).</w:t>
            </w:r>
          </w:p>
        </w:tc>
      </w:tr>
    </w:tbl>
    <w:p w:rsidR="00D24C3D" w:rsidRPr="00176AD8" w14:paraId="6193C1F8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EB3CCB"/>
    <w:multiLevelType w:val="hybridMultilevel"/>
    <w:tmpl w:val="196EF3B0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51B13E1B"/>
    <w:multiLevelType w:val="hybridMultilevel"/>
    <w:tmpl w:val="13DE98A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163591"/>
    <w:multiLevelType w:val="hybridMultilevel"/>
    <w:tmpl w:val="31284C86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12099"/>
    <w:multiLevelType w:val="hybridMultilevel"/>
    <w:tmpl w:val="A49688D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99"/>
    <w:rsid w:val="00007B73"/>
    <w:rsid w:val="00013437"/>
    <w:rsid w:val="00013481"/>
    <w:rsid w:val="00021580"/>
    <w:rsid w:val="0002500C"/>
    <w:rsid w:val="000311FC"/>
    <w:rsid w:val="000343B9"/>
    <w:rsid w:val="00040127"/>
    <w:rsid w:val="00041468"/>
    <w:rsid w:val="000465CC"/>
    <w:rsid w:val="00046765"/>
    <w:rsid w:val="00046AAB"/>
    <w:rsid w:val="00053FB0"/>
    <w:rsid w:val="00055FB5"/>
    <w:rsid w:val="0005698C"/>
    <w:rsid w:val="000650CD"/>
    <w:rsid w:val="00065E2D"/>
    <w:rsid w:val="00072687"/>
    <w:rsid w:val="00077F71"/>
    <w:rsid w:val="00081232"/>
    <w:rsid w:val="000839B7"/>
    <w:rsid w:val="00091E65"/>
    <w:rsid w:val="0009639E"/>
    <w:rsid w:val="000966F6"/>
    <w:rsid w:val="00096D4A"/>
    <w:rsid w:val="000A1B22"/>
    <w:rsid w:val="000A38EA"/>
    <w:rsid w:val="000A6F3A"/>
    <w:rsid w:val="000B0D12"/>
    <w:rsid w:val="000B69BD"/>
    <w:rsid w:val="000C0DDC"/>
    <w:rsid w:val="000C1E47"/>
    <w:rsid w:val="000C26F3"/>
    <w:rsid w:val="000C4943"/>
    <w:rsid w:val="000C7BD2"/>
    <w:rsid w:val="000C7D0D"/>
    <w:rsid w:val="000D1252"/>
    <w:rsid w:val="000D24F7"/>
    <w:rsid w:val="000D2A43"/>
    <w:rsid w:val="000D2D1C"/>
    <w:rsid w:val="000D77F3"/>
    <w:rsid w:val="000E049E"/>
    <w:rsid w:val="000E468D"/>
    <w:rsid w:val="000E4F63"/>
    <w:rsid w:val="000E67AA"/>
    <w:rsid w:val="000F346F"/>
    <w:rsid w:val="000F49B8"/>
    <w:rsid w:val="000F5A83"/>
    <w:rsid w:val="00101620"/>
    <w:rsid w:val="0010799B"/>
    <w:rsid w:val="00111E91"/>
    <w:rsid w:val="001125DF"/>
    <w:rsid w:val="00117DB2"/>
    <w:rsid w:val="00122907"/>
    <w:rsid w:val="00123ED2"/>
    <w:rsid w:val="00125BE0"/>
    <w:rsid w:val="00130957"/>
    <w:rsid w:val="001315BC"/>
    <w:rsid w:val="00132A28"/>
    <w:rsid w:val="00133F2F"/>
    <w:rsid w:val="00142C13"/>
    <w:rsid w:val="00152776"/>
    <w:rsid w:val="0015296F"/>
    <w:rsid w:val="00153222"/>
    <w:rsid w:val="001577D3"/>
    <w:rsid w:val="00161E2C"/>
    <w:rsid w:val="00164C78"/>
    <w:rsid w:val="00165707"/>
    <w:rsid w:val="001702A9"/>
    <w:rsid w:val="001733A6"/>
    <w:rsid w:val="00176AD8"/>
    <w:rsid w:val="0018295B"/>
    <w:rsid w:val="00185311"/>
    <w:rsid w:val="001865A9"/>
    <w:rsid w:val="00187AEB"/>
    <w:rsid w:val="00187DB2"/>
    <w:rsid w:val="00190AD8"/>
    <w:rsid w:val="0019205D"/>
    <w:rsid w:val="001A4846"/>
    <w:rsid w:val="001B20BB"/>
    <w:rsid w:val="001B2BD1"/>
    <w:rsid w:val="001C2171"/>
    <w:rsid w:val="001C37BE"/>
    <w:rsid w:val="001C4370"/>
    <w:rsid w:val="001D0339"/>
    <w:rsid w:val="001D3779"/>
    <w:rsid w:val="001E30CF"/>
    <w:rsid w:val="001E435B"/>
    <w:rsid w:val="001E6783"/>
    <w:rsid w:val="001F0469"/>
    <w:rsid w:val="001F0983"/>
    <w:rsid w:val="001F0ED7"/>
    <w:rsid w:val="001F1502"/>
    <w:rsid w:val="001F5BD9"/>
    <w:rsid w:val="00202658"/>
    <w:rsid w:val="00203A98"/>
    <w:rsid w:val="00204DF8"/>
    <w:rsid w:val="00206244"/>
    <w:rsid w:val="00206387"/>
    <w:rsid w:val="00206EDD"/>
    <w:rsid w:val="00207BBA"/>
    <w:rsid w:val="0021247E"/>
    <w:rsid w:val="00213715"/>
    <w:rsid w:val="0021394C"/>
    <w:rsid w:val="00213FF9"/>
    <w:rsid w:val="002146F6"/>
    <w:rsid w:val="00216511"/>
    <w:rsid w:val="0022346F"/>
    <w:rsid w:val="00225242"/>
    <w:rsid w:val="0022680F"/>
    <w:rsid w:val="00227DF6"/>
    <w:rsid w:val="00231C32"/>
    <w:rsid w:val="00235853"/>
    <w:rsid w:val="00236049"/>
    <w:rsid w:val="00236087"/>
    <w:rsid w:val="002366C5"/>
    <w:rsid w:val="002366C6"/>
    <w:rsid w:val="00240345"/>
    <w:rsid w:val="002421F0"/>
    <w:rsid w:val="002456B5"/>
    <w:rsid w:val="002459DA"/>
    <w:rsid w:val="00247274"/>
    <w:rsid w:val="00250B2B"/>
    <w:rsid w:val="00251619"/>
    <w:rsid w:val="002519F3"/>
    <w:rsid w:val="00251A8D"/>
    <w:rsid w:val="00254B62"/>
    <w:rsid w:val="002571B9"/>
    <w:rsid w:val="00266966"/>
    <w:rsid w:val="002706FA"/>
    <w:rsid w:val="00271ED3"/>
    <w:rsid w:val="00274611"/>
    <w:rsid w:val="002859F9"/>
    <w:rsid w:val="00285C36"/>
    <w:rsid w:val="00286666"/>
    <w:rsid w:val="00294302"/>
    <w:rsid w:val="00294C0C"/>
    <w:rsid w:val="002A0934"/>
    <w:rsid w:val="002A1A9A"/>
    <w:rsid w:val="002A4E96"/>
    <w:rsid w:val="002A74E1"/>
    <w:rsid w:val="002B0EAB"/>
    <w:rsid w:val="002B1013"/>
    <w:rsid w:val="002C0D36"/>
    <w:rsid w:val="002C62DA"/>
    <w:rsid w:val="002C7B4F"/>
    <w:rsid w:val="002D03E5"/>
    <w:rsid w:val="002D3572"/>
    <w:rsid w:val="002D62D6"/>
    <w:rsid w:val="002E12E8"/>
    <w:rsid w:val="002E165B"/>
    <w:rsid w:val="002E3F1D"/>
    <w:rsid w:val="002E5C10"/>
    <w:rsid w:val="002E5D8C"/>
    <w:rsid w:val="002E6811"/>
    <w:rsid w:val="002F31D0"/>
    <w:rsid w:val="002F3EB6"/>
    <w:rsid w:val="002F79AF"/>
    <w:rsid w:val="00300359"/>
    <w:rsid w:val="00303F2D"/>
    <w:rsid w:val="0030502C"/>
    <w:rsid w:val="003055E7"/>
    <w:rsid w:val="00306114"/>
    <w:rsid w:val="00310FD0"/>
    <w:rsid w:val="00311964"/>
    <w:rsid w:val="0031270D"/>
    <w:rsid w:val="00317045"/>
    <w:rsid w:val="0031773E"/>
    <w:rsid w:val="00320877"/>
    <w:rsid w:val="00321816"/>
    <w:rsid w:val="00321E14"/>
    <w:rsid w:val="003302A5"/>
    <w:rsid w:val="003310DB"/>
    <w:rsid w:val="003333C1"/>
    <w:rsid w:val="00333871"/>
    <w:rsid w:val="003350BF"/>
    <w:rsid w:val="00337A45"/>
    <w:rsid w:val="0034135F"/>
    <w:rsid w:val="0034256E"/>
    <w:rsid w:val="00347716"/>
    <w:rsid w:val="003506E1"/>
    <w:rsid w:val="00352E1E"/>
    <w:rsid w:val="00355F22"/>
    <w:rsid w:val="0036369A"/>
    <w:rsid w:val="00363D03"/>
    <w:rsid w:val="00364EC3"/>
    <w:rsid w:val="00365A8C"/>
    <w:rsid w:val="00365BAD"/>
    <w:rsid w:val="003727E3"/>
    <w:rsid w:val="00372807"/>
    <w:rsid w:val="00375159"/>
    <w:rsid w:val="00381C0C"/>
    <w:rsid w:val="00385A93"/>
    <w:rsid w:val="00387167"/>
    <w:rsid w:val="00390A64"/>
    <w:rsid w:val="003910F1"/>
    <w:rsid w:val="003925AA"/>
    <w:rsid w:val="003A70EB"/>
    <w:rsid w:val="003B2E68"/>
    <w:rsid w:val="003B382B"/>
    <w:rsid w:val="003B57E0"/>
    <w:rsid w:val="003B5996"/>
    <w:rsid w:val="003B5B03"/>
    <w:rsid w:val="003C3E29"/>
    <w:rsid w:val="003C64A4"/>
    <w:rsid w:val="003D32FA"/>
    <w:rsid w:val="003D7499"/>
    <w:rsid w:val="003E42FC"/>
    <w:rsid w:val="003E5991"/>
    <w:rsid w:val="003F2525"/>
    <w:rsid w:val="003F2546"/>
    <w:rsid w:val="003F344A"/>
    <w:rsid w:val="003F5174"/>
    <w:rsid w:val="003F61DA"/>
    <w:rsid w:val="003F7707"/>
    <w:rsid w:val="00400347"/>
    <w:rsid w:val="00403FF0"/>
    <w:rsid w:val="00406D0C"/>
    <w:rsid w:val="00415751"/>
    <w:rsid w:val="00416DE2"/>
    <w:rsid w:val="0042046D"/>
    <w:rsid w:val="0042116E"/>
    <w:rsid w:val="00425AEF"/>
    <w:rsid w:val="00426041"/>
    <w:rsid w:val="00426518"/>
    <w:rsid w:val="00427B06"/>
    <w:rsid w:val="00431193"/>
    <w:rsid w:val="00432F3E"/>
    <w:rsid w:val="004338C2"/>
    <w:rsid w:val="00434FFE"/>
    <w:rsid w:val="0043611A"/>
    <w:rsid w:val="00441F59"/>
    <w:rsid w:val="00443D7E"/>
    <w:rsid w:val="00444E07"/>
    <w:rsid w:val="00444FA9"/>
    <w:rsid w:val="00454422"/>
    <w:rsid w:val="00463257"/>
    <w:rsid w:val="00464C41"/>
    <w:rsid w:val="00470198"/>
    <w:rsid w:val="004707A4"/>
    <w:rsid w:val="00470BCF"/>
    <w:rsid w:val="00473E9C"/>
    <w:rsid w:val="00474672"/>
    <w:rsid w:val="00474963"/>
    <w:rsid w:val="00477678"/>
    <w:rsid w:val="00480099"/>
    <w:rsid w:val="004813B9"/>
    <w:rsid w:val="00485591"/>
    <w:rsid w:val="00490E62"/>
    <w:rsid w:val="00492451"/>
    <w:rsid w:val="004941A2"/>
    <w:rsid w:val="00494A15"/>
    <w:rsid w:val="00495D37"/>
    <w:rsid w:val="00497858"/>
    <w:rsid w:val="004A2EF4"/>
    <w:rsid w:val="004A6B88"/>
    <w:rsid w:val="004A729A"/>
    <w:rsid w:val="004B455C"/>
    <w:rsid w:val="004B4FEA"/>
    <w:rsid w:val="004B5CF2"/>
    <w:rsid w:val="004C0693"/>
    <w:rsid w:val="004C0ADA"/>
    <w:rsid w:val="004C433E"/>
    <w:rsid w:val="004C4512"/>
    <w:rsid w:val="004C4E3F"/>
    <w:rsid w:val="004C4F36"/>
    <w:rsid w:val="004D0AC1"/>
    <w:rsid w:val="004D1685"/>
    <w:rsid w:val="004D23DD"/>
    <w:rsid w:val="004D3D85"/>
    <w:rsid w:val="004D3E54"/>
    <w:rsid w:val="004E2BD8"/>
    <w:rsid w:val="004E5ECF"/>
    <w:rsid w:val="004F0F1F"/>
    <w:rsid w:val="004F4259"/>
    <w:rsid w:val="004F5AF9"/>
    <w:rsid w:val="004F6167"/>
    <w:rsid w:val="004F62B6"/>
    <w:rsid w:val="005022AA"/>
    <w:rsid w:val="00504845"/>
    <w:rsid w:val="0050757F"/>
    <w:rsid w:val="005107DE"/>
    <w:rsid w:val="00513535"/>
    <w:rsid w:val="0051355B"/>
    <w:rsid w:val="00514ECE"/>
    <w:rsid w:val="00516AD2"/>
    <w:rsid w:val="005173D6"/>
    <w:rsid w:val="00533828"/>
    <w:rsid w:val="00536810"/>
    <w:rsid w:val="00544D5E"/>
    <w:rsid w:val="005458E5"/>
    <w:rsid w:val="00545DAE"/>
    <w:rsid w:val="0054645A"/>
    <w:rsid w:val="00555718"/>
    <w:rsid w:val="00564B80"/>
    <w:rsid w:val="00571B83"/>
    <w:rsid w:val="005722E8"/>
    <w:rsid w:val="00573BE0"/>
    <w:rsid w:val="00575A00"/>
    <w:rsid w:val="00576729"/>
    <w:rsid w:val="00581B03"/>
    <w:rsid w:val="00582AD3"/>
    <w:rsid w:val="00586417"/>
    <w:rsid w:val="0058673C"/>
    <w:rsid w:val="00590A60"/>
    <w:rsid w:val="00591910"/>
    <w:rsid w:val="005942ED"/>
    <w:rsid w:val="0059486A"/>
    <w:rsid w:val="00595C35"/>
    <w:rsid w:val="005972C0"/>
    <w:rsid w:val="005A45E0"/>
    <w:rsid w:val="005A5DF3"/>
    <w:rsid w:val="005A7972"/>
    <w:rsid w:val="005B17E7"/>
    <w:rsid w:val="005B2643"/>
    <w:rsid w:val="005B3595"/>
    <w:rsid w:val="005B4A4C"/>
    <w:rsid w:val="005B68A3"/>
    <w:rsid w:val="005C1758"/>
    <w:rsid w:val="005C65F8"/>
    <w:rsid w:val="005D17FD"/>
    <w:rsid w:val="005D1F5E"/>
    <w:rsid w:val="005D3202"/>
    <w:rsid w:val="005D5012"/>
    <w:rsid w:val="005D54C2"/>
    <w:rsid w:val="005E1CB3"/>
    <w:rsid w:val="005E1E62"/>
    <w:rsid w:val="005E40AA"/>
    <w:rsid w:val="005E4B25"/>
    <w:rsid w:val="005E5CC2"/>
    <w:rsid w:val="005F0D55"/>
    <w:rsid w:val="005F0EEE"/>
    <w:rsid w:val="005F1501"/>
    <w:rsid w:val="005F183E"/>
    <w:rsid w:val="005F351E"/>
    <w:rsid w:val="005F60C0"/>
    <w:rsid w:val="005F74D0"/>
    <w:rsid w:val="005F7C30"/>
    <w:rsid w:val="006001B3"/>
    <w:rsid w:val="00600DDA"/>
    <w:rsid w:val="00603A30"/>
    <w:rsid w:val="00604211"/>
    <w:rsid w:val="00607DE7"/>
    <w:rsid w:val="00610149"/>
    <w:rsid w:val="00610627"/>
    <w:rsid w:val="006124BA"/>
    <w:rsid w:val="00613322"/>
    <w:rsid w:val="00613498"/>
    <w:rsid w:val="00613534"/>
    <w:rsid w:val="00617B94"/>
    <w:rsid w:val="006208EA"/>
    <w:rsid w:val="00620BED"/>
    <w:rsid w:val="00623B57"/>
    <w:rsid w:val="00630349"/>
    <w:rsid w:val="00635ED0"/>
    <w:rsid w:val="00637B98"/>
    <w:rsid w:val="006415B4"/>
    <w:rsid w:val="006445BB"/>
    <w:rsid w:val="00644E3D"/>
    <w:rsid w:val="006472F3"/>
    <w:rsid w:val="00651B9E"/>
    <w:rsid w:val="00652019"/>
    <w:rsid w:val="00652EAC"/>
    <w:rsid w:val="006537A1"/>
    <w:rsid w:val="00655C4D"/>
    <w:rsid w:val="0065797E"/>
    <w:rsid w:val="00657EC9"/>
    <w:rsid w:val="00665633"/>
    <w:rsid w:val="0067139F"/>
    <w:rsid w:val="00671889"/>
    <w:rsid w:val="006721CA"/>
    <w:rsid w:val="00672D23"/>
    <w:rsid w:val="00674C86"/>
    <w:rsid w:val="006751DB"/>
    <w:rsid w:val="00675768"/>
    <w:rsid w:val="00675E35"/>
    <w:rsid w:val="00676E51"/>
    <w:rsid w:val="0068015E"/>
    <w:rsid w:val="006805C8"/>
    <w:rsid w:val="00684BF0"/>
    <w:rsid w:val="006861AB"/>
    <w:rsid w:val="00686B89"/>
    <w:rsid w:val="0068703D"/>
    <w:rsid w:val="00690A37"/>
    <w:rsid w:val="00691102"/>
    <w:rsid w:val="0069420F"/>
    <w:rsid w:val="006A03C5"/>
    <w:rsid w:val="006A1F23"/>
    <w:rsid w:val="006A2F78"/>
    <w:rsid w:val="006A2FC5"/>
    <w:rsid w:val="006A7D75"/>
    <w:rsid w:val="006A7F6E"/>
    <w:rsid w:val="006B0A70"/>
    <w:rsid w:val="006B13E7"/>
    <w:rsid w:val="006B22D0"/>
    <w:rsid w:val="006B2F17"/>
    <w:rsid w:val="006B43FD"/>
    <w:rsid w:val="006B606A"/>
    <w:rsid w:val="006C33AF"/>
    <w:rsid w:val="006C77A5"/>
    <w:rsid w:val="006D09C7"/>
    <w:rsid w:val="006D16EF"/>
    <w:rsid w:val="006D259A"/>
    <w:rsid w:val="006D5D22"/>
    <w:rsid w:val="006D71F6"/>
    <w:rsid w:val="006D77F3"/>
    <w:rsid w:val="006E0324"/>
    <w:rsid w:val="006E4A76"/>
    <w:rsid w:val="006E5F99"/>
    <w:rsid w:val="006E5FE9"/>
    <w:rsid w:val="006E6405"/>
    <w:rsid w:val="006F1DBD"/>
    <w:rsid w:val="006F40E6"/>
    <w:rsid w:val="006F609A"/>
    <w:rsid w:val="006F7789"/>
    <w:rsid w:val="00700556"/>
    <w:rsid w:val="00704F22"/>
    <w:rsid w:val="0070589A"/>
    <w:rsid w:val="00706249"/>
    <w:rsid w:val="007167DD"/>
    <w:rsid w:val="00724104"/>
    <w:rsid w:val="0072478B"/>
    <w:rsid w:val="00731C27"/>
    <w:rsid w:val="0073414D"/>
    <w:rsid w:val="00741865"/>
    <w:rsid w:val="00743EA1"/>
    <w:rsid w:val="007466BC"/>
    <w:rsid w:val="007475A1"/>
    <w:rsid w:val="0075235E"/>
    <w:rsid w:val="007528A5"/>
    <w:rsid w:val="007716FE"/>
    <w:rsid w:val="007732CC"/>
    <w:rsid w:val="00774079"/>
    <w:rsid w:val="00776C1C"/>
    <w:rsid w:val="0077752B"/>
    <w:rsid w:val="0078159F"/>
    <w:rsid w:val="00782736"/>
    <w:rsid w:val="00783871"/>
    <w:rsid w:val="00785501"/>
    <w:rsid w:val="00790570"/>
    <w:rsid w:val="007923EA"/>
    <w:rsid w:val="00793D6F"/>
    <w:rsid w:val="00794090"/>
    <w:rsid w:val="00795A3B"/>
    <w:rsid w:val="00796D5E"/>
    <w:rsid w:val="007A0680"/>
    <w:rsid w:val="007A44F8"/>
    <w:rsid w:val="007B6CF1"/>
    <w:rsid w:val="007C324B"/>
    <w:rsid w:val="007C762B"/>
    <w:rsid w:val="007C7BEE"/>
    <w:rsid w:val="007C7E3B"/>
    <w:rsid w:val="007D0A0C"/>
    <w:rsid w:val="007D21BF"/>
    <w:rsid w:val="007D4A68"/>
    <w:rsid w:val="007D7A3D"/>
    <w:rsid w:val="007E0DF6"/>
    <w:rsid w:val="007F3C12"/>
    <w:rsid w:val="007F474C"/>
    <w:rsid w:val="007F4FEB"/>
    <w:rsid w:val="007F5205"/>
    <w:rsid w:val="007F65A7"/>
    <w:rsid w:val="00801E72"/>
    <w:rsid w:val="008032FE"/>
    <w:rsid w:val="0080486B"/>
    <w:rsid w:val="00805CDA"/>
    <w:rsid w:val="00805D32"/>
    <w:rsid w:val="008215E7"/>
    <w:rsid w:val="00826694"/>
    <w:rsid w:val="008266E7"/>
    <w:rsid w:val="008268D1"/>
    <w:rsid w:val="00827DE4"/>
    <w:rsid w:val="00830FC6"/>
    <w:rsid w:val="00832A4E"/>
    <w:rsid w:val="00833FA5"/>
    <w:rsid w:val="00841A0E"/>
    <w:rsid w:val="0084234F"/>
    <w:rsid w:val="00842A90"/>
    <w:rsid w:val="0084506E"/>
    <w:rsid w:val="008457E4"/>
    <w:rsid w:val="00850E26"/>
    <w:rsid w:val="00864950"/>
    <w:rsid w:val="00865EAA"/>
    <w:rsid w:val="00866F06"/>
    <w:rsid w:val="00867129"/>
    <w:rsid w:val="008728F5"/>
    <w:rsid w:val="00874644"/>
    <w:rsid w:val="008802EB"/>
    <w:rsid w:val="008824C2"/>
    <w:rsid w:val="00882908"/>
    <w:rsid w:val="0088652C"/>
    <w:rsid w:val="00887BFB"/>
    <w:rsid w:val="00890F72"/>
    <w:rsid w:val="008931E6"/>
    <w:rsid w:val="008960E4"/>
    <w:rsid w:val="008A3940"/>
    <w:rsid w:val="008A63A1"/>
    <w:rsid w:val="008B0A53"/>
    <w:rsid w:val="008B13C9"/>
    <w:rsid w:val="008B308F"/>
    <w:rsid w:val="008B3347"/>
    <w:rsid w:val="008B79D1"/>
    <w:rsid w:val="008B7A99"/>
    <w:rsid w:val="008BE5BE"/>
    <w:rsid w:val="008C248C"/>
    <w:rsid w:val="008C352A"/>
    <w:rsid w:val="008C4947"/>
    <w:rsid w:val="008C5432"/>
    <w:rsid w:val="008C7BF1"/>
    <w:rsid w:val="008D00B5"/>
    <w:rsid w:val="008D00D6"/>
    <w:rsid w:val="008D26D5"/>
    <w:rsid w:val="008D4D00"/>
    <w:rsid w:val="008D4E5E"/>
    <w:rsid w:val="008D7ABD"/>
    <w:rsid w:val="008E085E"/>
    <w:rsid w:val="008E0EBD"/>
    <w:rsid w:val="008E2F9F"/>
    <w:rsid w:val="008E3050"/>
    <w:rsid w:val="008E3995"/>
    <w:rsid w:val="008E43FB"/>
    <w:rsid w:val="008E55A2"/>
    <w:rsid w:val="008F1609"/>
    <w:rsid w:val="008F3442"/>
    <w:rsid w:val="008F3A85"/>
    <w:rsid w:val="008F7411"/>
    <w:rsid w:val="008F78D8"/>
    <w:rsid w:val="00902D5B"/>
    <w:rsid w:val="00903379"/>
    <w:rsid w:val="00910AD9"/>
    <w:rsid w:val="00911E2D"/>
    <w:rsid w:val="00915AA4"/>
    <w:rsid w:val="0092108B"/>
    <w:rsid w:val="009258E3"/>
    <w:rsid w:val="0092594B"/>
    <w:rsid w:val="0093057B"/>
    <w:rsid w:val="0093203F"/>
    <w:rsid w:val="00932262"/>
    <w:rsid w:val="0093373C"/>
    <w:rsid w:val="009459E4"/>
    <w:rsid w:val="009460E1"/>
    <w:rsid w:val="00953342"/>
    <w:rsid w:val="009557B9"/>
    <w:rsid w:val="009601B9"/>
    <w:rsid w:val="00961620"/>
    <w:rsid w:val="00964275"/>
    <w:rsid w:val="00965194"/>
    <w:rsid w:val="00965F42"/>
    <w:rsid w:val="009734B6"/>
    <w:rsid w:val="0098096F"/>
    <w:rsid w:val="0098437A"/>
    <w:rsid w:val="00986C92"/>
    <w:rsid w:val="00986FAC"/>
    <w:rsid w:val="00990CD9"/>
    <w:rsid w:val="009918E7"/>
    <w:rsid w:val="00992CE2"/>
    <w:rsid w:val="00993C47"/>
    <w:rsid w:val="009972BC"/>
    <w:rsid w:val="009B0236"/>
    <w:rsid w:val="009B4B16"/>
    <w:rsid w:val="009C4C3D"/>
    <w:rsid w:val="009C68F7"/>
    <w:rsid w:val="009C7E88"/>
    <w:rsid w:val="009D4D4E"/>
    <w:rsid w:val="009E54A1"/>
    <w:rsid w:val="009E5570"/>
    <w:rsid w:val="009E7156"/>
    <w:rsid w:val="009F4E25"/>
    <w:rsid w:val="009F5B1F"/>
    <w:rsid w:val="009F6B7A"/>
    <w:rsid w:val="00A02C61"/>
    <w:rsid w:val="00A03DBA"/>
    <w:rsid w:val="00A04A80"/>
    <w:rsid w:val="00A06DB8"/>
    <w:rsid w:val="00A06FB4"/>
    <w:rsid w:val="00A07566"/>
    <w:rsid w:val="00A128D9"/>
    <w:rsid w:val="00A12ED4"/>
    <w:rsid w:val="00A225A9"/>
    <w:rsid w:val="00A24C58"/>
    <w:rsid w:val="00A30F11"/>
    <w:rsid w:val="00A313F9"/>
    <w:rsid w:val="00A3308E"/>
    <w:rsid w:val="00A33F0D"/>
    <w:rsid w:val="00A35A92"/>
    <w:rsid w:val="00A35AA1"/>
    <w:rsid w:val="00A35DFD"/>
    <w:rsid w:val="00A378AC"/>
    <w:rsid w:val="00A40CA9"/>
    <w:rsid w:val="00A450CA"/>
    <w:rsid w:val="00A4791A"/>
    <w:rsid w:val="00A53273"/>
    <w:rsid w:val="00A54CC5"/>
    <w:rsid w:val="00A56AF0"/>
    <w:rsid w:val="00A6375A"/>
    <w:rsid w:val="00A7017B"/>
    <w:rsid w:val="00A702DF"/>
    <w:rsid w:val="00A76488"/>
    <w:rsid w:val="00A771DD"/>
    <w:rsid w:val="00A775A3"/>
    <w:rsid w:val="00A81700"/>
    <w:rsid w:val="00A81B5B"/>
    <w:rsid w:val="00A82A3C"/>
    <w:rsid w:val="00A82FAD"/>
    <w:rsid w:val="00A87D49"/>
    <w:rsid w:val="00A90265"/>
    <w:rsid w:val="00A919DE"/>
    <w:rsid w:val="00A9280B"/>
    <w:rsid w:val="00A9673A"/>
    <w:rsid w:val="00A96EF2"/>
    <w:rsid w:val="00A978AA"/>
    <w:rsid w:val="00AA16DF"/>
    <w:rsid w:val="00AA5C35"/>
    <w:rsid w:val="00AA5ED9"/>
    <w:rsid w:val="00AA64D9"/>
    <w:rsid w:val="00AB0788"/>
    <w:rsid w:val="00AB11AB"/>
    <w:rsid w:val="00AC0A38"/>
    <w:rsid w:val="00AC1E18"/>
    <w:rsid w:val="00AC242C"/>
    <w:rsid w:val="00AC24BC"/>
    <w:rsid w:val="00AC4E0E"/>
    <w:rsid w:val="00AC517B"/>
    <w:rsid w:val="00AC66D4"/>
    <w:rsid w:val="00AD0573"/>
    <w:rsid w:val="00AD0B59"/>
    <w:rsid w:val="00AD0D19"/>
    <w:rsid w:val="00AD15DF"/>
    <w:rsid w:val="00AD4184"/>
    <w:rsid w:val="00AD494E"/>
    <w:rsid w:val="00AD6B87"/>
    <w:rsid w:val="00AE23BA"/>
    <w:rsid w:val="00AE426A"/>
    <w:rsid w:val="00AF051B"/>
    <w:rsid w:val="00AF0E11"/>
    <w:rsid w:val="00AF4B45"/>
    <w:rsid w:val="00AF7FD5"/>
    <w:rsid w:val="00B014DE"/>
    <w:rsid w:val="00B037A2"/>
    <w:rsid w:val="00B055D4"/>
    <w:rsid w:val="00B15C75"/>
    <w:rsid w:val="00B217B7"/>
    <w:rsid w:val="00B273DE"/>
    <w:rsid w:val="00B30169"/>
    <w:rsid w:val="00B31764"/>
    <w:rsid w:val="00B31870"/>
    <w:rsid w:val="00B31BCB"/>
    <w:rsid w:val="00B320B8"/>
    <w:rsid w:val="00B34BD2"/>
    <w:rsid w:val="00B35EE2"/>
    <w:rsid w:val="00B36DEF"/>
    <w:rsid w:val="00B42B00"/>
    <w:rsid w:val="00B470B1"/>
    <w:rsid w:val="00B52B66"/>
    <w:rsid w:val="00B5482F"/>
    <w:rsid w:val="00B57131"/>
    <w:rsid w:val="00B62F2C"/>
    <w:rsid w:val="00B65058"/>
    <w:rsid w:val="00B71146"/>
    <w:rsid w:val="00B727C9"/>
    <w:rsid w:val="00B735C8"/>
    <w:rsid w:val="00B744F1"/>
    <w:rsid w:val="00B74681"/>
    <w:rsid w:val="00B751AB"/>
    <w:rsid w:val="00B75F73"/>
    <w:rsid w:val="00B76A63"/>
    <w:rsid w:val="00B76F75"/>
    <w:rsid w:val="00B81833"/>
    <w:rsid w:val="00B90B34"/>
    <w:rsid w:val="00BA0695"/>
    <w:rsid w:val="00BA243D"/>
    <w:rsid w:val="00BA280B"/>
    <w:rsid w:val="00BA530D"/>
    <w:rsid w:val="00BA6350"/>
    <w:rsid w:val="00BA64A2"/>
    <w:rsid w:val="00BA6BE6"/>
    <w:rsid w:val="00BB3661"/>
    <w:rsid w:val="00BB4271"/>
    <w:rsid w:val="00BB4E29"/>
    <w:rsid w:val="00BB5DC6"/>
    <w:rsid w:val="00BB74C9"/>
    <w:rsid w:val="00BC109D"/>
    <w:rsid w:val="00BC3AB6"/>
    <w:rsid w:val="00BC4727"/>
    <w:rsid w:val="00BC61A6"/>
    <w:rsid w:val="00BC7771"/>
    <w:rsid w:val="00BD19E8"/>
    <w:rsid w:val="00BD253A"/>
    <w:rsid w:val="00BD3FF4"/>
    <w:rsid w:val="00BD4273"/>
    <w:rsid w:val="00BD7D47"/>
    <w:rsid w:val="00BE0415"/>
    <w:rsid w:val="00BE0CC8"/>
    <w:rsid w:val="00BE1A04"/>
    <w:rsid w:val="00BE2397"/>
    <w:rsid w:val="00BE707B"/>
    <w:rsid w:val="00BF21B6"/>
    <w:rsid w:val="00BF4E6D"/>
    <w:rsid w:val="00BF564F"/>
    <w:rsid w:val="00C00D09"/>
    <w:rsid w:val="00C020E1"/>
    <w:rsid w:val="00C0351D"/>
    <w:rsid w:val="00C10148"/>
    <w:rsid w:val="00C117EC"/>
    <w:rsid w:val="00C13244"/>
    <w:rsid w:val="00C1767B"/>
    <w:rsid w:val="00C209B8"/>
    <w:rsid w:val="00C20D48"/>
    <w:rsid w:val="00C25FFE"/>
    <w:rsid w:val="00C31ED8"/>
    <w:rsid w:val="00C328B4"/>
    <w:rsid w:val="00C34CC6"/>
    <w:rsid w:val="00C355E8"/>
    <w:rsid w:val="00C36471"/>
    <w:rsid w:val="00C42BEF"/>
    <w:rsid w:val="00C432E4"/>
    <w:rsid w:val="00C4485E"/>
    <w:rsid w:val="00C456B7"/>
    <w:rsid w:val="00C52A63"/>
    <w:rsid w:val="00C64521"/>
    <w:rsid w:val="00C66AEC"/>
    <w:rsid w:val="00C679F4"/>
    <w:rsid w:val="00C70C26"/>
    <w:rsid w:val="00C71DCF"/>
    <w:rsid w:val="00C72001"/>
    <w:rsid w:val="00C772B7"/>
    <w:rsid w:val="00C80347"/>
    <w:rsid w:val="00C813D7"/>
    <w:rsid w:val="00C81E6E"/>
    <w:rsid w:val="00C8445B"/>
    <w:rsid w:val="00C85AEF"/>
    <w:rsid w:val="00C87500"/>
    <w:rsid w:val="00C90CCB"/>
    <w:rsid w:val="00CA4E88"/>
    <w:rsid w:val="00CA7220"/>
    <w:rsid w:val="00CA76BD"/>
    <w:rsid w:val="00CB24D2"/>
    <w:rsid w:val="00CB32D8"/>
    <w:rsid w:val="00CB4E75"/>
    <w:rsid w:val="00CB689B"/>
    <w:rsid w:val="00CB7C1A"/>
    <w:rsid w:val="00CC4B0D"/>
    <w:rsid w:val="00CC534A"/>
    <w:rsid w:val="00CC56A5"/>
    <w:rsid w:val="00CC5E08"/>
    <w:rsid w:val="00CD093C"/>
    <w:rsid w:val="00CD2B1D"/>
    <w:rsid w:val="00CD4040"/>
    <w:rsid w:val="00CE14FD"/>
    <w:rsid w:val="00CE2FA6"/>
    <w:rsid w:val="00CE7CD5"/>
    <w:rsid w:val="00CE7D70"/>
    <w:rsid w:val="00CF1122"/>
    <w:rsid w:val="00CF6860"/>
    <w:rsid w:val="00D00534"/>
    <w:rsid w:val="00D0070A"/>
    <w:rsid w:val="00D0086F"/>
    <w:rsid w:val="00D01606"/>
    <w:rsid w:val="00D02AC6"/>
    <w:rsid w:val="00D03E50"/>
    <w:rsid w:val="00D03F0C"/>
    <w:rsid w:val="00D04312"/>
    <w:rsid w:val="00D04BF8"/>
    <w:rsid w:val="00D05480"/>
    <w:rsid w:val="00D060B1"/>
    <w:rsid w:val="00D11F4D"/>
    <w:rsid w:val="00D12B36"/>
    <w:rsid w:val="00D1435E"/>
    <w:rsid w:val="00D1506B"/>
    <w:rsid w:val="00D16A7F"/>
    <w:rsid w:val="00D16AD2"/>
    <w:rsid w:val="00D22596"/>
    <w:rsid w:val="00D22691"/>
    <w:rsid w:val="00D24C3D"/>
    <w:rsid w:val="00D324C3"/>
    <w:rsid w:val="00D33DFA"/>
    <w:rsid w:val="00D433BB"/>
    <w:rsid w:val="00D43F6B"/>
    <w:rsid w:val="00D46305"/>
    <w:rsid w:val="00D46CB1"/>
    <w:rsid w:val="00D46E29"/>
    <w:rsid w:val="00D50A3B"/>
    <w:rsid w:val="00D65C3C"/>
    <w:rsid w:val="00D71EAB"/>
    <w:rsid w:val="00D723F0"/>
    <w:rsid w:val="00D725C6"/>
    <w:rsid w:val="00D735C3"/>
    <w:rsid w:val="00D74DC3"/>
    <w:rsid w:val="00D764CF"/>
    <w:rsid w:val="00D77127"/>
    <w:rsid w:val="00D8133F"/>
    <w:rsid w:val="00D82680"/>
    <w:rsid w:val="00D861EE"/>
    <w:rsid w:val="00D87AF9"/>
    <w:rsid w:val="00D9285F"/>
    <w:rsid w:val="00D92997"/>
    <w:rsid w:val="00D95B05"/>
    <w:rsid w:val="00D976BD"/>
    <w:rsid w:val="00D97E2D"/>
    <w:rsid w:val="00DA103D"/>
    <w:rsid w:val="00DA45D3"/>
    <w:rsid w:val="00DA4772"/>
    <w:rsid w:val="00DA7B44"/>
    <w:rsid w:val="00DA7E6D"/>
    <w:rsid w:val="00DB1B98"/>
    <w:rsid w:val="00DB2667"/>
    <w:rsid w:val="00DB5A97"/>
    <w:rsid w:val="00DB67B7"/>
    <w:rsid w:val="00DC15A9"/>
    <w:rsid w:val="00DC32CD"/>
    <w:rsid w:val="00DC40AA"/>
    <w:rsid w:val="00DC786A"/>
    <w:rsid w:val="00DD1750"/>
    <w:rsid w:val="00DD3F35"/>
    <w:rsid w:val="00DE2AAF"/>
    <w:rsid w:val="00DF0476"/>
    <w:rsid w:val="00DF4F1B"/>
    <w:rsid w:val="00E0543B"/>
    <w:rsid w:val="00E10A40"/>
    <w:rsid w:val="00E1335E"/>
    <w:rsid w:val="00E133E4"/>
    <w:rsid w:val="00E13B6E"/>
    <w:rsid w:val="00E14D63"/>
    <w:rsid w:val="00E22B06"/>
    <w:rsid w:val="00E230A5"/>
    <w:rsid w:val="00E24984"/>
    <w:rsid w:val="00E31E31"/>
    <w:rsid w:val="00E320C7"/>
    <w:rsid w:val="00E328D7"/>
    <w:rsid w:val="00E32C40"/>
    <w:rsid w:val="00E343A0"/>
    <w:rsid w:val="00E349AA"/>
    <w:rsid w:val="00E34AFE"/>
    <w:rsid w:val="00E41390"/>
    <w:rsid w:val="00E41CA0"/>
    <w:rsid w:val="00E435B2"/>
    <w:rsid w:val="00E4366B"/>
    <w:rsid w:val="00E43C4A"/>
    <w:rsid w:val="00E45F61"/>
    <w:rsid w:val="00E500EA"/>
    <w:rsid w:val="00E50A4A"/>
    <w:rsid w:val="00E529BA"/>
    <w:rsid w:val="00E53968"/>
    <w:rsid w:val="00E60481"/>
    <w:rsid w:val="00E606DE"/>
    <w:rsid w:val="00E60DCC"/>
    <w:rsid w:val="00E612A0"/>
    <w:rsid w:val="00E644FE"/>
    <w:rsid w:val="00E65AC7"/>
    <w:rsid w:val="00E67E65"/>
    <w:rsid w:val="00E72733"/>
    <w:rsid w:val="00E742FA"/>
    <w:rsid w:val="00E750AB"/>
    <w:rsid w:val="00E76816"/>
    <w:rsid w:val="00E77E61"/>
    <w:rsid w:val="00E81947"/>
    <w:rsid w:val="00E83DBF"/>
    <w:rsid w:val="00E87C13"/>
    <w:rsid w:val="00E94CD9"/>
    <w:rsid w:val="00E9690C"/>
    <w:rsid w:val="00EA1A76"/>
    <w:rsid w:val="00EA1CEC"/>
    <w:rsid w:val="00EA290B"/>
    <w:rsid w:val="00EA4D9A"/>
    <w:rsid w:val="00EB1953"/>
    <w:rsid w:val="00EB2584"/>
    <w:rsid w:val="00EB3DAF"/>
    <w:rsid w:val="00EB5267"/>
    <w:rsid w:val="00EC00C5"/>
    <w:rsid w:val="00EC4E3F"/>
    <w:rsid w:val="00EC76F6"/>
    <w:rsid w:val="00ED6504"/>
    <w:rsid w:val="00ED6A34"/>
    <w:rsid w:val="00EE0E90"/>
    <w:rsid w:val="00EE256D"/>
    <w:rsid w:val="00EF0202"/>
    <w:rsid w:val="00EF312B"/>
    <w:rsid w:val="00EF3BCA"/>
    <w:rsid w:val="00EF4F46"/>
    <w:rsid w:val="00EF6EC6"/>
    <w:rsid w:val="00EF6FBD"/>
    <w:rsid w:val="00EF729B"/>
    <w:rsid w:val="00F00CD5"/>
    <w:rsid w:val="00F01B0D"/>
    <w:rsid w:val="00F03ECA"/>
    <w:rsid w:val="00F0408F"/>
    <w:rsid w:val="00F04608"/>
    <w:rsid w:val="00F062D1"/>
    <w:rsid w:val="00F1166C"/>
    <w:rsid w:val="00F122C7"/>
    <w:rsid w:val="00F1238F"/>
    <w:rsid w:val="00F15A47"/>
    <w:rsid w:val="00F16485"/>
    <w:rsid w:val="00F17D60"/>
    <w:rsid w:val="00F21174"/>
    <w:rsid w:val="00F221EB"/>
    <w:rsid w:val="00F228ED"/>
    <w:rsid w:val="00F2456F"/>
    <w:rsid w:val="00F26640"/>
    <w:rsid w:val="00F26E31"/>
    <w:rsid w:val="00F27C6C"/>
    <w:rsid w:val="00F302C1"/>
    <w:rsid w:val="00F3132A"/>
    <w:rsid w:val="00F32839"/>
    <w:rsid w:val="00F34A8D"/>
    <w:rsid w:val="00F37110"/>
    <w:rsid w:val="00F37354"/>
    <w:rsid w:val="00F40D2B"/>
    <w:rsid w:val="00F42491"/>
    <w:rsid w:val="00F42E40"/>
    <w:rsid w:val="00F43C57"/>
    <w:rsid w:val="00F50D25"/>
    <w:rsid w:val="00F535D8"/>
    <w:rsid w:val="00F54703"/>
    <w:rsid w:val="00F555E0"/>
    <w:rsid w:val="00F5615D"/>
    <w:rsid w:val="00F603D8"/>
    <w:rsid w:val="00F61155"/>
    <w:rsid w:val="00F62BC0"/>
    <w:rsid w:val="00F65D3D"/>
    <w:rsid w:val="00F67DC4"/>
    <w:rsid w:val="00F708E3"/>
    <w:rsid w:val="00F70D61"/>
    <w:rsid w:val="00F70E68"/>
    <w:rsid w:val="00F73614"/>
    <w:rsid w:val="00F75AF0"/>
    <w:rsid w:val="00F76561"/>
    <w:rsid w:val="00F81535"/>
    <w:rsid w:val="00F835BA"/>
    <w:rsid w:val="00F84736"/>
    <w:rsid w:val="00F86E7B"/>
    <w:rsid w:val="00F87897"/>
    <w:rsid w:val="00F9077E"/>
    <w:rsid w:val="00FA1CD5"/>
    <w:rsid w:val="00FA5892"/>
    <w:rsid w:val="00FB36C9"/>
    <w:rsid w:val="00FB4082"/>
    <w:rsid w:val="00FB5A2E"/>
    <w:rsid w:val="00FC058A"/>
    <w:rsid w:val="00FC2A45"/>
    <w:rsid w:val="00FC355C"/>
    <w:rsid w:val="00FC3A44"/>
    <w:rsid w:val="00FC3C03"/>
    <w:rsid w:val="00FC6482"/>
    <w:rsid w:val="00FC6C29"/>
    <w:rsid w:val="00FD2F6A"/>
    <w:rsid w:val="00FD58E0"/>
    <w:rsid w:val="00FD6809"/>
    <w:rsid w:val="00FD71AE"/>
    <w:rsid w:val="00FD7E1F"/>
    <w:rsid w:val="00FE0198"/>
    <w:rsid w:val="00FE2297"/>
    <w:rsid w:val="00FE2BB2"/>
    <w:rsid w:val="00FE3A7C"/>
    <w:rsid w:val="00FE767D"/>
    <w:rsid w:val="00FF02FB"/>
    <w:rsid w:val="00FF1C0B"/>
    <w:rsid w:val="00FF232D"/>
    <w:rsid w:val="00FF7F9B"/>
    <w:rsid w:val="0186D269"/>
    <w:rsid w:val="030C6FC5"/>
    <w:rsid w:val="03289581"/>
    <w:rsid w:val="0475150B"/>
    <w:rsid w:val="0478E4C4"/>
    <w:rsid w:val="06023A4B"/>
    <w:rsid w:val="066B77E8"/>
    <w:rsid w:val="067FB92A"/>
    <w:rsid w:val="06C6744A"/>
    <w:rsid w:val="06F565C6"/>
    <w:rsid w:val="070B6B39"/>
    <w:rsid w:val="0729EB2C"/>
    <w:rsid w:val="07AFEE0E"/>
    <w:rsid w:val="08868D90"/>
    <w:rsid w:val="08D30C63"/>
    <w:rsid w:val="08DDAB25"/>
    <w:rsid w:val="0902C832"/>
    <w:rsid w:val="092AE88C"/>
    <w:rsid w:val="092F5648"/>
    <w:rsid w:val="09CC5DF5"/>
    <w:rsid w:val="0A52A68E"/>
    <w:rsid w:val="0AADA61A"/>
    <w:rsid w:val="0ABBF0D8"/>
    <w:rsid w:val="0B4B9AA9"/>
    <w:rsid w:val="0BC51EBE"/>
    <w:rsid w:val="0BD49A44"/>
    <w:rsid w:val="0BD62049"/>
    <w:rsid w:val="0C10CCCD"/>
    <w:rsid w:val="0C316533"/>
    <w:rsid w:val="0C5FF03B"/>
    <w:rsid w:val="0CD7C953"/>
    <w:rsid w:val="0CE14531"/>
    <w:rsid w:val="0CF7AB07"/>
    <w:rsid w:val="0DDC31DC"/>
    <w:rsid w:val="0E2CAD94"/>
    <w:rsid w:val="0E9AA520"/>
    <w:rsid w:val="0F7F9FED"/>
    <w:rsid w:val="0FCB0CD5"/>
    <w:rsid w:val="109107FD"/>
    <w:rsid w:val="111B85DD"/>
    <w:rsid w:val="117E75B1"/>
    <w:rsid w:val="11A6A7EA"/>
    <w:rsid w:val="11C06C1D"/>
    <w:rsid w:val="11FCD96C"/>
    <w:rsid w:val="1206F6A3"/>
    <w:rsid w:val="1320C6AC"/>
    <w:rsid w:val="13665192"/>
    <w:rsid w:val="14386E6F"/>
    <w:rsid w:val="147EC9D6"/>
    <w:rsid w:val="14D7F901"/>
    <w:rsid w:val="15D7983A"/>
    <w:rsid w:val="171713FE"/>
    <w:rsid w:val="17339FF7"/>
    <w:rsid w:val="17B6F084"/>
    <w:rsid w:val="17C67D68"/>
    <w:rsid w:val="17D7B739"/>
    <w:rsid w:val="17FACA0F"/>
    <w:rsid w:val="18B4717B"/>
    <w:rsid w:val="18BD4BA9"/>
    <w:rsid w:val="190E39AE"/>
    <w:rsid w:val="1930C7D4"/>
    <w:rsid w:val="194CDCE8"/>
    <w:rsid w:val="199297E6"/>
    <w:rsid w:val="1A836581"/>
    <w:rsid w:val="1A9C931D"/>
    <w:rsid w:val="1B583E9B"/>
    <w:rsid w:val="1B71CB9F"/>
    <w:rsid w:val="1C303EE3"/>
    <w:rsid w:val="1DAA695F"/>
    <w:rsid w:val="1DB20D93"/>
    <w:rsid w:val="1E744F83"/>
    <w:rsid w:val="1E7C0A38"/>
    <w:rsid w:val="1E9018A9"/>
    <w:rsid w:val="1EDCCA4D"/>
    <w:rsid w:val="1F319609"/>
    <w:rsid w:val="1F4F4EC0"/>
    <w:rsid w:val="1F5F6172"/>
    <w:rsid w:val="1FE0C482"/>
    <w:rsid w:val="20733663"/>
    <w:rsid w:val="20CBF1B9"/>
    <w:rsid w:val="213557D5"/>
    <w:rsid w:val="2142D08F"/>
    <w:rsid w:val="218DA323"/>
    <w:rsid w:val="21F7D7A0"/>
    <w:rsid w:val="221A8AB7"/>
    <w:rsid w:val="229606C0"/>
    <w:rsid w:val="229770A0"/>
    <w:rsid w:val="22C2B3D1"/>
    <w:rsid w:val="230168F1"/>
    <w:rsid w:val="2388AF3E"/>
    <w:rsid w:val="2393435A"/>
    <w:rsid w:val="23E5EFC6"/>
    <w:rsid w:val="243BE840"/>
    <w:rsid w:val="24C14D2F"/>
    <w:rsid w:val="2577A792"/>
    <w:rsid w:val="2579FEF7"/>
    <w:rsid w:val="259540EA"/>
    <w:rsid w:val="25D6C1C1"/>
    <w:rsid w:val="2617ECA3"/>
    <w:rsid w:val="26DFBCD6"/>
    <w:rsid w:val="27914C28"/>
    <w:rsid w:val="279EC01C"/>
    <w:rsid w:val="27AD707C"/>
    <w:rsid w:val="27B6EC5A"/>
    <w:rsid w:val="28B10841"/>
    <w:rsid w:val="299D73BD"/>
    <w:rsid w:val="299F7FEC"/>
    <w:rsid w:val="29CA147C"/>
    <w:rsid w:val="2A3495E9"/>
    <w:rsid w:val="2A3A4CDC"/>
    <w:rsid w:val="2A5D8140"/>
    <w:rsid w:val="2A8887C0"/>
    <w:rsid w:val="2B020415"/>
    <w:rsid w:val="2B38E0E0"/>
    <w:rsid w:val="2B5EF471"/>
    <w:rsid w:val="2BD8A397"/>
    <w:rsid w:val="2C26AE8B"/>
    <w:rsid w:val="2C772FE8"/>
    <w:rsid w:val="2CC3E18C"/>
    <w:rsid w:val="2D37CCFF"/>
    <w:rsid w:val="2DA6108C"/>
    <w:rsid w:val="2ECAB5F2"/>
    <w:rsid w:val="2F11A3E3"/>
    <w:rsid w:val="2F2DD512"/>
    <w:rsid w:val="2F387508"/>
    <w:rsid w:val="2FE6DD4D"/>
    <w:rsid w:val="30B1A365"/>
    <w:rsid w:val="30B54F44"/>
    <w:rsid w:val="30BD4916"/>
    <w:rsid w:val="319499B2"/>
    <w:rsid w:val="3215B61F"/>
    <w:rsid w:val="33397C04"/>
    <w:rsid w:val="336A6482"/>
    <w:rsid w:val="33959B9C"/>
    <w:rsid w:val="3518E6BB"/>
    <w:rsid w:val="360B32AD"/>
    <w:rsid w:val="3668D1BA"/>
    <w:rsid w:val="3699D260"/>
    <w:rsid w:val="375C8BE4"/>
    <w:rsid w:val="378E12C1"/>
    <w:rsid w:val="38050F2E"/>
    <w:rsid w:val="38A64E38"/>
    <w:rsid w:val="38E79CF3"/>
    <w:rsid w:val="3968ADB4"/>
    <w:rsid w:val="399FDB44"/>
    <w:rsid w:val="39A435A7"/>
    <w:rsid w:val="39F29B92"/>
    <w:rsid w:val="3A0C7B78"/>
    <w:rsid w:val="3A69ECD8"/>
    <w:rsid w:val="3AAC3E92"/>
    <w:rsid w:val="3BD23DA7"/>
    <w:rsid w:val="3C5BE00B"/>
    <w:rsid w:val="3C604FB5"/>
    <w:rsid w:val="3CD3A5E7"/>
    <w:rsid w:val="3CE97AC0"/>
    <w:rsid w:val="3CF49341"/>
    <w:rsid w:val="3D2D6E1A"/>
    <w:rsid w:val="3D726509"/>
    <w:rsid w:val="3DA87E06"/>
    <w:rsid w:val="3DD57B88"/>
    <w:rsid w:val="3DED74F5"/>
    <w:rsid w:val="3DFBA2A1"/>
    <w:rsid w:val="3E5BB7D4"/>
    <w:rsid w:val="3EC0297B"/>
    <w:rsid w:val="3F06E49B"/>
    <w:rsid w:val="3F1279B3"/>
    <w:rsid w:val="3FC3D057"/>
    <w:rsid w:val="3FD19EA0"/>
    <w:rsid w:val="41ADA94A"/>
    <w:rsid w:val="422FA327"/>
    <w:rsid w:val="42CD9F76"/>
    <w:rsid w:val="43704994"/>
    <w:rsid w:val="43881030"/>
    <w:rsid w:val="4495530F"/>
    <w:rsid w:val="4538EC1C"/>
    <w:rsid w:val="455014C5"/>
    <w:rsid w:val="4566AC71"/>
    <w:rsid w:val="4624ECE4"/>
    <w:rsid w:val="463D1922"/>
    <w:rsid w:val="464A6CE5"/>
    <w:rsid w:val="46C6D42F"/>
    <w:rsid w:val="473011CC"/>
    <w:rsid w:val="474F00E4"/>
    <w:rsid w:val="476BBA6F"/>
    <w:rsid w:val="479A2C73"/>
    <w:rsid w:val="47C65366"/>
    <w:rsid w:val="47C8AACB"/>
    <w:rsid w:val="47E237CF"/>
    <w:rsid w:val="483C0002"/>
    <w:rsid w:val="495B662C"/>
    <w:rsid w:val="49BE435F"/>
    <w:rsid w:val="4C4D7887"/>
    <w:rsid w:val="4D33259A"/>
    <w:rsid w:val="4D56D023"/>
    <w:rsid w:val="4DC7555F"/>
    <w:rsid w:val="4E36BD5F"/>
    <w:rsid w:val="4E6E0A8B"/>
    <w:rsid w:val="4E6FE997"/>
    <w:rsid w:val="4EEF2D2C"/>
    <w:rsid w:val="4F2AB99E"/>
    <w:rsid w:val="4FCF8E33"/>
    <w:rsid w:val="4FE1938C"/>
    <w:rsid w:val="50267884"/>
    <w:rsid w:val="50685063"/>
    <w:rsid w:val="50B37954"/>
    <w:rsid w:val="51AB9A5B"/>
    <w:rsid w:val="51C20031"/>
    <w:rsid w:val="51D9993B"/>
    <w:rsid w:val="527201A0"/>
    <w:rsid w:val="52DBC534"/>
    <w:rsid w:val="5350B908"/>
    <w:rsid w:val="54D3F5FD"/>
    <w:rsid w:val="55FCE249"/>
    <w:rsid w:val="56533CEC"/>
    <w:rsid w:val="56C0182B"/>
    <w:rsid w:val="56D088FA"/>
    <w:rsid w:val="56EA7969"/>
    <w:rsid w:val="574C5CB4"/>
    <w:rsid w:val="584D6F82"/>
    <w:rsid w:val="5899720A"/>
    <w:rsid w:val="589DDE90"/>
    <w:rsid w:val="5909473C"/>
    <w:rsid w:val="59EE0896"/>
    <w:rsid w:val="5B9C7239"/>
    <w:rsid w:val="5BF8643F"/>
    <w:rsid w:val="5CA184CD"/>
    <w:rsid w:val="5D44B199"/>
    <w:rsid w:val="5D8B4D32"/>
    <w:rsid w:val="5E0604E6"/>
    <w:rsid w:val="5E357F34"/>
    <w:rsid w:val="5E5CC3B9"/>
    <w:rsid w:val="5F866459"/>
    <w:rsid w:val="5FC27B03"/>
    <w:rsid w:val="6033D612"/>
    <w:rsid w:val="60353D59"/>
    <w:rsid w:val="60F24956"/>
    <w:rsid w:val="61FC6AA9"/>
    <w:rsid w:val="6255ADB7"/>
    <w:rsid w:val="6258FAA2"/>
    <w:rsid w:val="62B02443"/>
    <w:rsid w:val="62CE8BA3"/>
    <w:rsid w:val="62F5FC46"/>
    <w:rsid w:val="6320EF03"/>
    <w:rsid w:val="6325E86D"/>
    <w:rsid w:val="636E9787"/>
    <w:rsid w:val="647500AF"/>
    <w:rsid w:val="6580F65B"/>
    <w:rsid w:val="667E32F5"/>
    <w:rsid w:val="67CD51B2"/>
    <w:rsid w:val="67FF2459"/>
    <w:rsid w:val="68526C26"/>
    <w:rsid w:val="68A3BE63"/>
    <w:rsid w:val="68D0BBE5"/>
    <w:rsid w:val="68F53BDF"/>
    <w:rsid w:val="6940BC5C"/>
    <w:rsid w:val="698917E4"/>
    <w:rsid w:val="698F2F29"/>
    <w:rsid w:val="69A33D9A"/>
    <w:rsid w:val="6A18EA36"/>
    <w:rsid w:val="6B039829"/>
    <w:rsid w:val="6B488F18"/>
    <w:rsid w:val="6B9CC60E"/>
    <w:rsid w:val="6CAFA0C7"/>
    <w:rsid w:val="6CDA46E4"/>
    <w:rsid w:val="6D373740"/>
    <w:rsid w:val="6E5910BB"/>
    <w:rsid w:val="6F9F8E8E"/>
    <w:rsid w:val="6FD8C83E"/>
    <w:rsid w:val="706E408A"/>
    <w:rsid w:val="70717E01"/>
    <w:rsid w:val="70F03A67"/>
    <w:rsid w:val="7128AE16"/>
    <w:rsid w:val="71C67986"/>
    <w:rsid w:val="71CC9B65"/>
    <w:rsid w:val="71D6E5D0"/>
    <w:rsid w:val="72024FBB"/>
    <w:rsid w:val="727ADA8E"/>
    <w:rsid w:val="74748CCD"/>
    <w:rsid w:val="752B4126"/>
    <w:rsid w:val="7542A751"/>
    <w:rsid w:val="75489B9E"/>
    <w:rsid w:val="75625B35"/>
    <w:rsid w:val="75B69400"/>
    <w:rsid w:val="76B71051"/>
    <w:rsid w:val="7702BE60"/>
    <w:rsid w:val="771C7E35"/>
    <w:rsid w:val="77B7EF02"/>
    <w:rsid w:val="77C131A4"/>
    <w:rsid w:val="78A5B879"/>
    <w:rsid w:val="78AE3601"/>
    <w:rsid w:val="79476183"/>
    <w:rsid w:val="79642BBD"/>
    <w:rsid w:val="7A36C8B5"/>
    <w:rsid w:val="7A6B80EC"/>
    <w:rsid w:val="7A6F1759"/>
    <w:rsid w:val="7A780779"/>
    <w:rsid w:val="7A9E72BB"/>
    <w:rsid w:val="7ABF5492"/>
    <w:rsid w:val="7ABF56A3"/>
    <w:rsid w:val="7AE369AA"/>
    <w:rsid w:val="7B8AB445"/>
    <w:rsid w:val="7BFD38B8"/>
    <w:rsid w:val="7C0A1E46"/>
    <w:rsid w:val="7D1AC767"/>
    <w:rsid w:val="7D5BFFB0"/>
    <w:rsid w:val="7D644455"/>
    <w:rsid w:val="7E837DC0"/>
    <w:rsid w:val="7E9367D0"/>
    <w:rsid w:val="7F680495"/>
    <w:rsid w:val="7F80C0D5"/>
    <w:rsid w:val="7FD5F67C"/>
  </w:rsids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B109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3871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871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716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7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7167"/>
    <w:rPr>
      <w:b/>
      <w:bCs/>
    </w:rPr>
  </w:style>
  <w:style w:type="paragraph" w:styleId="Revision">
    <w:name w:val="Revision"/>
    <w:hidden/>
    <w:uiPriority w:val="99"/>
    <w:semiHidden/>
    <w:rsid w:val="00FE767D"/>
    <w:rPr>
      <w:sz w:val="24"/>
      <w:szCs w:val="24"/>
    </w:rPr>
  </w:style>
  <w:style w:type="character" w:customStyle="1" w:styleId="Mention">
    <w:name w:val="Mention"/>
    <w:basedOn w:val="DefaultParagraphFont"/>
    <w:uiPriority w:val="99"/>
    <w:unhideWhenUsed/>
    <w:rsid w:val="00BB3661"/>
    <w:rPr>
      <w:color w:val="2B579A"/>
      <w:shd w:val="clear" w:color="auto" w:fill="E6E6E6"/>
    </w:rPr>
  </w:style>
  <w:style w:type="table" w:styleId="PlainTable4">
    <w:name w:val="Plain Table 4"/>
    <w:basedOn w:val="TableNormal"/>
    <w:uiPriority w:val="44"/>
    <w:rsid w:val="00F75AF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F15A47"/>
    <w:pPr>
      <w:ind w:left="720"/>
    </w:pPr>
    <w:rPr>
      <w:rFonts w:ascii="Calibri" w:hAnsi="Calibri" w:eastAsiaTheme="minorHAnsi" w:cs="Calibri"/>
      <w:sz w:val="22"/>
      <w:szCs w:val="22"/>
    </w:rPr>
  </w:style>
  <w:style w:type="table" w:styleId="TableGrid">
    <w:name w:val="Table Grid"/>
    <w:basedOn w:val="TableNormal"/>
    <w:rsid w:val="00294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76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6F7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76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6F75"/>
    <w:rPr>
      <w:sz w:val="24"/>
      <w:szCs w:val="24"/>
    </w:rPr>
  </w:style>
  <w:style w:type="table" w:styleId="ListTable6ColorfulAccent3">
    <w:name w:val="List Table 6 Colorful Accent 3"/>
    <w:basedOn w:val="TableNormal"/>
    <w:uiPriority w:val="51"/>
    <w:rsid w:val="00990CD9"/>
    <w:rPr>
      <w:rFonts w:asciiTheme="minorHAnsi" w:eastAsiaTheme="minorHAnsi" w:hAnsiTheme="minorHAnsi" w:cstheme="minorBidi"/>
      <w:color w:val="76923C" w:themeColor="accent3" w:themeShade="BF"/>
      <w:sz w:val="22"/>
      <w:szCs w:val="22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">
    <w:name w:val="List Table 6 Colorful"/>
    <w:basedOn w:val="TableNormal"/>
    <w:uiPriority w:val="51"/>
    <w:rsid w:val="00990CD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ecf-current-funding-commitments" TargetMode="External" /><Relationship Id="rId6" Type="http://schemas.openxmlformats.org/officeDocument/2006/relationships/hyperlink" Target="https://opendata.usac.org/Emergency-Connectivity-Fund/Emergency-Connectivity-Fund-FCC-Form-471/i5j4-3rvr" TargetMode="External" /><Relationship Id="rId7" Type="http://schemas.openxmlformats.org/officeDocument/2006/relationships/hyperlink" Target="https://www.emergencyconnectivityfund.org/open-data/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