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C49CF" w:rsidRPr="00D8511F" w:rsidP="006C49CF" w14:paraId="7495B1DD" w14:textId="77777777">
      <w:pPr>
        <w:pStyle w:val="Default"/>
        <w:spacing w:line="235" w:lineRule="auto"/>
        <w:rPr>
          <w:sz w:val="22"/>
          <w:szCs w:val="22"/>
        </w:rPr>
      </w:pPr>
      <w:r w:rsidRPr="00D8511F">
        <w:rPr>
          <w:noProof/>
          <w:sz w:val="22"/>
          <w:szCs w:val="22"/>
        </w:rPr>
        <w:drawing>
          <wp:inline distT="0" distB="0" distL="0" distR="0">
            <wp:extent cx="5943600" cy="8039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803910"/>
                    </a:xfrm>
                    <a:prstGeom prst="rect">
                      <a:avLst/>
                    </a:prstGeom>
                    <a:noFill/>
                    <a:ln>
                      <a:noFill/>
                    </a:ln>
                  </pic:spPr>
                </pic:pic>
              </a:graphicData>
            </a:graphic>
          </wp:inline>
        </w:drawing>
      </w:r>
    </w:p>
    <w:p w:rsidR="006C49CF" w:rsidRPr="00D8511F" w:rsidP="006C49CF" w14:paraId="2DD55490" w14:textId="77777777">
      <w:pPr>
        <w:pStyle w:val="Default"/>
        <w:spacing w:line="235" w:lineRule="auto"/>
        <w:rPr>
          <w:sz w:val="22"/>
          <w:szCs w:val="22"/>
        </w:rPr>
      </w:pPr>
    </w:p>
    <w:p w:rsidR="006C49CF" w:rsidP="006C49CF" w14:paraId="6C19D3BA" w14:textId="77777777">
      <w:pPr>
        <w:spacing w:after="60"/>
        <w:jc w:val="center"/>
        <w:rPr>
          <w:b/>
          <w:bCs/>
        </w:rPr>
      </w:pPr>
    </w:p>
    <w:p w:rsidR="006C49CF" w:rsidP="006C49CF" w14:paraId="35DC8859" w14:textId="77777777">
      <w:pPr>
        <w:jc w:val="center"/>
        <w:rPr>
          <w:b/>
          <w:bCs/>
        </w:rPr>
      </w:pPr>
      <w:r>
        <w:rPr>
          <w:b/>
          <w:bCs/>
        </w:rPr>
        <w:t xml:space="preserve">Carr Applauds President Biden’s Signing of the Secure Equipment Act </w:t>
      </w:r>
    </w:p>
    <w:p w:rsidR="006C49CF" w:rsidP="006C49CF" w14:paraId="686788E2" w14:textId="77777777">
      <w:pPr>
        <w:jc w:val="center"/>
        <w:rPr>
          <w:b/>
          <w:bCs/>
          <w:i/>
          <w:iCs/>
        </w:rPr>
      </w:pPr>
      <w:r>
        <w:rPr>
          <w:b/>
          <w:bCs/>
          <w:i/>
          <w:iCs/>
        </w:rPr>
        <w:t xml:space="preserve">Legislation Led by Scalise, Eshoo, Rubio, and Markey Closes the ‘Huawei Loophole’ </w:t>
      </w:r>
    </w:p>
    <w:p w:rsidR="006C49CF" w:rsidP="006C49CF" w14:paraId="66FB3C09" w14:textId="77777777">
      <w:pPr>
        <w:rPr>
          <w:sz w:val="22"/>
          <w:szCs w:val="22"/>
        </w:rPr>
      </w:pPr>
    </w:p>
    <w:p w:rsidR="006C49CF" w:rsidP="006C49CF" w14:paraId="4F3B21BA" w14:textId="77777777">
      <w:pPr>
        <w:rPr>
          <w:rFonts w:ascii="Times" w:hAnsi="Times"/>
          <w:sz w:val="22"/>
          <w:szCs w:val="22"/>
        </w:rPr>
      </w:pPr>
      <w:r w:rsidRPr="004A1643">
        <w:rPr>
          <w:sz w:val="22"/>
          <w:szCs w:val="22"/>
        </w:rPr>
        <w:t xml:space="preserve">WASHINGTON, </w:t>
      </w:r>
      <w:r>
        <w:rPr>
          <w:sz w:val="22"/>
          <w:szCs w:val="22"/>
        </w:rPr>
        <w:t>November</w:t>
      </w:r>
      <w:r w:rsidRPr="004A1643">
        <w:rPr>
          <w:sz w:val="22"/>
          <w:szCs w:val="22"/>
        </w:rPr>
        <w:t xml:space="preserve"> </w:t>
      </w:r>
      <w:r w:rsidRPr="008B01ED">
        <w:rPr>
          <w:sz w:val="22"/>
          <w:szCs w:val="22"/>
        </w:rPr>
        <w:t>12</w:t>
      </w:r>
      <w:r w:rsidRPr="004A1643">
        <w:rPr>
          <w:sz w:val="22"/>
          <w:szCs w:val="22"/>
        </w:rPr>
        <w:t xml:space="preserve">, 2021—Today, </w:t>
      </w:r>
      <w:r>
        <w:rPr>
          <w:sz w:val="22"/>
          <w:szCs w:val="22"/>
        </w:rPr>
        <w:t xml:space="preserve">FCC </w:t>
      </w:r>
      <w:r w:rsidRPr="004A1643">
        <w:rPr>
          <w:sz w:val="22"/>
          <w:szCs w:val="22"/>
        </w:rPr>
        <w:t xml:space="preserve">Commissioner </w:t>
      </w:r>
      <w:r>
        <w:rPr>
          <w:sz w:val="22"/>
          <w:szCs w:val="22"/>
        </w:rPr>
        <w:t xml:space="preserve">Brendan </w:t>
      </w:r>
      <w:r w:rsidRPr="004A1643">
        <w:rPr>
          <w:sz w:val="22"/>
          <w:szCs w:val="22"/>
        </w:rPr>
        <w:t xml:space="preserve">Carr </w:t>
      </w:r>
      <w:r>
        <w:rPr>
          <w:sz w:val="22"/>
          <w:szCs w:val="22"/>
        </w:rPr>
        <w:t>applauded President Biden’s signing of the Secure Equipment Act of 2021 into law.  The bipartisan</w:t>
      </w:r>
      <w:r>
        <w:rPr>
          <w:rFonts w:ascii="Times" w:hAnsi="Times"/>
          <w:sz w:val="22"/>
          <w:szCs w:val="22"/>
        </w:rPr>
        <w:t xml:space="preserve"> legislation, introduced by Republican Whip Steve Scalise, Congresswoman Anna Eshoo, Senator Marco Rubio, and Senator Ed Markey will strengthen national security by requiring the FCC to close a loophole in the agency’s equipment authorization process and protect against threats posed against by entities on the Covered List.  </w:t>
      </w:r>
    </w:p>
    <w:p w:rsidR="006C49CF" w:rsidP="006C49CF" w14:paraId="2A89AB19" w14:textId="77777777">
      <w:pPr>
        <w:rPr>
          <w:rFonts w:ascii="Times" w:hAnsi="Times"/>
          <w:sz w:val="22"/>
          <w:szCs w:val="22"/>
        </w:rPr>
      </w:pPr>
    </w:p>
    <w:p w:rsidR="006C49CF" w:rsidRPr="00DA0710" w:rsidP="006C49CF" w14:paraId="7E759F57" w14:textId="77777777">
      <w:pPr>
        <w:rPr>
          <w:sz w:val="22"/>
          <w:szCs w:val="22"/>
        </w:rPr>
      </w:pPr>
      <w:r>
        <w:rPr>
          <w:sz w:val="22"/>
          <w:szCs w:val="22"/>
        </w:rPr>
        <w:t xml:space="preserve">Commissioner Carr joined the authors of the legislation and Chairwoman Rosenworcel on a </w:t>
      </w:r>
      <w:hyperlink r:id="rId5" w:history="1">
        <w:r w:rsidRPr="007A0A2C">
          <w:rPr>
            <w:rStyle w:val="Hyperlink"/>
            <w:sz w:val="22"/>
            <w:szCs w:val="22"/>
          </w:rPr>
          <w:t>joint release</w:t>
        </w:r>
      </w:hyperlink>
      <w:r>
        <w:rPr>
          <w:sz w:val="22"/>
          <w:szCs w:val="22"/>
        </w:rPr>
        <w:t xml:space="preserve">.  </w:t>
      </w:r>
      <w:r>
        <w:rPr>
          <w:sz w:val="22"/>
          <w:szCs w:val="22"/>
        </w:rPr>
        <w:t>Carr’s</w:t>
      </w:r>
      <w:r>
        <w:rPr>
          <w:sz w:val="22"/>
          <w:szCs w:val="22"/>
        </w:rPr>
        <w:t xml:space="preserve"> quote can also be found below:</w:t>
      </w:r>
    </w:p>
    <w:p w:rsidR="006C49CF" w:rsidP="006C49CF" w14:paraId="016ED4D4" w14:textId="77777777">
      <w:pPr>
        <w:spacing w:line="235" w:lineRule="auto"/>
        <w:rPr>
          <w:rFonts w:ascii="Times" w:hAnsi="Times"/>
          <w:sz w:val="22"/>
          <w:szCs w:val="22"/>
        </w:rPr>
      </w:pPr>
    </w:p>
    <w:p w:rsidR="006C49CF" w:rsidRPr="0067245F" w:rsidP="006C49CF" w14:paraId="13E78530" w14:textId="2789AC18">
      <w:pPr>
        <w:spacing w:line="235" w:lineRule="auto"/>
        <w:rPr>
          <w:rFonts w:ascii="Times" w:hAnsi="Times"/>
          <w:sz w:val="22"/>
          <w:szCs w:val="22"/>
        </w:rPr>
      </w:pPr>
      <w:r w:rsidRPr="0067245F">
        <w:rPr>
          <w:rFonts w:ascii="Times" w:hAnsi="Times"/>
          <w:sz w:val="22"/>
          <w:szCs w:val="22"/>
        </w:rPr>
        <w:t>“I applaud Senator Rubio, Senator Markey, Republican Whip Scalise, and Congresswoman Eshoo for their determination and leadership to secure America’s communications networks.  Their Secure Equipment Act is now the law of the land and will ensure that insecure equipment from Huawei, ZTE, and other untrustworthy entities can no longer be inserted into our communications networks.  This gear poses an unacceptable risk to our national security</w:t>
      </w:r>
      <w:r>
        <w:rPr>
          <w:rFonts w:ascii="Times" w:hAnsi="Times"/>
          <w:sz w:val="22"/>
          <w:szCs w:val="22"/>
        </w:rPr>
        <w:t>.</w:t>
      </w:r>
      <w:r w:rsidRPr="0067245F">
        <w:rPr>
          <w:rFonts w:ascii="Times" w:hAnsi="Times"/>
          <w:sz w:val="22"/>
          <w:szCs w:val="22"/>
        </w:rPr>
        <w:t xml:space="preserve"> </w:t>
      </w:r>
      <w:r>
        <w:rPr>
          <w:rFonts w:ascii="Times" w:hAnsi="Times"/>
          <w:sz w:val="22"/>
          <w:szCs w:val="22"/>
        </w:rPr>
        <w:t xml:space="preserve"> </w:t>
      </w:r>
      <w:r w:rsidRPr="0067245F">
        <w:rPr>
          <w:rFonts w:ascii="Times" w:hAnsi="Times"/>
          <w:sz w:val="22"/>
          <w:szCs w:val="22"/>
        </w:rPr>
        <w:t xml:space="preserve">I am pleased with the overwhelming support their legislation has received in Congress to close the </w:t>
      </w:r>
      <w:r w:rsidR="007B3DF5">
        <w:rPr>
          <w:rFonts w:ascii="Times" w:hAnsi="Times"/>
          <w:sz w:val="22"/>
          <w:szCs w:val="22"/>
        </w:rPr>
        <w:t>‘</w:t>
      </w:r>
      <w:r w:rsidRPr="0067245F">
        <w:rPr>
          <w:rFonts w:ascii="Times" w:hAnsi="Times"/>
          <w:sz w:val="22"/>
          <w:szCs w:val="22"/>
        </w:rPr>
        <w:t>Huawei Loophole</w:t>
      </w:r>
      <w:r w:rsidR="007B3DF5">
        <w:rPr>
          <w:rFonts w:ascii="Times" w:hAnsi="Times"/>
          <w:sz w:val="22"/>
          <w:szCs w:val="22"/>
        </w:rPr>
        <w:t>’</w:t>
      </w:r>
      <w:r w:rsidRPr="0067245F">
        <w:rPr>
          <w:rFonts w:ascii="Times" w:hAnsi="Times"/>
          <w:sz w:val="22"/>
          <w:szCs w:val="22"/>
        </w:rPr>
        <w:t>, and for President Biden’s signature today enacting this important reform.”</w:t>
      </w:r>
    </w:p>
    <w:p w:rsidR="006C49CF" w:rsidP="006C49CF" w14:paraId="33ED3072" w14:textId="77777777">
      <w:pPr>
        <w:spacing w:line="235" w:lineRule="auto"/>
        <w:rPr>
          <w:rFonts w:ascii="Times" w:hAnsi="Times"/>
          <w:sz w:val="22"/>
          <w:szCs w:val="22"/>
        </w:rPr>
      </w:pPr>
    </w:p>
    <w:p w:rsidR="006C49CF" w:rsidP="006C49CF" w14:paraId="2D6858A0" w14:textId="77777777">
      <w:pPr>
        <w:spacing w:line="235" w:lineRule="auto"/>
        <w:rPr>
          <w:rFonts w:ascii="Times" w:hAnsi="Times"/>
          <w:b/>
          <w:bCs/>
          <w:sz w:val="22"/>
          <w:szCs w:val="22"/>
        </w:rPr>
      </w:pPr>
      <w:r>
        <w:rPr>
          <w:rFonts w:ascii="Times" w:hAnsi="Times"/>
          <w:b/>
          <w:bCs/>
          <w:sz w:val="22"/>
          <w:szCs w:val="22"/>
        </w:rPr>
        <w:t>Background</w:t>
      </w:r>
    </w:p>
    <w:p w:rsidR="006C49CF" w:rsidP="006C49CF" w14:paraId="171CADBC" w14:textId="77777777">
      <w:pPr>
        <w:spacing w:line="235" w:lineRule="auto"/>
        <w:rPr>
          <w:rFonts w:ascii="Times" w:hAnsi="Times"/>
          <w:b/>
          <w:bCs/>
          <w:sz w:val="22"/>
          <w:szCs w:val="22"/>
        </w:rPr>
      </w:pPr>
    </w:p>
    <w:p w:rsidR="006C49CF" w:rsidRPr="00707403" w:rsidP="006C49CF" w14:paraId="4241B896" w14:textId="77777777">
      <w:pPr>
        <w:pStyle w:val="ListParagraph"/>
        <w:numPr>
          <w:ilvl w:val="0"/>
          <w:numId w:val="1"/>
        </w:numPr>
        <w:rPr>
          <w:rFonts w:ascii="Times" w:hAnsi="Times"/>
          <w:sz w:val="22"/>
          <w:szCs w:val="22"/>
        </w:rPr>
      </w:pPr>
      <w:r w:rsidRPr="00707403">
        <w:rPr>
          <w:rFonts w:ascii="Times" w:hAnsi="Times"/>
          <w:sz w:val="22"/>
          <w:szCs w:val="22"/>
        </w:rPr>
        <w:t xml:space="preserve">In 2020, the FCC adopted rules to require that U.S. telecommunications carriers </w:t>
      </w:r>
      <w:r>
        <w:rPr>
          <w:rFonts w:ascii="Times" w:hAnsi="Times"/>
          <w:sz w:val="22"/>
          <w:szCs w:val="22"/>
        </w:rPr>
        <w:t>remove</w:t>
      </w:r>
      <w:r w:rsidRPr="00707403">
        <w:rPr>
          <w:rFonts w:ascii="Times" w:hAnsi="Times"/>
          <w:sz w:val="22"/>
          <w:szCs w:val="22"/>
        </w:rPr>
        <w:t xml:space="preserve"> and replace equipment provided by “covered” companies. </w:t>
      </w:r>
      <w:r>
        <w:rPr>
          <w:rFonts w:ascii="Times" w:hAnsi="Times"/>
          <w:sz w:val="22"/>
          <w:szCs w:val="22"/>
        </w:rPr>
        <w:t xml:space="preserve"> </w:t>
      </w:r>
      <w:r w:rsidRPr="00707403">
        <w:rPr>
          <w:rFonts w:ascii="Times" w:hAnsi="Times"/>
          <w:sz w:val="22"/>
          <w:szCs w:val="22"/>
        </w:rPr>
        <w:t>While that was an important step, those rules only appl</w:t>
      </w:r>
      <w:r>
        <w:rPr>
          <w:rFonts w:ascii="Times" w:hAnsi="Times"/>
          <w:sz w:val="22"/>
          <w:szCs w:val="22"/>
        </w:rPr>
        <w:t>ied</w:t>
      </w:r>
      <w:r w:rsidRPr="00707403">
        <w:rPr>
          <w:rFonts w:ascii="Times" w:hAnsi="Times"/>
          <w:sz w:val="22"/>
          <w:szCs w:val="22"/>
        </w:rPr>
        <w:t xml:space="preserve"> to equipment purchased with federal funding</w:t>
      </w:r>
      <w:r>
        <w:rPr>
          <w:rFonts w:ascii="Times" w:hAnsi="Times"/>
          <w:sz w:val="22"/>
          <w:szCs w:val="22"/>
        </w:rPr>
        <w:t xml:space="preserve"> and created a loophole that Huawei and others were using to continue to be installed in our networks.</w:t>
      </w:r>
      <w:r w:rsidRPr="00707403">
        <w:rPr>
          <w:rFonts w:ascii="Times" w:hAnsi="Times"/>
          <w:sz w:val="22"/>
          <w:szCs w:val="22"/>
        </w:rPr>
        <w:t> </w:t>
      </w:r>
    </w:p>
    <w:p w:rsidR="006C49CF" w:rsidP="006C49CF" w14:paraId="6E5325EC" w14:textId="77777777">
      <w:pPr>
        <w:pStyle w:val="ListParagraph"/>
        <w:numPr>
          <w:ilvl w:val="0"/>
          <w:numId w:val="1"/>
        </w:numPr>
        <w:spacing w:line="235" w:lineRule="auto"/>
        <w:rPr>
          <w:rFonts w:ascii="Times" w:hAnsi="Times"/>
          <w:sz w:val="22"/>
          <w:szCs w:val="22"/>
        </w:rPr>
      </w:pPr>
      <w:r w:rsidRPr="00707403">
        <w:rPr>
          <w:rFonts w:ascii="Times" w:hAnsi="Times"/>
          <w:sz w:val="22"/>
          <w:szCs w:val="22"/>
        </w:rPr>
        <w:t xml:space="preserve">In </w:t>
      </w:r>
      <w:hyperlink r:id="rId6" w:history="1">
        <w:r w:rsidRPr="00707403">
          <w:rPr>
            <w:rStyle w:val="Hyperlink"/>
            <w:rFonts w:ascii="Times" w:hAnsi="Times"/>
            <w:sz w:val="22"/>
            <w:szCs w:val="22"/>
          </w:rPr>
          <w:t>March</w:t>
        </w:r>
      </w:hyperlink>
      <w:r w:rsidRPr="00707403">
        <w:rPr>
          <w:rFonts w:ascii="Times" w:hAnsi="Times"/>
          <w:sz w:val="22"/>
          <w:szCs w:val="22"/>
        </w:rPr>
        <w:t>, Carr called on the FCC to close th</w:t>
      </w:r>
      <w:r>
        <w:rPr>
          <w:rFonts w:ascii="Times" w:hAnsi="Times"/>
          <w:sz w:val="22"/>
          <w:szCs w:val="22"/>
        </w:rPr>
        <w:t>is so-called</w:t>
      </w:r>
      <w:r w:rsidRPr="00707403">
        <w:rPr>
          <w:rFonts w:ascii="Times" w:hAnsi="Times"/>
          <w:sz w:val="22"/>
          <w:szCs w:val="22"/>
        </w:rPr>
        <w:t xml:space="preserve"> “Huawei Loophole</w:t>
      </w:r>
      <w:r>
        <w:rPr>
          <w:rFonts w:ascii="Times" w:hAnsi="Times"/>
          <w:sz w:val="22"/>
          <w:szCs w:val="22"/>
        </w:rPr>
        <w:t>.</w:t>
      </w:r>
      <w:r w:rsidRPr="00707403">
        <w:rPr>
          <w:rFonts w:ascii="Times" w:hAnsi="Times"/>
          <w:sz w:val="22"/>
          <w:szCs w:val="22"/>
        </w:rPr>
        <w:t xml:space="preserve">” </w:t>
      </w:r>
    </w:p>
    <w:p w:rsidR="006C49CF" w:rsidP="006C49CF" w14:paraId="06E2C593" w14:textId="77777777">
      <w:pPr>
        <w:pStyle w:val="ListParagraph"/>
        <w:numPr>
          <w:ilvl w:val="0"/>
          <w:numId w:val="1"/>
        </w:numPr>
        <w:spacing w:line="235" w:lineRule="auto"/>
        <w:rPr>
          <w:rFonts w:ascii="Times" w:hAnsi="Times"/>
          <w:sz w:val="22"/>
          <w:szCs w:val="22"/>
        </w:rPr>
      </w:pPr>
      <w:r>
        <w:rPr>
          <w:rFonts w:ascii="Times" w:hAnsi="Times"/>
          <w:sz w:val="22"/>
          <w:szCs w:val="22"/>
        </w:rPr>
        <w:t xml:space="preserve">In </w:t>
      </w:r>
      <w:hyperlink r:id="rId7" w:history="1">
        <w:r>
          <w:rPr>
            <w:rStyle w:val="Hyperlink"/>
            <w:rFonts w:ascii="Times" w:hAnsi="Times"/>
            <w:sz w:val="22"/>
            <w:szCs w:val="22"/>
          </w:rPr>
          <w:t>May</w:t>
        </w:r>
      </w:hyperlink>
      <w:r>
        <w:rPr>
          <w:rFonts w:ascii="Times" w:hAnsi="Times"/>
          <w:sz w:val="22"/>
          <w:szCs w:val="22"/>
        </w:rPr>
        <w:t>, Senators Rubio and Markey introduced S. 1790</w:t>
      </w:r>
      <w:r w:rsidRPr="0019062C">
        <w:rPr>
          <w:rFonts w:ascii="Times" w:hAnsi="Times"/>
          <w:sz w:val="22"/>
          <w:szCs w:val="22"/>
        </w:rPr>
        <w:t>, the Secure Equipment Act.</w:t>
      </w:r>
    </w:p>
    <w:p w:rsidR="006C49CF" w:rsidRPr="0019062C" w:rsidP="006C49CF" w14:paraId="44C24F2D" w14:textId="77777777">
      <w:pPr>
        <w:pStyle w:val="ListParagraph"/>
        <w:numPr>
          <w:ilvl w:val="0"/>
          <w:numId w:val="1"/>
        </w:numPr>
        <w:spacing w:line="235" w:lineRule="auto"/>
        <w:rPr>
          <w:rFonts w:ascii="Times" w:hAnsi="Times"/>
          <w:sz w:val="22"/>
          <w:szCs w:val="22"/>
        </w:rPr>
      </w:pPr>
      <w:r>
        <w:rPr>
          <w:rFonts w:ascii="Times" w:hAnsi="Times"/>
          <w:sz w:val="22"/>
          <w:szCs w:val="22"/>
        </w:rPr>
        <w:t xml:space="preserve">In </w:t>
      </w:r>
      <w:hyperlink r:id="rId8" w:history="1">
        <w:r>
          <w:rPr>
            <w:rStyle w:val="Hyperlink"/>
            <w:rFonts w:ascii="Times" w:hAnsi="Times"/>
            <w:sz w:val="22"/>
            <w:szCs w:val="22"/>
          </w:rPr>
          <w:t>June</w:t>
        </w:r>
      </w:hyperlink>
      <w:r>
        <w:rPr>
          <w:rFonts w:ascii="Times" w:hAnsi="Times"/>
          <w:sz w:val="22"/>
          <w:szCs w:val="22"/>
        </w:rPr>
        <w:t>, Republican Whip Scalise and Congresswoman Eshoo introduced H.R. 3919</w:t>
      </w:r>
      <w:r w:rsidRPr="0019062C">
        <w:rPr>
          <w:rFonts w:ascii="Times" w:hAnsi="Times"/>
          <w:sz w:val="22"/>
          <w:szCs w:val="22"/>
        </w:rPr>
        <w:t>, the Secure Equipment Act.</w:t>
      </w:r>
    </w:p>
    <w:p w:rsidR="006C49CF" w:rsidRPr="00E67EF0" w:rsidP="006C49CF" w14:paraId="6D6442B8" w14:textId="77777777">
      <w:pPr>
        <w:pStyle w:val="ListParagraph"/>
        <w:numPr>
          <w:ilvl w:val="0"/>
          <w:numId w:val="1"/>
        </w:numPr>
        <w:spacing w:line="235" w:lineRule="auto"/>
        <w:rPr>
          <w:rFonts w:ascii="Times" w:hAnsi="Times"/>
          <w:sz w:val="22"/>
          <w:szCs w:val="22"/>
        </w:rPr>
      </w:pPr>
      <w:r>
        <w:rPr>
          <w:rFonts w:ascii="Times" w:hAnsi="Times"/>
          <w:sz w:val="22"/>
          <w:szCs w:val="22"/>
        </w:rPr>
        <w:t xml:space="preserve">Later in </w:t>
      </w:r>
      <w:hyperlink r:id="rId9" w:history="1">
        <w:r>
          <w:rPr>
            <w:rStyle w:val="Hyperlink"/>
            <w:rFonts w:ascii="Times" w:hAnsi="Times"/>
            <w:sz w:val="22"/>
            <w:szCs w:val="22"/>
          </w:rPr>
          <w:t>June</w:t>
        </w:r>
      </w:hyperlink>
      <w:r>
        <w:rPr>
          <w:rFonts w:ascii="Times" w:hAnsi="Times"/>
          <w:sz w:val="22"/>
          <w:szCs w:val="22"/>
        </w:rPr>
        <w:t xml:space="preserve">, </w:t>
      </w:r>
      <w:r w:rsidRPr="000F5722">
        <w:rPr>
          <w:rFonts w:ascii="Times" w:hAnsi="Times"/>
          <w:sz w:val="22"/>
          <w:szCs w:val="22"/>
        </w:rPr>
        <w:t xml:space="preserve">the </w:t>
      </w:r>
      <w:r w:rsidRPr="00312F70">
        <w:rPr>
          <w:rFonts w:ascii="Times" w:hAnsi="Times"/>
          <w:sz w:val="22"/>
          <w:szCs w:val="22"/>
        </w:rPr>
        <w:t xml:space="preserve">Commission </w:t>
      </w:r>
      <w:r w:rsidRPr="00312F70">
        <w:rPr>
          <w:sz w:val="22"/>
          <w:szCs w:val="22"/>
        </w:rPr>
        <w:t xml:space="preserve">launched </w:t>
      </w:r>
      <w:r w:rsidRPr="00312F70">
        <w:rPr>
          <w:rFonts w:ascii="Times" w:hAnsi="Times"/>
          <w:sz w:val="22"/>
          <w:szCs w:val="22"/>
        </w:rPr>
        <w:t>a proceeding</w:t>
      </w:r>
      <w:r w:rsidRPr="000F5722">
        <w:rPr>
          <w:rFonts w:ascii="Times" w:hAnsi="Times"/>
          <w:sz w:val="22"/>
          <w:szCs w:val="22"/>
        </w:rPr>
        <w:t xml:space="preserve"> </w:t>
      </w:r>
      <w:r>
        <w:rPr>
          <w:rFonts w:ascii="Times" w:hAnsi="Times"/>
          <w:sz w:val="22"/>
          <w:szCs w:val="22"/>
        </w:rPr>
        <w:t>aligned with the requirements of the</w:t>
      </w:r>
      <w:r w:rsidRPr="00C72404">
        <w:rPr>
          <w:rFonts w:ascii="Times" w:hAnsi="Times"/>
          <w:sz w:val="22"/>
          <w:szCs w:val="22"/>
        </w:rPr>
        <w:t xml:space="preserve"> Secure Equipment Act.</w:t>
      </w:r>
    </w:p>
    <w:p w:rsidR="006C49CF" w:rsidP="006C49CF" w14:paraId="3A6070B9" w14:textId="77777777">
      <w:pPr>
        <w:pStyle w:val="ListParagraph"/>
        <w:numPr>
          <w:ilvl w:val="0"/>
          <w:numId w:val="1"/>
        </w:numPr>
        <w:spacing w:line="235" w:lineRule="auto"/>
        <w:rPr>
          <w:rFonts w:ascii="Times" w:hAnsi="Times"/>
          <w:sz w:val="22"/>
          <w:szCs w:val="22"/>
        </w:rPr>
      </w:pPr>
      <w:r>
        <w:rPr>
          <w:rFonts w:ascii="Times" w:hAnsi="Times"/>
          <w:sz w:val="22"/>
          <w:szCs w:val="22"/>
        </w:rPr>
        <w:t xml:space="preserve">In October, the House passed H.R. 3919 via a roll call vote of </w:t>
      </w:r>
      <w:hyperlink r:id="rId10" w:history="1">
        <w:r>
          <w:rPr>
            <w:rStyle w:val="Hyperlink"/>
            <w:rFonts w:ascii="Times" w:hAnsi="Times"/>
            <w:sz w:val="22"/>
            <w:szCs w:val="22"/>
          </w:rPr>
          <w:t>420-4</w:t>
        </w:r>
      </w:hyperlink>
      <w:r>
        <w:rPr>
          <w:rFonts w:ascii="Times" w:hAnsi="Times"/>
          <w:sz w:val="22"/>
          <w:szCs w:val="22"/>
        </w:rPr>
        <w:t xml:space="preserve">.  H.R. 3919 passed the Senate via </w:t>
      </w:r>
      <w:hyperlink r:id="rId11" w:anchor="tabs" w:history="1">
        <w:r>
          <w:rPr>
            <w:rStyle w:val="Hyperlink"/>
            <w:rFonts w:ascii="Times" w:hAnsi="Times"/>
            <w:sz w:val="22"/>
            <w:szCs w:val="22"/>
          </w:rPr>
          <w:t>unanimous consent</w:t>
        </w:r>
      </w:hyperlink>
      <w:r>
        <w:rPr>
          <w:rFonts w:ascii="Times" w:hAnsi="Times"/>
          <w:sz w:val="22"/>
          <w:szCs w:val="22"/>
        </w:rPr>
        <w:t xml:space="preserve"> the next week. </w:t>
      </w:r>
    </w:p>
    <w:p w:rsidR="006C49CF" w:rsidRPr="00303CDE" w:rsidP="006C49CF" w14:paraId="20D147FE" w14:textId="77777777">
      <w:pPr>
        <w:pStyle w:val="ListParagraph"/>
        <w:numPr>
          <w:ilvl w:val="0"/>
          <w:numId w:val="1"/>
        </w:numPr>
        <w:spacing w:line="235" w:lineRule="auto"/>
        <w:rPr>
          <w:rFonts w:ascii="Times" w:hAnsi="Times"/>
          <w:b/>
          <w:bCs/>
          <w:sz w:val="22"/>
          <w:szCs w:val="22"/>
        </w:rPr>
      </w:pPr>
      <w:r>
        <w:rPr>
          <w:rFonts w:ascii="Times" w:hAnsi="Times"/>
          <w:sz w:val="22"/>
          <w:szCs w:val="22"/>
        </w:rPr>
        <w:t xml:space="preserve">On November 11, 2021, </w:t>
      </w:r>
      <w:r w:rsidRPr="001F0370">
        <w:rPr>
          <w:rFonts w:ascii="Times" w:hAnsi="Times"/>
          <w:sz w:val="22"/>
          <w:szCs w:val="22"/>
        </w:rPr>
        <w:t xml:space="preserve">President Biden </w:t>
      </w:r>
      <w:hyperlink r:id="rId12" w:history="1">
        <w:r>
          <w:rPr>
            <w:rStyle w:val="Hyperlink"/>
            <w:rFonts w:ascii="Times" w:hAnsi="Times"/>
            <w:sz w:val="22"/>
            <w:szCs w:val="22"/>
          </w:rPr>
          <w:t>signed</w:t>
        </w:r>
      </w:hyperlink>
      <w:r>
        <w:rPr>
          <w:rFonts w:ascii="Times" w:hAnsi="Times"/>
          <w:sz w:val="22"/>
          <w:szCs w:val="22"/>
        </w:rPr>
        <w:t xml:space="preserve"> H.R. 3919</w:t>
      </w:r>
      <w:r w:rsidRPr="001F0370">
        <w:rPr>
          <w:rFonts w:ascii="Times" w:hAnsi="Times"/>
          <w:sz w:val="22"/>
          <w:szCs w:val="22"/>
        </w:rPr>
        <w:t xml:space="preserve"> into law.</w:t>
      </w:r>
    </w:p>
    <w:p w:rsidR="006C49CF" w:rsidRPr="00F028F1" w:rsidP="006C49CF" w14:paraId="17C3AC80" w14:textId="77777777">
      <w:pPr>
        <w:spacing w:line="235" w:lineRule="auto"/>
        <w:rPr>
          <w:rFonts w:ascii="Times" w:hAnsi="Times"/>
          <w:b/>
          <w:bCs/>
          <w:sz w:val="22"/>
          <w:szCs w:val="22"/>
        </w:rPr>
      </w:pPr>
    </w:p>
    <w:p w:rsidR="006C49CF" w:rsidRPr="00A3658B" w:rsidP="006C49CF" w14:paraId="48BD5A14" w14:textId="77777777">
      <w:pPr>
        <w:spacing w:line="235" w:lineRule="auto"/>
        <w:jc w:val="center"/>
        <w:rPr>
          <w:rFonts w:ascii="Times" w:hAnsi="Times"/>
          <w:sz w:val="22"/>
          <w:szCs w:val="22"/>
        </w:rPr>
      </w:pPr>
      <w:r w:rsidRPr="00A3658B">
        <w:rPr>
          <w:rFonts w:ascii="Times" w:hAnsi="Times"/>
          <w:sz w:val="22"/>
          <w:szCs w:val="22"/>
        </w:rPr>
        <w:t>###</w:t>
      </w:r>
    </w:p>
    <w:p w:rsidR="006C49CF" w:rsidRPr="00A3658B" w:rsidP="006C49CF" w14:paraId="23359838" w14:textId="77777777">
      <w:pPr>
        <w:spacing w:line="235" w:lineRule="auto"/>
        <w:rPr>
          <w:rFonts w:ascii="Times" w:hAnsi="Time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tblPr>
      <w:tblGrid>
        <w:gridCol w:w="4675"/>
        <w:gridCol w:w="4675"/>
      </w:tblGrid>
      <w:tr w14:paraId="2D574DA1" w14:textId="77777777" w:rsidTr="00876D04">
        <w:tblPrEx>
          <w:tblW w:w="0" w:type="auto"/>
          <w:tblBorders>
            <w:top w:val="none" w:sz="0" w:space="0" w:color="auto"/>
            <w:left w:val="none" w:sz="0" w:space="0" w:color="auto"/>
            <w:bottom w:val="none" w:sz="0" w:space="0" w:color="auto"/>
            <w:right w:val="none" w:sz="0" w:space="0" w:color="auto"/>
            <w:insideH w:val="none" w:sz="0" w:space="0" w:color="auto"/>
          </w:tblBorders>
          <w:tblLook w:val="04A0"/>
        </w:tblPrEx>
        <w:tc>
          <w:tcPr>
            <w:tcW w:w="4675" w:type="dxa"/>
          </w:tcPr>
          <w:p w:rsidR="006C49CF" w:rsidRPr="000E5E63" w:rsidP="00876D04" w14:paraId="5A1D65D9" w14:textId="77777777">
            <w:pPr>
              <w:spacing w:line="235" w:lineRule="auto"/>
              <w:jc w:val="center"/>
              <w:rPr>
                <w:b/>
              </w:rPr>
            </w:pPr>
            <w:r w:rsidRPr="000E5E63">
              <w:rPr>
                <w:b/>
              </w:rPr>
              <w:t>Office of Commissioner Brendan Carr</w:t>
            </w:r>
          </w:p>
          <w:p w:rsidR="006C49CF" w:rsidRPr="000E5E63" w:rsidP="00876D04" w14:paraId="34D916F1" w14:textId="77777777">
            <w:pPr>
              <w:spacing w:line="235" w:lineRule="auto"/>
              <w:jc w:val="center"/>
            </w:pPr>
            <w:r w:rsidRPr="000E5E63">
              <w:rPr>
                <w:b/>
              </w:rPr>
              <w:t>www.fcc.gov/about/leadership/brendan-carr</w:t>
            </w:r>
          </w:p>
        </w:tc>
        <w:tc>
          <w:tcPr>
            <w:tcW w:w="4675" w:type="dxa"/>
          </w:tcPr>
          <w:p w:rsidR="006C49CF" w:rsidRPr="000E5E63" w:rsidP="00876D04" w14:paraId="0751DE9E" w14:textId="77777777">
            <w:pPr>
              <w:spacing w:line="235" w:lineRule="auto"/>
              <w:jc w:val="center"/>
              <w:rPr>
                <w:b/>
              </w:rPr>
            </w:pPr>
            <w:r w:rsidRPr="000E5E63">
              <w:rPr>
                <w:b/>
              </w:rPr>
              <w:t>Media Contact:  Greg Watson</w:t>
            </w:r>
          </w:p>
          <w:p w:rsidR="006C49CF" w:rsidRPr="000E5E63" w:rsidP="00876D04" w14:paraId="6AD5F650" w14:textId="77777777">
            <w:pPr>
              <w:spacing w:line="235" w:lineRule="auto"/>
              <w:jc w:val="center"/>
              <w:rPr>
                <w:b/>
              </w:rPr>
            </w:pPr>
            <w:r w:rsidRPr="000E5E63">
              <w:rPr>
                <w:b/>
              </w:rPr>
              <w:t>(202) 418-0658 or greg.watson@fcc.gov</w:t>
            </w:r>
          </w:p>
        </w:tc>
      </w:tr>
    </w:tbl>
    <w:p w:rsidR="006C49CF" w:rsidP="006C49CF" w14:paraId="0949E8FE" w14:textId="77777777"/>
    <w:p w:rsidR="00033DA1" w14:paraId="45D3C398"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E8804AF"/>
    <w:multiLevelType w:val="hybridMultilevel"/>
    <w:tmpl w:val="F2C4EBA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F"/>
    <w:rsid w:val="00033DA1"/>
    <w:rsid w:val="000E5E63"/>
    <w:rsid w:val="000E66C1"/>
    <w:rsid w:val="000F5722"/>
    <w:rsid w:val="0019062C"/>
    <w:rsid w:val="001F0370"/>
    <w:rsid w:val="00265500"/>
    <w:rsid w:val="002B48FB"/>
    <w:rsid w:val="00303CDE"/>
    <w:rsid w:val="00312F70"/>
    <w:rsid w:val="004A1643"/>
    <w:rsid w:val="0067245F"/>
    <w:rsid w:val="006C49CF"/>
    <w:rsid w:val="00707403"/>
    <w:rsid w:val="007A0A2C"/>
    <w:rsid w:val="007B3DF5"/>
    <w:rsid w:val="00876D04"/>
    <w:rsid w:val="008B01ED"/>
    <w:rsid w:val="009C257C"/>
    <w:rsid w:val="00A3658B"/>
    <w:rsid w:val="00C72404"/>
    <w:rsid w:val="00D8511F"/>
    <w:rsid w:val="00DA0710"/>
    <w:rsid w:val="00E67EF0"/>
    <w:rsid w:val="00F028F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82488FD"/>
  <w15:chartTrackingRefBased/>
  <w15:docId w15:val="{01420813-3A55-5644-8666-BC5054BED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6C49CF"/>
    <w:pPr>
      <w:spacing w:before="0" w:beforeAutospacing="0" w:after="0" w:afterAutospacing="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C49CF"/>
    <w:pPr>
      <w:autoSpaceDE w:val="0"/>
      <w:autoSpaceDN w:val="0"/>
      <w:adjustRightInd w:val="0"/>
      <w:spacing w:before="0" w:beforeAutospacing="0" w:after="0" w:afterAutospacing="0"/>
    </w:pPr>
    <w:rPr>
      <w:rFonts w:ascii="Times New Roman" w:hAnsi="Times New Roman" w:cs="Times New Roman"/>
      <w:color w:val="000000"/>
    </w:rPr>
  </w:style>
  <w:style w:type="character" w:styleId="Hyperlink">
    <w:name w:val="Hyperlink"/>
    <w:basedOn w:val="DefaultParagraphFont"/>
    <w:uiPriority w:val="99"/>
    <w:unhideWhenUsed/>
    <w:rsid w:val="006C49CF"/>
    <w:rPr>
      <w:color w:val="0563C1" w:themeColor="hyperlink"/>
      <w:u w:val="single"/>
    </w:rPr>
  </w:style>
  <w:style w:type="table" w:styleId="TableGrid">
    <w:name w:val="Table Grid"/>
    <w:basedOn w:val="TableNormal"/>
    <w:uiPriority w:val="39"/>
    <w:rsid w:val="006C49CF"/>
    <w:pPr>
      <w:spacing w:before="0" w:beforeAutospacing="0" w:after="0" w:afterAutospacing="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9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clerk.house.gov/Votes/2021323" TargetMode="External" /><Relationship Id="rId11" Type="http://schemas.openxmlformats.org/officeDocument/2006/relationships/hyperlink" Target="https://www.congress.gov/bill/117th-congress/house-bill/3919/all-actions?overview=closed" TargetMode="External" /><Relationship Id="rId12" Type="http://schemas.openxmlformats.org/officeDocument/2006/relationships/hyperlink" Target="https://www.whitehouse.gov/briefing-room/statements-releases/2021/11/11/bill-signed-h-r-3919/"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hyperlink" Target="https://eshoo.house.gov/media/press-releases/reps-eshoo-and-scalise-senators-markey-and-rubio-celebrate-president-s-signing" TargetMode="External" /><Relationship Id="rId6" Type="http://schemas.openxmlformats.org/officeDocument/2006/relationships/hyperlink" Target="https://docs.fcc.gov/public/attachments/DOC-371210A1.pdf" TargetMode="External" /><Relationship Id="rId7" Type="http://schemas.openxmlformats.org/officeDocument/2006/relationships/hyperlink" Target="https://www.rubio.senate.gov/public/index.cfm/2021/5/rubio-markey-introduce-secure-equipment-act-to-close-the-security-loophole-and-address-the-china-tech-threat" TargetMode="External" /><Relationship Id="rId8" Type="http://schemas.openxmlformats.org/officeDocument/2006/relationships/hyperlink" Target="https://scalise.house.gov/media/press-releases/scalise-eshoo-introduce-bill-protect-us-telecom-networks-against-chinese" TargetMode="External" /><Relationship Id="rId9" Type="http://schemas.openxmlformats.org/officeDocument/2006/relationships/hyperlink" Target="https://docs.fcc.gov/public/attachments/FCC-21-73A1.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