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3322786F"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4C730A33" w14:textId="77777777">
      <w:pPr>
        <w:pStyle w:val="Title"/>
        <w:rPr>
          <w:szCs w:val="22"/>
        </w:rPr>
      </w:pPr>
      <w:r>
        <w:rPr>
          <w:szCs w:val="22"/>
        </w:rPr>
        <w:t xml:space="preserve">D/B/A AT&amp;T </w:t>
      </w:r>
      <w:r w:rsidR="00403362">
        <w:rPr>
          <w:szCs w:val="22"/>
        </w:rPr>
        <w:t>OKLAHOMA</w:t>
      </w:r>
    </w:p>
    <w:p w:rsidR="00AC191A" w:rsidP="00AC191A" w14:paraId="745B1221" w14:textId="77777777">
      <w:pPr>
        <w:pStyle w:val="Title"/>
        <w:jc w:val="left"/>
        <w:rPr>
          <w:szCs w:val="22"/>
        </w:rPr>
      </w:pPr>
    </w:p>
    <w:p w:rsidR="00BB6E7C" w:rsidP="00585588" w14:paraId="64D36064" w14:textId="7F4E1DFA">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BD1E94">
        <w:rPr>
          <w:szCs w:val="22"/>
        </w:rPr>
        <w:t>453</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856EF0">
        <w:rPr>
          <w:szCs w:val="22"/>
        </w:rPr>
        <w:t xml:space="preserve">November </w:t>
      </w:r>
      <w:r w:rsidR="00B210E1">
        <w:rPr>
          <w:szCs w:val="22"/>
        </w:rPr>
        <w:t>18</w:t>
      </w:r>
      <w:r>
        <w:rPr>
          <w:szCs w:val="22"/>
        </w:rPr>
        <w:t>, 20</w:t>
      </w:r>
      <w:r w:rsidR="002E3F18">
        <w:rPr>
          <w:szCs w:val="22"/>
        </w:rPr>
        <w:t>2</w:t>
      </w:r>
      <w:r w:rsidR="00385B39">
        <w:rPr>
          <w:szCs w:val="22"/>
        </w:rPr>
        <w:t>1</w:t>
      </w:r>
    </w:p>
    <w:p w:rsidR="008961DF" w:rsidP="00585588" w14:paraId="1C25C574" w14:textId="4E565724">
      <w:pPr>
        <w:pStyle w:val="Title"/>
        <w:jc w:val="left"/>
        <w:rPr>
          <w:szCs w:val="22"/>
        </w:rPr>
      </w:pPr>
      <w:r w:rsidRPr="00F046EC">
        <w:rPr>
          <w:szCs w:val="22"/>
        </w:rPr>
        <w:t xml:space="preserve">Report No. </w:t>
      </w:r>
      <w:r>
        <w:rPr>
          <w:szCs w:val="22"/>
        </w:rPr>
        <w:t>NCD-</w:t>
      </w:r>
      <w:r w:rsidR="002E3F18">
        <w:rPr>
          <w:szCs w:val="22"/>
        </w:rPr>
        <w:t>3</w:t>
      </w:r>
      <w:r w:rsidR="00077C1F">
        <w:rPr>
          <w:szCs w:val="22"/>
        </w:rPr>
        <w:t>3</w:t>
      </w:r>
      <w:r w:rsidR="00B210E1">
        <w:rPr>
          <w:szCs w:val="22"/>
        </w:rPr>
        <w:t>61</w:t>
      </w:r>
    </w:p>
    <w:p w:rsidR="008961DF" w:rsidRPr="00F046EC" w:rsidP="00AC191A" w14:paraId="7014C6E8" w14:textId="77777777">
      <w:pPr>
        <w:pStyle w:val="Title"/>
        <w:jc w:val="left"/>
        <w:rPr>
          <w:szCs w:val="22"/>
        </w:rPr>
      </w:pPr>
    </w:p>
    <w:p w:rsidR="00877F45" w:rsidP="00877F45" w14:paraId="681FB55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37C4BE2" w14:textId="77777777">
      <w:pPr>
        <w:tabs>
          <w:tab w:val="left" w:pos="-720"/>
        </w:tabs>
        <w:suppressAutoHyphens/>
        <w:rPr>
          <w:szCs w:val="22"/>
        </w:rPr>
      </w:pPr>
    </w:p>
    <w:p w:rsidR="00646DE9" w:rsidRPr="00646DE9" w:rsidP="00E25608" w14:paraId="7277D3F2" w14:textId="77777777">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403362">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A0AE99D" w14:textId="77777777">
      <w:pPr>
        <w:tabs>
          <w:tab w:val="left" w:pos="-720"/>
        </w:tabs>
        <w:suppressAutoHyphens/>
        <w:rPr>
          <w:b/>
          <w:szCs w:val="22"/>
          <w:u w:val="single"/>
        </w:rPr>
      </w:pPr>
    </w:p>
    <w:p w:rsidR="006472D0" w:rsidP="006472D0" w14:paraId="0FB1323C"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BE0E790"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610"/>
        <w:gridCol w:w="1890"/>
      </w:tblGrid>
      <w:tr w14:paraId="7EA53976" w14:textId="77777777" w:rsidTr="002A205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E2048E5"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57993AE7" w14:textId="77777777">
            <w:pPr>
              <w:tabs>
                <w:tab w:val="left" w:pos="0"/>
              </w:tabs>
              <w:suppressAutoHyphens/>
              <w:rPr>
                <w:b/>
                <w:szCs w:val="22"/>
              </w:rPr>
            </w:pPr>
            <w:r w:rsidRPr="007E723C">
              <w:rPr>
                <w:b/>
                <w:szCs w:val="22"/>
              </w:rPr>
              <w:t>Type of Change(s)</w:t>
            </w:r>
          </w:p>
        </w:tc>
        <w:tc>
          <w:tcPr>
            <w:tcW w:w="2610" w:type="dxa"/>
            <w:shd w:val="clear" w:color="auto" w:fill="auto"/>
          </w:tcPr>
          <w:p w:rsidR="006472D0" w:rsidRPr="007E723C" w:rsidP="00091A8F" w14:paraId="2C759539"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35EA755D" w14:textId="77777777">
            <w:pPr>
              <w:tabs>
                <w:tab w:val="left" w:pos="0"/>
              </w:tabs>
              <w:suppressAutoHyphens/>
              <w:rPr>
                <w:b/>
                <w:szCs w:val="22"/>
              </w:rPr>
            </w:pPr>
            <w:r>
              <w:rPr>
                <w:b/>
                <w:szCs w:val="22"/>
              </w:rPr>
              <w:t xml:space="preserve">Planned </w:t>
            </w:r>
            <w:r w:rsidRPr="007E723C">
              <w:rPr>
                <w:b/>
                <w:szCs w:val="22"/>
              </w:rPr>
              <w:t>Implementation Date(s)</w:t>
            </w:r>
          </w:p>
        </w:tc>
      </w:tr>
      <w:tr w14:paraId="08CA5442" w14:textId="77777777" w:rsidTr="002A2051">
        <w:tblPrEx>
          <w:tblW w:w="9360" w:type="dxa"/>
          <w:tblInd w:w="-5" w:type="dxa"/>
          <w:tblLayout w:type="fixed"/>
          <w:tblLook w:val="01E0"/>
        </w:tblPrEx>
        <w:trPr>
          <w:trHeight w:val="2807"/>
        </w:trPr>
        <w:tc>
          <w:tcPr>
            <w:tcW w:w="1890" w:type="dxa"/>
          </w:tcPr>
          <w:p w:rsidR="006472D0" w:rsidRPr="00E13AE3" w:rsidP="00091A8F" w14:paraId="239A6B6A" w14:textId="38419CC2">
            <w:pPr>
              <w:autoSpaceDE w:val="0"/>
              <w:autoSpaceDN w:val="0"/>
              <w:adjustRightInd w:val="0"/>
              <w:rPr>
                <w:bCs/>
                <w:szCs w:val="22"/>
              </w:rPr>
            </w:pPr>
            <w:r>
              <w:rPr>
                <w:bCs/>
                <w:szCs w:val="22"/>
              </w:rPr>
              <w:t>ATT20</w:t>
            </w:r>
            <w:r w:rsidR="00321A3A">
              <w:rPr>
                <w:bCs/>
                <w:szCs w:val="22"/>
              </w:rPr>
              <w:t>2</w:t>
            </w:r>
            <w:r w:rsidR="002D4196">
              <w:rPr>
                <w:bCs/>
                <w:szCs w:val="22"/>
              </w:rPr>
              <w:t>1</w:t>
            </w:r>
            <w:r w:rsidR="00856EF0">
              <w:rPr>
                <w:bCs/>
                <w:szCs w:val="22"/>
              </w:rPr>
              <w:t>10</w:t>
            </w:r>
            <w:r w:rsidR="00617387">
              <w:rPr>
                <w:bCs/>
                <w:szCs w:val="22"/>
              </w:rPr>
              <w:t>21</w:t>
            </w:r>
            <w:r>
              <w:rPr>
                <w:bCs/>
                <w:szCs w:val="22"/>
              </w:rPr>
              <w:t>C.1</w:t>
            </w:r>
          </w:p>
        </w:tc>
        <w:tc>
          <w:tcPr>
            <w:tcW w:w="2970" w:type="dxa"/>
            <w:shd w:val="clear" w:color="auto" w:fill="auto"/>
          </w:tcPr>
          <w:p w:rsidR="006472D0" w:rsidRPr="00C74C63" w:rsidP="00ED39DE" w14:paraId="76178B9C" w14:textId="3926D26B">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Pr>
                <w:szCs w:val="22"/>
              </w:rPr>
              <w:t>s</w:t>
            </w:r>
            <w:r w:rsidRPr="00132CA3">
              <w:rPr>
                <w:szCs w:val="22"/>
              </w:rPr>
              <w:t xml:space="preserve"> (DA</w:t>
            </w:r>
            <w:r>
              <w:rPr>
                <w:szCs w:val="22"/>
              </w:rPr>
              <w:t>s</w:t>
            </w:r>
            <w:r w:rsidRPr="00132CA3">
              <w:rPr>
                <w:szCs w:val="22"/>
              </w:rPr>
              <w:t>)</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2610" w:type="dxa"/>
            <w:shd w:val="clear" w:color="auto" w:fill="auto"/>
          </w:tcPr>
          <w:p w:rsidR="006472D0" w:rsidRPr="00617387" w:rsidP="00F315E0" w14:paraId="0053D22B" w14:textId="16D28F55">
            <w:pPr>
              <w:autoSpaceDE w:val="0"/>
              <w:autoSpaceDN w:val="0"/>
              <w:adjustRightInd w:val="0"/>
              <w:rPr>
                <w:b/>
                <w:bCs/>
                <w:szCs w:val="22"/>
              </w:rPr>
            </w:pPr>
            <w:r w:rsidRPr="002056DE">
              <w:rPr>
                <w:szCs w:val="22"/>
              </w:rPr>
              <w:t xml:space="preserve">In the following wire center in </w:t>
            </w:r>
            <w:r w:rsidR="002854C9">
              <w:rPr>
                <w:szCs w:val="22"/>
              </w:rPr>
              <w:t>Alva</w:t>
            </w:r>
            <w:r>
              <w:rPr>
                <w:szCs w:val="22"/>
              </w:rPr>
              <w:t>, OK</w:t>
            </w:r>
            <w:r w:rsidRPr="002056DE">
              <w:rPr>
                <w:szCs w:val="22"/>
              </w:rPr>
              <w:t xml:space="preserve">: </w:t>
            </w:r>
            <w:r w:rsidR="002854C9">
              <w:rPr>
                <w:szCs w:val="22"/>
              </w:rPr>
              <w:t>Alva</w:t>
            </w:r>
            <w:r>
              <w:rPr>
                <w:szCs w:val="22"/>
              </w:rPr>
              <w:t xml:space="preserve"> </w:t>
            </w:r>
            <w:r w:rsidRPr="002056DE">
              <w:rPr>
                <w:szCs w:val="22"/>
              </w:rPr>
              <w:t>(</w:t>
            </w:r>
            <w:r w:rsidR="002854C9">
              <w:rPr>
                <w:szCs w:val="22"/>
              </w:rPr>
              <w:t>ALVA</w:t>
            </w:r>
            <w:r w:rsidR="00CE3432">
              <w:rPr>
                <w:szCs w:val="22"/>
              </w:rPr>
              <w:t>OKMA</w:t>
            </w:r>
            <w:r w:rsidRPr="002056DE">
              <w:rPr>
                <w:szCs w:val="22"/>
              </w:rPr>
              <w:t xml:space="preserve">); for copper facilities </w:t>
            </w:r>
            <w:r>
              <w:rPr>
                <w:szCs w:val="22"/>
              </w:rPr>
              <w:t xml:space="preserve">associated with the DA </w:t>
            </w:r>
            <w:r w:rsidR="002854C9">
              <w:rPr>
                <w:szCs w:val="22"/>
              </w:rPr>
              <w:t>1012</w:t>
            </w:r>
            <w:r w:rsidR="00CE3432">
              <w:rPr>
                <w:szCs w:val="22"/>
              </w:rPr>
              <w:t>ZA</w:t>
            </w:r>
            <w:r w:rsidR="00FC4E23">
              <w:rPr>
                <w:szCs w:val="22"/>
              </w:rPr>
              <w:t xml:space="preserve">, </w:t>
            </w:r>
            <w:r w:rsidR="002854C9">
              <w:rPr>
                <w:szCs w:val="22"/>
              </w:rPr>
              <w:t xml:space="preserve">1014ZA, 1024ZA, 1028ZA, 2022ZA </w:t>
            </w:r>
            <w:r w:rsidR="0055089D">
              <w:rPr>
                <w:szCs w:val="22"/>
              </w:rPr>
              <w:t xml:space="preserve">&amp; </w:t>
            </w:r>
            <w:r w:rsidR="002854C9">
              <w:rPr>
                <w:szCs w:val="22"/>
              </w:rPr>
              <w:t>4132ZA</w:t>
            </w:r>
            <w:r w:rsidR="00FB6600">
              <w:rPr>
                <w:szCs w:val="22"/>
              </w:rPr>
              <w:t xml:space="preserve"> </w:t>
            </w:r>
            <w:r>
              <w:rPr>
                <w:szCs w:val="22"/>
              </w:rPr>
              <w:t>locations listed in the Impacted Addresses attachment to AT&amp;T’s notice</w:t>
            </w:r>
            <w:r w:rsidRPr="002056DE" w:rsidR="00EF5AE3">
              <w:rPr>
                <w:szCs w:val="22"/>
              </w:rPr>
              <w:t>.</w:t>
            </w:r>
          </w:p>
        </w:tc>
        <w:tc>
          <w:tcPr>
            <w:tcW w:w="1890" w:type="dxa"/>
            <w:shd w:val="clear" w:color="auto" w:fill="auto"/>
          </w:tcPr>
          <w:p w:rsidR="00F87FA2" w:rsidP="00091A8F" w14:paraId="2AB25DB7" w14:textId="77777777">
            <w:pPr>
              <w:tabs>
                <w:tab w:val="left" w:pos="0"/>
              </w:tabs>
              <w:suppressAutoHyphens/>
              <w:rPr>
                <w:szCs w:val="22"/>
              </w:rPr>
            </w:pPr>
            <w:r>
              <w:rPr>
                <w:szCs w:val="22"/>
              </w:rPr>
              <w:t xml:space="preserve">On or after </w:t>
            </w:r>
          </w:p>
          <w:p w:rsidR="006472D0" w:rsidRPr="00E86088" w:rsidP="00091A8F" w14:paraId="17C201C3" w14:textId="2C9BDCFC">
            <w:pPr>
              <w:tabs>
                <w:tab w:val="left" w:pos="0"/>
              </w:tabs>
              <w:suppressAutoHyphens/>
              <w:rPr>
                <w:b/>
                <w:bCs/>
                <w:szCs w:val="22"/>
              </w:rPr>
            </w:pPr>
            <w:r>
              <w:rPr>
                <w:szCs w:val="22"/>
              </w:rPr>
              <w:t>December 4</w:t>
            </w:r>
            <w:r w:rsidR="00132CFA">
              <w:rPr>
                <w:szCs w:val="22"/>
              </w:rPr>
              <w:t>, 2021</w:t>
            </w:r>
          </w:p>
        </w:tc>
      </w:tr>
    </w:tbl>
    <w:p w:rsidR="00D65046" w:rsidP="006472D0" w14:paraId="550F2737" w14:textId="77777777">
      <w:pPr>
        <w:rPr>
          <w:szCs w:val="22"/>
        </w:rPr>
      </w:pPr>
    </w:p>
    <w:p w:rsidR="003922B3" w14:paraId="41604E82" w14:textId="77777777">
      <w:pPr>
        <w:rPr>
          <w:szCs w:val="22"/>
        </w:rPr>
      </w:pPr>
      <w:r>
        <w:rPr>
          <w:szCs w:val="22"/>
        </w:rPr>
        <w:br w:type="page"/>
      </w:r>
    </w:p>
    <w:p w:rsidR="006472D0" w:rsidRPr="005833F6" w:rsidP="006472D0" w14:paraId="26B0AFCA" w14:textId="77777777">
      <w:pPr>
        <w:rPr>
          <w:szCs w:val="22"/>
        </w:rPr>
      </w:pPr>
      <w:r w:rsidRPr="005833F6">
        <w:rPr>
          <w:szCs w:val="22"/>
        </w:rPr>
        <w:t>Incumbent LEC contact:</w:t>
      </w:r>
    </w:p>
    <w:p w:rsidR="006472D0" w:rsidRPr="00596841" w:rsidP="006472D0" w14:paraId="635494B3" w14:textId="77777777">
      <w:pPr>
        <w:rPr>
          <w:szCs w:val="22"/>
        </w:rPr>
      </w:pPr>
      <w:r>
        <w:rPr>
          <w:szCs w:val="22"/>
        </w:rPr>
        <w:t>Victoria Carter-Hall</w:t>
      </w:r>
    </w:p>
    <w:p w:rsidR="006472D0" w:rsidRPr="00596841" w:rsidP="006472D0" w14:paraId="3ED9795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81097B5" w14:textId="77777777">
      <w:pPr>
        <w:rPr>
          <w:szCs w:val="22"/>
        </w:rPr>
      </w:pPr>
      <w:r>
        <w:rPr>
          <w:szCs w:val="22"/>
        </w:rPr>
        <w:t>AT&amp;T Services, Inc.</w:t>
      </w:r>
    </w:p>
    <w:p w:rsidR="006472D0" w:rsidP="006472D0" w14:paraId="6F98CED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44346D9" w14:textId="77777777">
      <w:pPr>
        <w:rPr>
          <w:szCs w:val="22"/>
        </w:rPr>
      </w:pPr>
      <w:r>
        <w:rPr>
          <w:szCs w:val="22"/>
        </w:rPr>
        <w:t>Washington, D.C. 20036</w:t>
      </w:r>
    </w:p>
    <w:p w:rsidR="006472D0" w:rsidRPr="00D90B7D" w:rsidP="006472D0" w14:paraId="3401D6B6" w14:textId="77777777">
      <w:pPr>
        <w:rPr>
          <w:b/>
          <w:bCs/>
          <w:szCs w:val="22"/>
        </w:rPr>
      </w:pPr>
      <w:r w:rsidRPr="00596841">
        <w:rPr>
          <w:szCs w:val="22"/>
        </w:rPr>
        <w:t>Phone</w:t>
      </w:r>
      <w:r w:rsidRPr="00596841">
        <w:rPr>
          <w:szCs w:val="22"/>
        </w:rPr>
        <w:t>: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596E2D4" w14:textId="77777777">
      <w:pPr>
        <w:tabs>
          <w:tab w:val="left" w:pos="-720"/>
        </w:tabs>
        <w:suppressAutoHyphens/>
        <w:rPr>
          <w:szCs w:val="22"/>
        </w:rPr>
      </w:pPr>
    </w:p>
    <w:p w:rsidR="006E7B5B" w:rsidRPr="00082C34" w:rsidP="008D15A6" w14:paraId="4888A94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w:t>
      </w:r>
      <w:r w:rsidRPr="00546004">
        <w:rPr>
          <w:szCs w:val="22"/>
        </w:rPr>
        <w:t>be filed</w:t>
      </w:r>
      <w:r w:rsidRPr="00546004">
        <w:rPr>
          <w:szCs w:val="22"/>
        </w:rPr>
        <w:t xml:space="preserve">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 xml:space="preserve">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w:t>
      </w:r>
      <w:r w:rsidRPr="00546004">
        <w:rPr>
          <w:szCs w:val="22"/>
        </w:rPr>
        <w:t>be terminated</w:t>
      </w:r>
      <w:r w:rsidRPr="00546004">
        <w:rPr>
          <w:szCs w:val="22"/>
        </w:rPr>
        <w:t>, and the docket will be closed.</w:t>
      </w:r>
    </w:p>
    <w:p w:rsidR="006E7B5B" w:rsidRPr="007F510F" w:rsidP="006E7B5B" w14:paraId="3DD29621" w14:textId="77777777">
      <w:pPr>
        <w:rPr>
          <w:szCs w:val="22"/>
        </w:rPr>
      </w:pPr>
    </w:p>
    <w:p w:rsidR="006E7B5B" w:rsidRPr="00D45146" w:rsidP="008D15A6" w14:paraId="52D6569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xml:space="preserve">.  Filers should follow the instructions provided on the Web site for submitting comments.  </w:t>
      </w:r>
      <w:r w:rsidRPr="001454F9">
        <w:rPr>
          <w:szCs w:val="22"/>
        </w:rPr>
        <w:t>Generally, only</w:t>
      </w:r>
      <w:r w:rsidRPr="001454F9">
        <w:rPr>
          <w:szCs w:val="22"/>
        </w:rPr>
        <w:t xml:space="preserve">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w:t>
      </w:r>
      <w:r w:rsidRPr="00D954C4">
        <w:rPr>
          <w:szCs w:val="22"/>
        </w:rPr>
        <w:t xml:space="preserve"> the comments to be considered in conjunction with this proceeding.  All information submitted including names and addresses will be publicly available via the web.</w:t>
      </w:r>
    </w:p>
    <w:p w:rsidR="006E7B5B" w:rsidP="006E7B5B" w14:paraId="03C3C5B5" w14:textId="77777777">
      <w:pPr>
        <w:tabs>
          <w:tab w:val="left" w:pos="0"/>
        </w:tabs>
        <w:suppressAutoHyphens/>
        <w:rPr>
          <w:szCs w:val="22"/>
        </w:rPr>
      </w:pPr>
    </w:p>
    <w:p w:rsidR="006E7B5B" w:rsidP="006E7B5B" w14:paraId="088459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Parties who choose to file paper copies must file an original and one copy of each filing.  Such filings can </w:t>
      </w:r>
      <w:r w:rsidR="002F5715">
        <w:rPr>
          <w:szCs w:val="22"/>
        </w:rPr>
        <w:t>be sent</w:t>
      </w:r>
      <w:r w:rsidR="002F5715">
        <w:rPr>
          <w:szCs w:val="22"/>
        </w:rPr>
        <w:t xml:space="preserve">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w:t>
      </w:r>
      <w:r w:rsidRPr="00C33D1C" w:rsidR="00C33D1C">
        <w:rPr>
          <w:snapToGrid w:val="0"/>
          <w:kern w:val="28"/>
          <w:szCs w:val="22"/>
        </w:rPr>
        <w:t>be sent</w:t>
      </w:r>
      <w:r w:rsidRPr="00C33D1C" w:rsidR="00C33D1C">
        <w:rPr>
          <w:snapToGrid w:val="0"/>
          <w:kern w:val="28"/>
          <w:szCs w:val="22"/>
        </w:rPr>
        <w:t xml:space="preserve"> to 9050 Junction Drive, Annapolis Junction, MD 20701.  U.S. Postal </w:t>
      </w:r>
      <w:r w:rsidRPr="00C33D1C" w:rsidR="00C33D1C">
        <w:rPr>
          <w:snapToGrid w:val="0"/>
          <w:kern w:val="28"/>
          <w:szCs w:val="22"/>
        </w:rPr>
        <w:t xml:space="preserve">Service first-class, Express, and Priority mail must </w:t>
      </w:r>
      <w:r w:rsidRPr="00C33D1C" w:rsidR="00C33D1C">
        <w:rPr>
          <w:snapToGrid w:val="0"/>
          <w:kern w:val="28"/>
          <w:szCs w:val="22"/>
        </w:rPr>
        <w:t>be addressed</w:t>
      </w:r>
      <w:r w:rsidRPr="00C33D1C" w:rsidR="00C33D1C">
        <w:rPr>
          <w:snapToGrid w:val="0"/>
          <w:kern w:val="28"/>
          <w:szCs w:val="22"/>
        </w:rPr>
        <w:t xml:space="preserve"> to 45 L Street, NE, Washington, D.C. 20554.</w:t>
      </w:r>
    </w:p>
    <w:p w:rsidR="007868C8" w:rsidP="006E7B5B" w14:paraId="58738F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49E58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w:t>
      </w:r>
      <w:r w:rsidR="002F5715">
        <w:rPr>
          <w:szCs w:val="22"/>
        </w:rPr>
        <w:t>is considered</w:t>
      </w:r>
      <w:r w:rsidR="002F5715">
        <w:rPr>
          <w:szCs w:val="22"/>
        </w:rPr>
        <w:t xml:space="preserve">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w:t>
      </w:r>
      <w:r w:rsidR="002F5715">
        <w:t>are reminded</w:t>
      </w:r>
      <w:r w:rsidR="002F5715">
        <w:t xml:space="preserve">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w:t>
      </w:r>
      <w:r w:rsidR="002F5715">
        <w:t>are deemed</w:t>
      </w:r>
      <w:r w:rsidR="002F5715">
        <w:t xml:space="preserve"> to be written </w:t>
      </w:r>
      <w:r w:rsidR="002F5715">
        <w:rPr>
          <w:i/>
          <w:iCs/>
        </w:rPr>
        <w:t>ex parte</w:t>
      </w:r>
      <w:r w:rsidR="002F5715">
        <w:t xml:space="preserve"> presentations and must be filed consistent with rule 1.1206(b).</w:t>
      </w:r>
    </w:p>
    <w:p w:rsidR="006E7B5B" w:rsidP="006E7B5B" w14:paraId="01F66C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A818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 xml:space="preserve">We ask that requests for accommodations be made as soon as possible </w:t>
      </w:r>
      <w:r w:rsidRPr="00057C62" w:rsidR="00057C62">
        <w:rPr>
          <w:szCs w:val="22"/>
        </w:rPr>
        <w:t>in order to</w:t>
      </w:r>
      <w:r w:rsidRPr="00057C62" w:rsidR="00057C62">
        <w:rPr>
          <w:szCs w:val="22"/>
        </w:rPr>
        <w:t xml:space="preserve">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CB57C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97EC36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F1A824E" w14:textId="77777777">
      <w:pPr>
        <w:tabs>
          <w:tab w:val="left" w:pos="0"/>
        </w:tabs>
        <w:suppressAutoHyphens/>
        <w:rPr>
          <w:b/>
          <w:szCs w:val="22"/>
        </w:rPr>
      </w:pPr>
    </w:p>
    <w:p w:rsidR="008961DF" w:rsidRPr="0011693F" w:rsidP="0063533E" w14:paraId="6705E64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607E25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782E3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9672D5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64288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197EB8AD" w14:textId="77777777">
      <w:r>
        <w:separator/>
      </w:r>
    </w:p>
  </w:footnote>
  <w:footnote w:type="continuationSeparator" w:id="1">
    <w:p w:rsidR="002F7FF4" w14:paraId="10AA7DA2" w14:textId="77777777">
      <w:r>
        <w:continuationSeparator/>
      </w:r>
    </w:p>
  </w:footnote>
  <w:footnote w:id="2">
    <w:p w:rsidR="00802DC6" w:rsidP="00802DC6" w14:paraId="556936E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06C1B1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E579BF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2073A6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A5976C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w:t>
      </w:r>
      <w:r>
        <w:rPr>
          <w:sz w:val="20"/>
        </w:rPr>
        <w:t>be deemed</w:t>
      </w:r>
      <w:r>
        <w:rPr>
          <w:sz w:val="20"/>
        </w:rPr>
        <w:t xml:space="preserve"> final on the 90th day after the release of the Commission’s public notice of the filing pursuant to section 51.333(b)(2).  However, notice of copper retirement involving facilities that are not </w:t>
      </w:r>
      <w:bookmarkStart w:id="1" w:name="_Hlk517347652"/>
      <w:r>
        <w:rPr>
          <w:sz w:val="20"/>
        </w:rPr>
        <w:t>being used</w:t>
      </w:r>
      <w:r>
        <w:rPr>
          <w:sz w:val="20"/>
        </w:rPr>
        <w:t xml:space="preserve">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52EDB4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19F201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6A27EE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8758925" r:id="rId2"/>
      </w:pict>
    </w:r>
    <w:r>
      <w:rPr>
        <w:rFonts w:ascii="News Gothic MT" w:hAnsi="News Gothic MT"/>
        <w:b/>
        <w:kern w:val="28"/>
        <w:sz w:val="96"/>
      </w:rPr>
      <w:t>PUBLIC NOTICE</w:t>
    </w:r>
  </w:p>
  <w:p w:rsidR="00E37281" w:rsidRPr="00EA17C2" w:rsidP="00EA17C2" w14:paraId="22EA5CA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58AD"/>
    <w:rsid w:val="000C7FE5"/>
    <w:rsid w:val="000F19B3"/>
    <w:rsid w:val="000F4691"/>
    <w:rsid w:val="000F5CCE"/>
    <w:rsid w:val="001001FA"/>
    <w:rsid w:val="001051DF"/>
    <w:rsid w:val="0011520F"/>
    <w:rsid w:val="0011693F"/>
    <w:rsid w:val="0011719F"/>
    <w:rsid w:val="00117982"/>
    <w:rsid w:val="00120290"/>
    <w:rsid w:val="00132CA3"/>
    <w:rsid w:val="00132CFA"/>
    <w:rsid w:val="00134FA8"/>
    <w:rsid w:val="00136782"/>
    <w:rsid w:val="00143545"/>
    <w:rsid w:val="001448E1"/>
    <w:rsid w:val="001454F9"/>
    <w:rsid w:val="001540EF"/>
    <w:rsid w:val="00156129"/>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440F"/>
    <w:rsid w:val="002316C5"/>
    <w:rsid w:val="00232613"/>
    <w:rsid w:val="00233753"/>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2AC"/>
    <w:rsid w:val="0029697E"/>
    <w:rsid w:val="00296DD0"/>
    <w:rsid w:val="002A09FF"/>
    <w:rsid w:val="002A1456"/>
    <w:rsid w:val="002A172A"/>
    <w:rsid w:val="002A1AA0"/>
    <w:rsid w:val="002A2051"/>
    <w:rsid w:val="002B013E"/>
    <w:rsid w:val="002B483F"/>
    <w:rsid w:val="002B4B36"/>
    <w:rsid w:val="002B4F56"/>
    <w:rsid w:val="002C24BA"/>
    <w:rsid w:val="002D3667"/>
    <w:rsid w:val="002D4196"/>
    <w:rsid w:val="002D64FE"/>
    <w:rsid w:val="002D783A"/>
    <w:rsid w:val="002E05A5"/>
    <w:rsid w:val="002E3F18"/>
    <w:rsid w:val="002E7FD5"/>
    <w:rsid w:val="002F413C"/>
    <w:rsid w:val="002F5715"/>
    <w:rsid w:val="002F7FF4"/>
    <w:rsid w:val="00301916"/>
    <w:rsid w:val="00305A63"/>
    <w:rsid w:val="003118BC"/>
    <w:rsid w:val="00321A3A"/>
    <w:rsid w:val="003229AE"/>
    <w:rsid w:val="00323955"/>
    <w:rsid w:val="00323CD4"/>
    <w:rsid w:val="00330A11"/>
    <w:rsid w:val="00341D4B"/>
    <w:rsid w:val="00344630"/>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2328"/>
    <w:rsid w:val="003F3CA8"/>
    <w:rsid w:val="003F605D"/>
    <w:rsid w:val="003F7153"/>
    <w:rsid w:val="00401EE2"/>
    <w:rsid w:val="004023EE"/>
    <w:rsid w:val="00403362"/>
    <w:rsid w:val="004121A6"/>
    <w:rsid w:val="0041443B"/>
    <w:rsid w:val="00417FC4"/>
    <w:rsid w:val="00423E9F"/>
    <w:rsid w:val="004267BD"/>
    <w:rsid w:val="00426B6E"/>
    <w:rsid w:val="00430226"/>
    <w:rsid w:val="004302C8"/>
    <w:rsid w:val="0043160B"/>
    <w:rsid w:val="0043327D"/>
    <w:rsid w:val="004336A2"/>
    <w:rsid w:val="00435796"/>
    <w:rsid w:val="0045147B"/>
    <w:rsid w:val="00451939"/>
    <w:rsid w:val="004520F7"/>
    <w:rsid w:val="0045294A"/>
    <w:rsid w:val="00453595"/>
    <w:rsid w:val="00470AD0"/>
    <w:rsid w:val="00474922"/>
    <w:rsid w:val="00480EAF"/>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445D"/>
    <w:rsid w:val="00595EDF"/>
    <w:rsid w:val="00596841"/>
    <w:rsid w:val="005A0D56"/>
    <w:rsid w:val="005A35F1"/>
    <w:rsid w:val="005A5B41"/>
    <w:rsid w:val="005C13D7"/>
    <w:rsid w:val="005C285B"/>
    <w:rsid w:val="005C2D99"/>
    <w:rsid w:val="005C304E"/>
    <w:rsid w:val="005C45D4"/>
    <w:rsid w:val="005C7CFB"/>
    <w:rsid w:val="005D2C28"/>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E1C"/>
    <w:rsid w:val="00617387"/>
    <w:rsid w:val="006279E0"/>
    <w:rsid w:val="00633EE1"/>
    <w:rsid w:val="0063503D"/>
    <w:rsid w:val="0063533E"/>
    <w:rsid w:val="00637AC4"/>
    <w:rsid w:val="006410A8"/>
    <w:rsid w:val="00646DE9"/>
    <w:rsid w:val="00646FE0"/>
    <w:rsid w:val="006472D0"/>
    <w:rsid w:val="00650540"/>
    <w:rsid w:val="00653104"/>
    <w:rsid w:val="00656F71"/>
    <w:rsid w:val="006578CF"/>
    <w:rsid w:val="00671064"/>
    <w:rsid w:val="00671C4D"/>
    <w:rsid w:val="006745B8"/>
    <w:rsid w:val="00676590"/>
    <w:rsid w:val="00676FA3"/>
    <w:rsid w:val="006776C5"/>
    <w:rsid w:val="00683E9E"/>
    <w:rsid w:val="00684A76"/>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9E4"/>
    <w:rsid w:val="007A0DA0"/>
    <w:rsid w:val="007A7CA5"/>
    <w:rsid w:val="007B1371"/>
    <w:rsid w:val="007B24CF"/>
    <w:rsid w:val="007B35ED"/>
    <w:rsid w:val="007B5499"/>
    <w:rsid w:val="007B7733"/>
    <w:rsid w:val="007C1615"/>
    <w:rsid w:val="007C6723"/>
    <w:rsid w:val="007C75AB"/>
    <w:rsid w:val="007D1D91"/>
    <w:rsid w:val="007E642F"/>
    <w:rsid w:val="007E723C"/>
    <w:rsid w:val="007F50F8"/>
    <w:rsid w:val="007F510F"/>
    <w:rsid w:val="007F6A4D"/>
    <w:rsid w:val="00802DC6"/>
    <w:rsid w:val="00803023"/>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64E"/>
    <w:rsid w:val="008D7EAF"/>
    <w:rsid w:val="008E6859"/>
    <w:rsid w:val="008E6AA7"/>
    <w:rsid w:val="008E70EF"/>
    <w:rsid w:val="008F69C3"/>
    <w:rsid w:val="0090009F"/>
    <w:rsid w:val="00902225"/>
    <w:rsid w:val="00903B50"/>
    <w:rsid w:val="00903DBD"/>
    <w:rsid w:val="0090453E"/>
    <w:rsid w:val="00905E78"/>
    <w:rsid w:val="009067D1"/>
    <w:rsid w:val="0092491F"/>
    <w:rsid w:val="00925F62"/>
    <w:rsid w:val="00927148"/>
    <w:rsid w:val="0093057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605"/>
    <w:rsid w:val="00A048C3"/>
    <w:rsid w:val="00A05467"/>
    <w:rsid w:val="00A0670A"/>
    <w:rsid w:val="00A070F5"/>
    <w:rsid w:val="00A17513"/>
    <w:rsid w:val="00A2769B"/>
    <w:rsid w:val="00A35629"/>
    <w:rsid w:val="00A55B50"/>
    <w:rsid w:val="00A55DCE"/>
    <w:rsid w:val="00A62FA8"/>
    <w:rsid w:val="00A70774"/>
    <w:rsid w:val="00A8492C"/>
    <w:rsid w:val="00A87CB1"/>
    <w:rsid w:val="00A9228B"/>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A02"/>
    <w:rsid w:val="00AD4F5A"/>
    <w:rsid w:val="00AD65B5"/>
    <w:rsid w:val="00AD7742"/>
    <w:rsid w:val="00AE0649"/>
    <w:rsid w:val="00AE56A8"/>
    <w:rsid w:val="00AF30C8"/>
    <w:rsid w:val="00AF3F53"/>
    <w:rsid w:val="00AF5F34"/>
    <w:rsid w:val="00AF6179"/>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844E3"/>
    <w:rsid w:val="00B8749E"/>
    <w:rsid w:val="00B93B4A"/>
    <w:rsid w:val="00BA141F"/>
    <w:rsid w:val="00BA69DF"/>
    <w:rsid w:val="00BB0AC8"/>
    <w:rsid w:val="00BB1759"/>
    <w:rsid w:val="00BB431E"/>
    <w:rsid w:val="00BB6124"/>
    <w:rsid w:val="00BB6E7C"/>
    <w:rsid w:val="00BC46EF"/>
    <w:rsid w:val="00BC4A5E"/>
    <w:rsid w:val="00BD1E94"/>
    <w:rsid w:val="00BE05AB"/>
    <w:rsid w:val="00BE13DF"/>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4C7C"/>
    <w:rsid w:val="00CC662F"/>
    <w:rsid w:val="00CD4D6C"/>
    <w:rsid w:val="00CE1BB1"/>
    <w:rsid w:val="00CE3432"/>
    <w:rsid w:val="00CE4876"/>
    <w:rsid w:val="00CE62A7"/>
    <w:rsid w:val="00CF1B1B"/>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3B7E"/>
    <w:rsid w:val="00D55A26"/>
    <w:rsid w:val="00D612D7"/>
    <w:rsid w:val="00D65046"/>
    <w:rsid w:val="00D735E2"/>
    <w:rsid w:val="00D86637"/>
    <w:rsid w:val="00D90B7D"/>
    <w:rsid w:val="00D93106"/>
    <w:rsid w:val="00D954C4"/>
    <w:rsid w:val="00DA14AB"/>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60F5C"/>
    <w:rsid w:val="00F614ED"/>
    <w:rsid w:val="00F62C5D"/>
    <w:rsid w:val="00F638A7"/>
    <w:rsid w:val="00F6512B"/>
    <w:rsid w:val="00F70EE0"/>
    <w:rsid w:val="00F718C2"/>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56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