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C4693CB" w14:textId="6A211ED6">
      <w:pPr>
        <w:spacing w:before="60"/>
        <w:jc w:val="right"/>
        <w:rPr>
          <w:b/>
          <w:sz w:val="24"/>
        </w:rPr>
      </w:pPr>
      <w:r>
        <w:rPr>
          <w:b/>
          <w:sz w:val="24"/>
        </w:rPr>
        <w:t xml:space="preserve">Released:  </w:t>
      </w:r>
      <w:r w:rsidR="006D025A">
        <w:rPr>
          <w:b/>
          <w:sz w:val="24"/>
        </w:rPr>
        <w:t>Dec</w:t>
      </w:r>
      <w:r w:rsidR="006A6537">
        <w:rPr>
          <w:b/>
          <w:sz w:val="24"/>
        </w:rPr>
        <w:t>ember</w:t>
      </w:r>
      <w:r w:rsidR="00EF31DA">
        <w:rPr>
          <w:b/>
          <w:sz w:val="24"/>
        </w:rPr>
        <w:t xml:space="preserve"> </w:t>
      </w:r>
      <w:r w:rsidR="006D025A">
        <w:rPr>
          <w:b/>
          <w:sz w:val="24"/>
        </w:rPr>
        <w:t>1</w:t>
      </w:r>
      <w:r w:rsidR="00EF31DA">
        <w:rPr>
          <w:b/>
          <w:sz w:val="24"/>
        </w:rPr>
        <w:t>, 202</w:t>
      </w:r>
      <w:r w:rsidR="00310734">
        <w:rPr>
          <w:b/>
          <w:sz w:val="24"/>
        </w:rPr>
        <w:t>1</w:t>
      </w:r>
    </w:p>
    <w:p w:rsidR="00013A8B" w:rsidP="00013A8B" w14:paraId="5AA099DA" w14:textId="77777777">
      <w:pPr>
        <w:jc w:val="right"/>
        <w:rPr>
          <w:sz w:val="24"/>
        </w:rPr>
      </w:pPr>
    </w:p>
    <w:p w:rsidR="00013A8B" w:rsidRPr="0000175C" w:rsidP="00013A8B" w14:paraId="5E3B287E" w14:textId="28D06586">
      <w:pPr>
        <w:spacing w:after="240"/>
        <w:jc w:val="center"/>
        <w:rPr>
          <w:b/>
          <w:caps/>
          <w:szCs w:val="22"/>
        </w:rPr>
      </w:pPr>
      <w:r w:rsidRPr="0000175C">
        <w:rPr>
          <w:b/>
          <w:caps/>
          <w:szCs w:val="22"/>
        </w:rPr>
        <w:t>FCC ANNOUNCES</w:t>
      </w:r>
    </w:p>
    <w:p w:rsidR="00F96F63" w:rsidP="00310734" w14:paraId="379F3CE9" w14:textId="1086D37F">
      <w:pPr>
        <w:jc w:val="center"/>
        <w:rPr>
          <w:b/>
          <w:szCs w:val="22"/>
        </w:rPr>
      </w:pPr>
      <w:r w:rsidRPr="0000175C">
        <w:rPr>
          <w:b/>
          <w:szCs w:val="22"/>
        </w:rPr>
        <w:t xml:space="preserve">DECOMMISSIONING </w:t>
      </w:r>
      <w:r w:rsidRPr="0000175C" w:rsidR="00310734">
        <w:rPr>
          <w:b/>
          <w:szCs w:val="22"/>
        </w:rPr>
        <w:t xml:space="preserve">OF FEE FILER AS METHOD OF PAYMENT </w:t>
      </w:r>
      <w:r w:rsidRPr="0000175C" w:rsidR="00ED3D07">
        <w:rPr>
          <w:b/>
          <w:szCs w:val="22"/>
        </w:rPr>
        <w:t>AND REPL</w:t>
      </w:r>
      <w:r w:rsidR="00804331">
        <w:rPr>
          <w:b/>
          <w:szCs w:val="22"/>
        </w:rPr>
        <w:t>A</w:t>
      </w:r>
      <w:r w:rsidRPr="0000175C" w:rsidR="00ED3D07">
        <w:rPr>
          <w:b/>
          <w:szCs w:val="22"/>
        </w:rPr>
        <w:t xml:space="preserve">CEMENT </w:t>
      </w:r>
      <w:r w:rsidRPr="0000175C" w:rsidR="00310734">
        <w:rPr>
          <w:b/>
          <w:szCs w:val="22"/>
        </w:rPr>
        <w:t>WITH NEW PAYMENT MODULE WITHIN CORES</w:t>
      </w:r>
      <w:bookmarkStart w:id="0" w:name="TOChere"/>
    </w:p>
    <w:p w:rsidR="00804331" w:rsidP="00310734" w14:paraId="06C48059" w14:textId="0A30FF4A">
      <w:pPr>
        <w:jc w:val="center"/>
        <w:rPr>
          <w:b/>
          <w:szCs w:val="22"/>
        </w:rPr>
      </w:pPr>
    </w:p>
    <w:p w:rsidR="00804331" w:rsidP="00310734" w14:paraId="14BE6292" w14:textId="50666023">
      <w:pPr>
        <w:jc w:val="center"/>
        <w:rPr>
          <w:b/>
          <w:szCs w:val="22"/>
        </w:rPr>
      </w:pPr>
      <w:r>
        <w:rPr>
          <w:b/>
          <w:szCs w:val="22"/>
        </w:rPr>
        <w:t>AND</w:t>
      </w:r>
    </w:p>
    <w:p w:rsidR="00804331" w:rsidP="00310734" w14:paraId="028304C5" w14:textId="43E0D604">
      <w:pPr>
        <w:jc w:val="center"/>
        <w:rPr>
          <w:b/>
          <w:szCs w:val="22"/>
        </w:rPr>
      </w:pPr>
    </w:p>
    <w:p w:rsidR="00804331" w:rsidRPr="0000175C" w:rsidP="00310734" w14:paraId="237F386A" w14:textId="34AA0DA9">
      <w:pPr>
        <w:jc w:val="center"/>
        <w:rPr>
          <w:b/>
          <w:szCs w:val="22"/>
        </w:rPr>
      </w:pPr>
      <w:r>
        <w:rPr>
          <w:b/>
          <w:szCs w:val="22"/>
        </w:rPr>
        <w:t>DECOMMISSIONING OF THE COMMISSION’S RED LIGHT DISPLAY SYSTEM AND REPLACEMENT WITH A NEW MODULE WITHIN CORES</w:t>
      </w:r>
    </w:p>
    <w:bookmarkEnd w:id="0"/>
    <w:p w:rsidR="00F96F63" w:rsidRPr="0000175C" w:rsidP="00F96F63" w14:paraId="72F08D42" w14:textId="77777777">
      <w:pPr>
        <w:rPr>
          <w:szCs w:val="22"/>
        </w:rPr>
      </w:pPr>
    </w:p>
    <w:p w:rsidR="00FC3E68" w:rsidRPr="0000175C" w:rsidP="00D0318B" w14:paraId="1978D4CB" w14:textId="18EBC604">
      <w:pPr>
        <w:rPr>
          <w:szCs w:val="22"/>
        </w:rPr>
      </w:pPr>
      <w:r w:rsidRPr="0000175C">
        <w:rPr>
          <w:b/>
          <w:bCs/>
          <w:szCs w:val="22"/>
        </w:rPr>
        <w:t xml:space="preserve">Effective </w:t>
      </w:r>
      <w:r w:rsidR="006D025A">
        <w:rPr>
          <w:b/>
          <w:bCs/>
          <w:szCs w:val="22"/>
        </w:rPr>
        <w:t>December 15</w:t>
      </w:r>
      <w:r w:rsidRPr="0000175C" w:rsidR="00EF31DA">
        <w:rPr>
          <w:b/>
          <w:bCs/>
          <w:szCs w:val="22"/>
        </w:rPr>
        <w:t>, 202</w:t>
      </w:r>
      <w:r w:rsidRPr="0000175C" w:rsidR="00310734">
        <w:rPr>
          <w:b/>
          <w:bCs/>
          <w:szCs w:val="22"/>
        </w:rPr>
        <w:t>1</w:t>
      </w:r>
      <w:r w:rsidRPr="0000175C">
        <w:rPr>
          <w:szCs w:val="22"/>
        </w:rPr>
        <w:t>, the Commission</w:t>
      </w:r>
      <w:r w:rsidRPr="0000175C" w:rsidR="002B44F3">
        <w:rPr>
          <w:szCs w:val="22"/>
        </w:rPr>
        <w:t xml:space="preserve"> </w:t>
      </w:r>
      <w:r w:rsidRPr="0000175C" w:rsidR="00310734">
        <w:rPr>
          <w:szCs w:val="22"/>
        </w:rPr>
        <w:t xml:space="preserve">will </w:t>
      </w:r>
      <w:r w:rsidRPr="0000175C" w:rsidR="0012673E">
        <w:rPr>
          <w:b/>
          <w:bCs/>
          <w:szCs w:val="22"/>
        </w:rPr>
        <w:t xml:space="preserve">DECOMMISSION AND </w:t>
      </w:r>
      <w:r w:rsidRPr="0000175C" w:rsidR="24B62DA0">
        <w:rPr>
          <w:b/>
          <w:bCs/>
          <w:szCs w:val="22"/>
        </w:rPr>
        <w:t xml:space="preserve">PERMANENTLY </w:t>
      </w:r>
      <w:r w:rsidRPr="0000175C" w:rsidR="0012673E">
        <w:rPr>
          <w:b/>
          <w:bCs/>
          <w:szCs w:val="22"/>
        </w:rPr>
        <w:t>DISCONTINUE</w:t>
      </w:r>
      <w:r w:rsidRPr="0000175C">
        <w:rPr>
          <w:szCs w:val="22"/>
        </w:rPr>
        <w:t xml:space="preserve"> its </w:t>
      </w:r>
      <w:r w:rsidRPr="0000175C" w:rsidR="0012673E">
        <w:rPr>
          <w:szCs w:val="22"/>
        </w:rPr>
        <w:t xml:space="preserve">in-house online electronic payment system for regulatory and other fees, known as Fee Filer, </w:t>
      </w:r>
      <w:r w:rsidRPr="0000175C" w:rsidR="007C3722">
        <w:rPr>
          <w:szCs w:val="22"/>
        </w:rPr>
        <w:t xml:space="preserve">and </w:t>
      </w:r>
      <w:r w:rsidRPr="0000175C" w:rsidR="0012673E">
        <w:rPr>
          <w:szCs w:val="22"/>
        </w:rPr>
        <w:t>replace</w:t>
      </w:r>
      <w:r w:rsidRPr="0000175C" w:rsidR="007C3722">
        <w:rPr>
          <w:szCs w:val="22"/>
        </w:rPr>
        <w:t xml:space="preserve"> it</w:t>
      </w:r>
      <w:r w:rsidRPr="0000175C" w:rsidR="0012673E">
        <w:rPr>
          <w:szCs w:val="22"/>
        </w:rPr>
        <w:t xml:space="preserve"> with a new payment module contained in the Commission’s Registration System (CORES). </w:t>
      </w:r>
      <w:r w:rsidRPr="0000175C">
        <w:rPr>
          <w:szCs w:val="22"/>
        </w:rPr>
        <w:t xml:space="preserve">This change </w:t>
      </w:r>
      <w:r w:rsidRPr="0000175C" w:rsidR="00E55D08">
        <w:rPr>
          <w:szCs w:val="22"/>
        </w:rPr>
        <w:t xml:space="preserve">is necessary due to recent changes to the Commission’s financial system and </w:t>
      </w:r>
      <w:r w:rsidRPr="0000175C" w:rsidR="007C3722">
        <w:rPr>
          <w:szCs w:val="22"/>
        </w:rPr>
        <w:t xml:space="preserve">will balance </w:t>
      </w:r>
      <w:r w:rsidRPr="0000175C" w:rsidR="00E55D08">
        <w:rPr>
          <w:szCs w:val="22"/>
        </w:rPr>
        <w:t>the FCC’s</w:t>
      </w:r>
      <w:r w:rsidRPr="0000175C" w:rsidR="007C3722">
        <w:rPr>
          <w:szCs w:val="22"/>
        </w:rPr>
        <w:t xml:space="preserve"> efforts to </w:t>
      </w:r>
      <w:r w:rsidRPr="0000175C" w:rsidR="00E55D08">
        <w:rPr>
          <w:szCs w:val="22"/>
        </w:rPr>
        <w:t xml:space="preserve">make payment options simple and efficient to use </w:t>
      </w:r>
      <w:r w:rsidRPr="0000175C" w:rsidR="007C3722">
        <w:rPr>
          <w:szCs w:val="22"/>
        </w:rPr>
        <w:t>with the need for heightened security measures</w:t>
      </w:r>
      <w:r w:rsidRPr="0000175C" w:rsidR="00E55D08">
        <w:rPr>
          <w:szCs w:val="22"/>
        </w:rPr>
        <w:t xml:space="preserve">. </w:t>
      </w:r>
    </w:p>
    <w:p w:rsidR="00FC3E68" w:rsidRPr="0000175C" w:rsidP="00D0318B" w14:paraId="419F292A" w14:textId="77777777">
      <w:pPr>
        <w:rPr>
          <w:szCs w:val="22"/>
        </w:rPr>
      </w:pPr>
    </w:p>
    <w:p w:rsidR="00710FD6" w:rsidRPr="0000175C" w:rsidP="1CF94734" w14:paraId="32337611" w14:textId="7463918B">
      <w:pPr>
        <w:rPr>
          <w:szCs w:val="22"/>
        </w:rPr>
      </w:pPr>
      <w:r w:rsidRPr="0000175C">
        <w:rPr>
          <w:szCs w:val="22"/>
        </w:rPr>
        <w:t>A</w:t>
      </w:r>
      <w:r w:rsidRPr="0000175C" w:rsidR="00ED3D07">
        <w:rPr>
          <w:szCs w:val="22"/>
        </w:rPr>
        <w:t>fter thi</w:t>
      </w:r>
      <w:r w:rsidRPr="0000175C">
        <w:rPr>
          <w:szCs w:val="22"/>
        </w:rPr>
        <w:t xml:space="preserve">s date, the FCC will </w:t>
      </w:r>
      <w:r w:rsidRPr="0000175C" w:rsidR="00E55D08">
        <w:rPr>
          <w:szCs w:val="22"/>
        </w:rPr>
        <w:t xml:space="preserve">only </w:t>
      </w:r>
      <w:r w:rsidRPr="0000175C">
        <w:rPr>
          <w:szCs w:val="22"/>
        </w:rPr>
        <w:t xml:space="preserve">accept </w:t>
      </w:r>
      <w:r w:rsidRPr="0000175C" w:rsidR="00567727">
        <w:rPr>
          <w:szCs w:val="22"/>
        </w:rPr>
        <w:t>funds</w:t>
      </w:r>
      <w:r w:rsidRPr="0000175C">
        <w:rPr>
          <w:szCs w:val="22"/>
        </w:rPr>
        <w:t xml:space="preserve"> through the new </w:t>
      </w:r>
      <w:r w:rsidRPr="0000175C" w:rsidR="00567727">
        <w:rPr>
          <w:szCs w:val="22"/>
        </w:rPr>
        <w:t xml:space="preserve">CORES </w:t>
      </w:r>
      <w:r w:rsidRPr="0000175C">
        <w:rPr>
          <w:szCs w:val="22"/>
        </w:rPr>
        <w:t xml:space="preserve">payment module, which </w:t>
      </w:r>
      <w:r w:rsidRPr="0000175C" w:rsidR="0012673E">
        <w:rPr>
          <w:szCs w:val="22"/>
        </w:rPr>
        <w:t xml:space="preserve">can be reached </w:t>
      </w:r>
      <w:r w:rsidRPr="0000175C" w:rsidR="00E55D08">
        <w:rPr>
          <w:szCs w:val="22"/>
        </w:rPr>
        <w:t xml:space="preserve">either </w:t>
      </w:r>
      <w:r w:rsidRPr="0000175C" w:rsidR="00567727">
        <w:rPr>
          <w:szCs w:val="22"/>
        </w:rPr>
        <w:t xml:space="preserve">at </w:t>
      </w:r>
      <w:hyperlink r:id="rId4" w:history="1">
        <w:r w:rsidRPr="0000175C" w:rsidR="00567727">
          <w:rPr>
            <w:rStyle w:val="Hyperlink"/>
            <w:color w:val="0052CC"/>
            <w:szCs w:val="22"/>
            <w:shd w:val="clear" w:color="auto" w:fill="FFFFFF"/>
          </w:rPr>
          <w:t>https://apps.fcc.gov/cores/userLogin.do</w:t>
        </w:r>
      </w:hyperlink>
      <w:r w:rsidRPr="0000175C" w:rsidR="00567727">
        <w:rPr>
          <w:szCs w:val="22"/>
        </w:rPr>
        <w:t xml:space="preserve"> using </w:t>
      </w:r>
      <w:r w:rsidRPr="0000175C" w:rsidR="009C05CC">
        <w:rPr>
          <w:szCs w:val="22"/>
        </w:rPr>
        <w:t xml:space="preserve">an </w:t>
      </w:r>
      <w:r w:rsidRPr="0000175C" w:rsidR="00567727">
        <w:rPr>
          <w:szCs w:val="22"/>
        </w:rPr>
        <w:t xml:space="preserve">existing </w:t>
      </w:r>
      <w:r w:rsidRPr="0000175C" w:rsidR="001207D0">
        <w:rPr>
          <w:szCs w:val="22"/>
        </w:rPr>
        <w:t xml:space="preserve">FCC Username </w:t>
      </w:r>
      <w:r w:rsidRPr="0000175C" w:rsidR="00567727">
        <w:rPr>
          <w:szCs w:val="22"/>
        </w:rPr>
        <w:t xml:space="preserve">account, </w:t>
      </w:r>
      <w:r w:rsidRPr="0000175C" w:rsidR="00ED3D07">
        <w:rPr>
          <w:szCs w:val="22"/>
        </w:rPr>
        <w:t xml:space="preserve">or </w:t>
      </w:r>
      <w:r w:rsidRPr="0000175C" w:rsidR="009C05CC">
        <w:rPr>
          <w:szCs w:val="22"/>
        </w:rPr>
        <w:t xml:space="preserve">through </w:t>
      </w:r>
      <w:r w:rsidRPr="0000175C" w:rsidR="00567727">
        <w:rPr>
          <w:szCs w:val="22"/>
        </w:rPr>
        <w:t>CORES’</w:t>
      </w:r>
      <w:r w:rsidRPr="0000175C" w:rsidR="009C05CC">
        <w:rPr>
          <w:szCs w:val="22"/>
        </w:rPr>
        <w:t xml:space="preserve"> FRN access page</w:t>
      </w:r>
      <w:r w:rsidRPr="0000175C" w:rsidR="00567727">
        <w:rPr>
          <w:szCs w:val="22"/>
        </w:rPr>
        <w:t xml:space="preserve"> at </w:t>
      </w:r>
      <w:hyperlink r:id="rId5" w:history="1">
        <w:r w:rsidRPr="0000175C" w:rsidR="00567727">
          <w:rPr>
            <w:rStyle w:val="Hyperlink"/>
            <w:szCs w:val="22"/>
          </w:rPr>
          <w:t>https://apps.fcc.gov/cores/paymentFrnLogin.do</w:t>
        </w:r>
      </w:hyperlink>
      <w:r w:rsidRPr="0000175C" w:rsidR="0012673E">
        <w:rPr>
          <w:szCs w:val="22"/>
        </w:rPr>
        <w:t xml:space="preserve">. </w:t>
      </w:r>
      <w:r w:rsidRPr="0000175C" w:rsidR="00E55D08">
        <w:rPr>
          <w:szCs w:val="22"/>
        </w:rPr>
        <w:t xml:space="preserve">In addition, </w:t>
      </w:r>
      <w:r w:rsidRPr="0000175C" w:rsidR="0012673E">
        <w:rPr>
          <w:szCs w:val="22"/>
        </w:rPr>
        <w:t xml:space="preserve">the </w:t>
      </w:r>
      <w:r w:rsidRPr="0000175C" w:rsidR="00ED3D07">
        <w:rPr>
          <w:szCs w:val="22"/>
        </w:rPr>
        <w:t xml:space="preserve">existing </w:t>
      </w:r>
      <w:r w:rsidRPr="0000175C">
        <w:rPr>
          <w:szCs w:val="22"/>
        </w:rPr>
        <w:t>URL</w:t>
      </w:r>
      <w:r w:rsidRPr="0000175C" w:rsidR="00E55D08">
        <w:rPr>
          <w:szCs w:val="22"/>
        </w:rPr>
        <w:t xml:space="preserve"> used to access Fee Filer</w:t>
      </w:r>
      <w:r w:rsidRPr="0000175C">
        <w:rPr>
          <w:szCs w:val="22"/>
        </w:rPr>
        <w:t xml:space="preserve">, </w:t>
      </w:r>
      <w:hyperlink r:id="rId6" w:history="1">
        <w:r w:rsidRPr="0000175C" w:rsidR="0012673E">
          <w:rPr>
            <w:rStyle w:val="Hyperlink"/>
            <w:szCs w:val="22"/>
          </w:rPr>
          <w:t>https://apps.fcc.gov/FeeFiler/login.cfm</w:t>
        </w:r>
      </w:hyperlink>
      <w:r w:rsidRPr="0000175C" w:rsidR="0012673E">
        <w:rPr>
          <w:szCs w:val="22"/>
        </w:rPr>
        <w:t xml:space="preserve">, will </w:t>
      </w:r>
      <w:r w:rsidRPr="0000175C" w:rsidR="00567727">
        <w:rPr>
          <w:szCs w:val="22"/>
        </w:rPr>
        <w:t xml:space="preserve">temporarily automatically </w:t>
      </w:r>
      <w:r w:rsidRPr="0000175C" w:rsidR="0012673E">
        <w:rPr>
          <w:szCs w:val="22"/>
        </w:rPr>
        <w:t xml:space="preserve">redirect users to the new </w:t>
      </w:r>
      <w:r w:rsidRPr="0000175C" w:rsidR="00567727">
        <w:rPr>
          <w:szCs w:val="22"/>
        </w:rPr>
        <w:t>payment system</w:t>
      </w:r>
      <w:r w:rsidRPr="0000175C">
        <w:rPr>
          <w:szCs w:val="22"/>
        </w:rPr>
        <w:t xml:space="preserve">.  </w:t>
      </w:r>
    </w:p>
    <w:p w:rsidR="001207D0" w:rsidRPr="0000175C" w:rsidP="1CF94734" w14:paraId="7C8EBDD7" w14:textId="0B15D1BA">
      <w:pPr>
        <w:rPr>
          <w:szCs w:val="22"/>
        </w:rPr>
      </w:pPr>
    </w:p>
    <w:p w:rsidR="001207D0" w:rsidRPr="0000175C" w:rsidP="1CF94734" w14:paraId="5F1B8058" w14:textId="686CCA99">
      <w:pPr>
        <w:rPr>
          <w:szCs w:val="22"/>
        </w:rPr>
      </w:pPr>
      <w:r w:rsidRPr="0000175C">
        <w:rPr>
          <w:szCs w:val="22"/>
        </w:rPr>
        <w:t>To use CORES to file and pay Regulatory Fees, payers should log into CORES using the FCC Username associated with the FRN</w:t>
      </w:r>
      <w:r w:rsidR="0000175C">
        <w:rPr>
          <w:szCs w:val="22"/>
        </w:rPr>
        <w:t>,</w:t>
      </w:r>
      <w:r w:rsidRPr="0000175C">
        <w:rPr>
          <w:szCs w:val="22"/>
        </w:rPr>
        <w:t xml:space="preserve"> then select “Manage Existing FRNs | FRN Financial | Bills &amp; Fees” from the CORES Menu, then select the Regulatory Fee Manager. From there, payers can retrieve assessments, manually enter fees, and finalize payment. </w:t>
      </w:r>
    </w:p>
    <w:p w:rsidR="001207D0" w:rsidRPr="0000175C" w:rsidP="1CF94734" w14:paraId="13FF44CF" w14:textId="42FF6EEC">
      <w:pPr>
        <w:rPr>
          <w:szCs w:val="22"/>
        </w:rPr>
      </w:pPr>
    </w:p>
    <w:p w:rsidR="001207D0" w:rsidRPr="0000175C" w:rsidP="1CF94734" w14:paraId="5C4F36A3" w14:textId="50ADA6CB">
      <w:pPr>
        <w:rPr>
          <w:szCs w:val="22"/>
        </w:rPr>
      </w:pPr>
      <w:r w:rsidRPr="0000175C">
        <w:rPr>
          <w:szCs w:val="22"/>
        </w:rPr>
        <w:t>To use CORES to pay ULS Fees, payers should log into CORES using the FCC Username associated with the FRN</w:t>
      </w:r>
      <w:r w:rsidR="0000175C">
        <w:rPr>
          <w:szCs w:val="22"/>
        </w:rPr>
        <w:t>,</w:t>
      </w:r>
      <w:r w:rsidRPr="0000175C">
        <w:rPr>
          <w:szCs w:val="22"/>
        </w:rPr>
        <w:t xml:space="preserve"> then select “Manage Existing FRNs | FRN Financial | Bills &amp; Fees” from the CORES Menu, then select the ULS Pay Fees option. Payers should then select the associated payer FRN, and any available ULS fees will be displayed for payment selection. </w:t>
      </w:r>
    </w:p>
    <w:p w:rsidR="001207D0" w:rsidRPr="0000175C" w:rsidP="1CF94734" w14:paraId="5CDFEE46" w14:textId="15C4E0E7">
      <w:pPr>
        <w:rPr>
          <w:szCs w:val="22"/>
        </w:rPr>
      </w:pPr>
    </w:p>
    <w:p w:rsidR="001207D0" w:rsidRPr="0000175C" w:rsidP="1CF94734" w14:paraId="3CF4BFDB" w14:textId="3C29FA8C">
      <w:pPr>
        <w:rPr>
          <w:szCs w:val="22"/>
        </w:rPr>
      </w:pPr>
      <w:r w:rsidRPr="0000175C">
        <w:rPr>
          <w:szCs w:val="22"/>
        </w:rPr>
        <w:t>To use CORES to pay general application fees and any open bills, payers should log into CORES using the FCC Username associated with the FRN</w:t>
      </w:r>
      <w:r w:rsidR="0000175C">
        <w:rPr>
          <w:szCs w:val="22"/>
        </w:rPr>
        <w:t>’</w:t>
      </w:r>
      <w:r w:rsidRPr="0000175C">
        <w:rPr>
          <w:szCs w:val="22"/>
        </w:rPr>
        <w:t xml:space="preserve"> then select FRN Financial. Next to each associated FRN is an </w:t>
      </w:r>
      <w:r w:rsidR="0000175C">
        <w:rPr>
          <w:szCs w:val="22"/>
        </w:rPr>
        <w:t>option</w:t>
      </w:r>
      <w:r w:rsidRPr="0000175C">
        <w:rPr>
          <w:szCs w:val="22"/>
        </w:rPr>
        <w:t xml:space="preserve"> to “view/make payments</w:t>
      </w:r>
      <w:r w:rsidR="0000175C">
        <w:rPr>
          <w:szCs w:val="22"/>
        </w:rPr>
        <w:t>.</w:t>
      </w:r>
      <w:r w:rsidRPr="0000175C">
        <w:rPr>
          <w:szCs w:val="22"/>
        </w:rPr>
        <w:t xml:space="preserve">” Once selected, payers can view any open bills, retrieve application fees, or enter fees manually, and select fees for payment. </w:t>
      </w:r>
    </w:p>
    <w:p w:rsidR="00564755" w:rsidRPr="0000175C" w:rsidP="1CF94734" w14:paraId="0C467034" w14:textId="78C123C4">
      <w:pPr>
        <w:rPr>
          <w:szCs w:val="22"/>
        </w:rPr>
      </w:pPr>
    </w:p>
    <w:p w:rsidR="00D7216C" w:rsidRPr="0000175C" w:rsidP="001207D0" w14:paraId="24E56752" w14:textId="77777777">
      <w:pPr>
        <w:rPr>
          <w:szCs w:val="22"/>
        </w:rPr>
      </w:pPr>
      <w:r w:rsidRPr="0000175C">
        <w:rPr>
          <w:szCs w:val="22"/>
        </w:rPr>
        <w:t xml:space="preserve">Once fees have been selected for payment, users will be provided with payment options according to the fee type, which may include ACH and Credit Card payments through the U.S. Department of the Treasury’s pay.gov site, and Wire or Check options, with available instructions. Please note that Treasury’s pay.gov site enforces a limit of $24,999 on Credit Card payments per day. </w:t>
      </w:r>
    </w:p>
    <w:p w:rsidR="00D7216C" w:rsidRPr="0000175C" w:rsidP="001207D0" w14:paraId="57C7C007" w14:textId="77777777">
      <w:pPr>
        <w:rPr>
          <w:szCs w:val="22"/>
        </w:rPr>
      </w:pPr>
    </w:p>
    <w:p w:rsidR="001207D0" w:rsidRPr="0000175C" w:rsidP="001207D0" w14:paraId="44140830" w14:textId="597A3E15">
      <w:pPr>
        <w:rPr>
          <w:szCs w:val="22"/>
        </w:rPr>
      </w:pPr>
      <w:r w:rsidRPr="0000175C">
        <w:rPr>
          <w:szCs w:val="22"/>
        </w:rPr>
        <w:t xml:space="preserve">Payers can access CORES with the licensee FRN to pay annual regulatory fees and applications fees, or with the payer FRN to pay ULS fees, though it is highly suggested </w:t>
      </w:r>
      <w:r w:rsidR="0000175C">
        <w:rPr>
          <w:szCs w:val="22"/>
        </w:rPr>
        <w:t xml:space="preserve">for users </w:t>
      </w:r>
      <w:r w:rsidRPr="0000175C">
        <w:rPr>
          <w:szCs w:val="22"/>
        </w:rPr>
        <w:t xml:space="preserve">to register for and use an FCC Username to access CORES.  </w:t>
      </w:r>
    </w:p>
    <w:p w:rsidR="001207D0" w:rsidP="1CF94734" w14:paraId="24860254" w14:textId="7ADAED0C">
      <w:pPr>
        <w:rPr>
          <w:szCs w:val="22"/>
        </w:rPr>
      </w:pPr>
    </w:p>
    <w:p w:rsidR="00804331" w:rsidRPr="00804331" w:rsidP="00804331" w14:paraId="019C4445" w14:textId="7A9603CA">
      <w:pPr>
        <w:rPr>
          <w:szCs w:val="22"/>
        </w:rPr>
      </w:pPr>
      <w:r>
        <w:rPr>
          <w:szCs w:val="22"/>
        </w:rPr>
        <w:t xml:space="preserve">In addition, </w:t>
      </w:r>
      <w:r w:rsidRPr="00633B15">
        <w:rPr>
          <w:b/>
          <w:bCs/>
          <w:szCs w:val="22"/>
        </w:rPr>
        <w:t xml:space="preserve">effective </w:t>
      </w:r>
      <w:r w:rsidR="006D025A">
        <w:rPr>
          <w:b/>
          <w:bCs/>
          <w:szCs w:val="22"/>
        </w:rPr>
        <w:t>December 15</w:t>
      </w:r>
      <w:r w:rsidRPr="00633B15">
        <w:rPr>
          <w:b/>
          <w:bCs/>
          <w:szCs w:val="22"/>
        </w:rPr>
        <w:t>, 2021</w:t>
      </w:r>
      <w:r>
        <w:rPr>
          <w:szCs w:val="22"/>
        </w:rPr>
        <w:t>, t</w:t>
      </w:r>
      <w:r w:rsidRPr="00804331">
        <w:rPr>
          <w:szCs w:val="22"/>
        </w:rPr>
        <w:t xml:space="preserve">he Financial Office </w:t>
      </w:r>
      <w:r w:rsidR="00633B15">
        <w:rPr>
          <w:szCs w:val="22"/>
        </w:rPr>
        <w:t>will</w:t>
      </w:r>
      <w:r w:rsidRPr="0000175C" w:rsidR="00633B15">
        <w:rPr>
          <w:szCs w:val="22"/>
        </w:rPr>
        <w:t xml:space="preserve"> </w:t>
      </w:r>
      <w:r w:rsidRPr="0000175C" w:rsidR="00633B15">
        <w:rPr>
          <w:b/>
          <w:bCs/>
          <w:szCs w:val="22"/>
        </w:rPr>
        <w:t>DECOMMISSION AND PERMANENTLY DISCONTINUE</w:t>
      </w:r>
      <w:r w:rsidRPr="00804331" w:rsidR="00633B15">
        <w:rPr>
          <w:szCs w:val="22"/>
        </w:rPr>
        <w:t xml:space="preserve"> </w:t>
      </w:r>
      <w:r>
        <w:rPr>
          <w:szCs w:val="22"/>
        </w:rPr>
        <w:t>its existing</w:t>
      </w:r>
      <w:r w:rsidRPr="00804331">
        <w:rPr>
          <w:szCs w:val="22"/>
        </w:rPr>
        <w:t xml:space="preserve"> Red Light Display System</w:t>
      </w:r>
      <w:r>
        <w:rPr>
          <w:szCs w:val="22"/>
        </w:rPr>
        <w:t xml:space="preserve">, which is used for parties to </w:t>
      </w:r>
      <w:r w:rsidRPr="00804331">
        <w:rPr>
          <w:szCs w:val="22"/>
        </w:rPr>
        <w:t>view financial standing with the FCC, view and select open bills for payment</w:t>
      </w:r>
      <w:r>
        <w:rPr>
          <w:szCs w:val="22"/>
        </w:rPr>
        <w:t>,</w:t>
      </w:r>
      <w:r w:rsidRPr="00804331">
        <w:rPr>
          <w:szCs w:val="22"/>
        </w:rPr>
        <w:t xml:space="preserve"> and view and select installment bills for payment. These functions have </w:t>
      </w:r>
      <w:r>
        <w:rPr>
          <w:szCs w:val="22"/>
        </w:rPr>
        <w:t>previously been</w:t>
      </w:r>
      <w:r w:rsidRPr="00804331">
        <w:rPr>
          <w:szCs w:val="22"/>
        </w:rPr>
        <w:t xml:space="preserve"> m</w:t>
      </w:r>
      <w:r w:rsidR="00633B15">
        <w:rPr>
          <w:szCs w:val="22"/>
        </w:rPr>
        <w:t>erged into</w:t>
      </w:r>
      <w:r w:rsidRPr="00804331">
        <w:rPr>
          <w:szCs w:val="22"/>
        </w:rPr>
        <w:t xml:space="preserve"> the Commission</w:t>
      </w:r>
      <w:r>
        <w:rPr>
          <w:szCs w:val="22"/>
        </w:rPr>
        <w:t>’s</w:t>
      </w:r>
      <w:r w:rsidRPr="00804331">
        <w:rPr>
          <w:szCs w:val="22"/>
        </w:rPr>
        <w:t xml:space="preserve"> Registration System (CORES) and are presently available for use</w:t>
      </w:r>
      <w:r>
        <w:rPr>
          <w:szCs w:val="22"/>
        </w:rPr>
        <w:t xml:space="preserve"> from that system</w:t>
      </w:r>
      <w:r w:rsidRPr="00804331">
        <w:rPr>
          <w:szCs w:val="22"/>
        </w:rPr>
        <w:t xml:space="preserve">. </w:t>
      </w:r>
    </w:p>
    <w:p w:rsidR="00804331" w:rsidRPr="00804331" w:rsidP="00804331" w14:paraId="62F3C309" w14:textId="77777777">
      <w:pPr>
        <w:rPr>
          <w:szCs w:val="22"/>
        </w:rPr>
      </w:pPr>
    </w:p>
    <w:p w:rsidR="00804331" w:rsidRPr="00804331" w:rsidP="00804331" w14:paraId="3C8E2469" w14:textId="7998478D">
      <w:pPr>
        <w:rPr>
          <w:szCs w:val="22"/>
        </w:rPr>
      </w:pPr>
      <w:r>
        <w:rPr>
          <w:szCs w:val="22"/>
        </w:rPr>
        <w:t>To utilize these functions through CORES, u</w:t>
      </w:r>
      <w:r w:rsidRPr="00804331">
        <w:rPr>
          <w:szCs w:val="22"/>
        </w:rPr>
        <w:t>sers will need to access CORES with an FCC Username that is associated to their FRN. Once logged into CORES, they can select the option to “Manage Existing FRNs | FRN Financial | Bills and Fees</w:t>
      </w:r>
      <w:r w:rsidR="00633B15">
        <w:rPr>
          <w:szCs w:val="22"/>
        </w:rPr>
        <w:t>,</w:t>
      </w:r>
      <w:r>
        <w:rPr>
          <w:szCs w:val="22"/>
        </w:rPr>
        <w:t>”</w:t>
      </w:r>
      <w:r w:rsidRPr="00804331">
        <w:rPr>
          <w:szCs w:val="22"/>
        </w:rPr>
        <w:t xml:space="preserve"> </w:t>
      </w:r>
      <w:r>
        <w:rPr>
          <w:szCs w:val="22"/>
        </w:rPr>
        <w:t xml:space="preserve">and </w:t>
      </w:r>
      <w:r w:rsidRPr="00804331">
        <w:rPr>
          <w:szCs w:val="22"/>
        </w:rPr>
        <w:t>from there, select “FRN Financial”</w:t>
      </w:r>
      <w:r>
        <w:rPr>
          <w:szCs w:val="22"/>
        </w:rPr>
        <w:t xml:space="preserve"> to</w:t>
      </w:r>
      <w:r w:rsidRPr="00804331">
        <w:rPr>
          <w:szCs w:val="22"/>
        </w:rPr>
        <w:t xml:space="preserve"> view their financial standing with the FCC (red or green light status), </w:t>
      </w:r>
      <w:r>
        <w:rPr>
          <w:szCs w:val="22"/>
        </w:rPr>
        <w:t xml:space="preserve">and </w:t>
      </w:r>
      <w:r w:rsidRPr="00804331">
        <w:rPr>
          <w:szCs w:val="22"/>
        </w:rPr>
        <w:t>view and pay open and installment bills.</w:t>
      </w:r>
    </w:p>
    <w:p w:rsidR="008215E0" w:rsidP="001E5919" w14:paraId="52B2F61E" w14:textId="77777777">
      <w:pPr>
        <w:rPr>
          <w:szCs w:val="22"/>
        </w:rPr>
      </w:pPr>
    </w:p>
    <w:p w:rsidR="001E5919" w:rsidRPr="001E5919" w:rsidP="001E5919" w14:paraId="4ED65ADB" w14:textId="0A394905">
      <w:pPr>
        <w:rPr>
          <w:rStyle w:val="text-black-small"/>
          <w:snapToGrid/>
          <w:kern w:val="0"/>
        </w:rPr>
      </w:pPr>
      <w:r w:rsidRPr="0000175C">
        <w:rPr>
          <w:szCs w:val="22"/>
        </w:rPr>
        <w:t xml:space="preserve">Please direct questions and comments regarding this </w:t>
      </w:r>
      <w:r w:rsidRPr="001E5919">
        <w:rPr>
          <w:szCs w:val="22"/>
        </w:rPr>
        <w:t>Notice to</w:t>
      </w:r>
      <w:r w:rsidRPr="001E5919">
        <w:rPr>
          <w:rStyle w:val="text-black-small"/>
        </w:rPr>
        <w:t xml:space="preserve"> </w:t>
      </w:r>
      <w:hyperlink r:id="rId7" w:tgtFrame="_blank" w:history="1">
        <w:r w:rsidRPr="001E5919">
          <w:rPr>
            <w:rStyle w:val="Hyperlink"/>
          </w:rPr>
          <w:t>https://www.fcc.gov/wireless/available-support-services</w:t>
        </w:r>
      </w:hyperlink>
      <w:r w:rsidRPr="001E5919">
        <w:rPr>
          <w:rStyle w:val="text-black-small"/>
        </w:rPr>
        <w:t xml:space="preserve"> or call 877-480-3201.</w:t>
      </w:r>
    </w:p>
    <w:p w:rsidR="00483BE2" w:rsidRPr="0000175C" w:rsidP="00483BE2" w14:paraId="7F5063A6" w14:textId="106853E3">
      <w:pPr>
        <w:spacing w:before="120" w:after="240"/>
        <w:ind w:right="202"/>
        <w:rPr>
          <w:szCs w:val="22"/>
        </w:rPr>
      </w:pPr>
    </w:p>
    <w:p w:rsidR="00483BE2" w:rsidRPr="0000175C" w:rsidP="00FC306F" w14:paraId="40F32398" w14:textId="142E4C5F">
      <w:pPr>
        <w:spacing w:before="120" w:after="240"/>
        <w:ind w:right="202"/>
        <w:jc w:val="center"/>
        <w:rPr>
          <w:szCs w:val="22"/>
        </w:rPr>
      </w:pPr>
      <w:r w:rsidRPr="0000175C">
        <w:rPr>
          <w:b/>
          <w:bCs/>
          <w:szCs w:val="22"/>
        </w:rPr>
        <w:t>-FCC-</w:t>
      </w:r>
      <w:r w:rsidRPr="0000175C">
        <w:rPr>
          <w:szCs w:val="22"/>
        </w:rPr>
        <w:t xml:space="preserve"> </w:t>
      </w:r>
    </w:p>
    <w:p w:rsidR="00930ECF" w:rsidRPr="00930ECF" w:rsidP="00F96F63" w14:paraId="11681C48" w14:textId="77777777">
      <w:pPr>
        <w:rPr>
          <w:sz w:val="24"/>
        </w:rPr>
      </w:pPr>
    </w:p>
    <w:sectPr w:rsidSect="00EF31DA">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FCE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86F9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1C9A08" w14:textId="77777777">
    <w:pPr>
      <w:pStyle w:val="Footer"/>
      <w:jc w:val="center"/>
    </w:pPr>
    <w:r>
      <w:fldChar w:fldCharType="begin"/>
    </w:r>
    <w:r>
      <w:instrText xml:space="preserve"> PAGE   \* MERGEFORMAT </w:instrText>
    </w:r>
    <w:r>
      <w:fldChar w:fldCharType="separate"/>
    </w:r>
    <w:r w:rsidR="00E86DA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5D469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8CAC99" w14:textId="2873745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868E6BB">
                          <w:pPr>
                            <w:rPr>
                              <w:rFonts w:ascii="Arial" w:hAnsi="Arial"/>
                              <w:b/>
                            </w:rPr>
                          </w:pPr>
                          <w:r>
                            <w:rPr>
                              <w:rFonts w:ascii="Arial" w:hAnsi="Arial"/>
                              <w:b/>
                            </w:rPr>
                            <w:t xml:space="preserve">45 </w:t>
                          </w:r>
                          <w:r w:rsidR="0016156E">
                            <w:rPr>
                              <w:rFonts w:ascii="Arial" w:hAnsi="Arial"/>
                              <w:b/>
                            </w:rPr>
                            <w:t>L</w:t>
                          </w:r>
                          <w:r>
                            <w:rPr>
                              <w:rFonts w:ascii="Arial" w:hAnsi="Arial"/>
                              <w:b/>
                            </w:rPr>
                            <w:t xml:space="preserve"> St. </w:t>
                          </w:r>
                          <w:r w:rsidR="0016156E">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3153E09" w14:textId="77777777">
                    <w:pPr>
                      <w:rPr>
                        <w:rFonts w:ascii="Arial" w:hAnsi="Arial"/>
                        <w:b/>
                      </w:rPr>
                    </w:pPr>
                    <w:r>
                      <w:rPr>
                        <w:rFonts w:ascii="Arial" w:hAnsi="Arial"/>
                        <w:b/>
                      </w:rPr>
                      <w:t>Federal Communications Commission</w:t>
                    </w:r>
                  </w:p>
                  <w:p w:rsidR="009838BC" w:rsidP="009838BC" w14:paraId="20F9AF72" w14:textId="7868E6BB">
                    <w:pPr>
                      <w:rPr>
                        <w:rFonts w:ascii="Arial" w:hAnsi="Arial"/>
                        <w:b/>
                      </w:rPr>
                    </w:pPr>
                    <w:r>
                      <w:rPr>
                        <w:rFonts w:ascii="Arial" w:hAnsi="Arial"/>
                        <w:b/>
                      </w:rPr>
                      <w:t xml:space="preserve">45 </w:t>
                    </w:r>
                    <w:r w:rsidR="0016156E">
                      <w:rPr>
                        <w:rFonts w:ascii="Arial" w:hAnsi="Arial"/>
                        <w:b/>
                      </w:rPr>
                      <w:t>L</w:t>
                    </w:r>
                    <w:r>
                      <w:rPr>
                        <w:rFonts w:ascii="Arial" w:hAnsi="Arial"/>
                        <w:b/>
                      </w:rPr>
                      <w:t xml:space="preserve"> St. </w:t>
                    </w:r>
                    <w:r w:rsidR="0016156E">
                      <w:rPr>
                        <w:rFonts w:ascii="Arial" w:hAnsi="Arial"/>
                        <w:b/>
                      </w:rPr>
                      <w:t>NE</w:t>
                    </w:r>
                  </w:p>
                  <w:p w:rsidR="009838BC" w:rsidP="009838BC" w14:paraId="25CC698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DFCC9E7" w:rsidR="6DFCC9E7">
      <w:rPr>
        <w:rFonts w:ascii="Arial" w:hAnsi="Arial" w:cs="Arial"/>
        <w:b/>
        <w:bCs/>
        <w:sz w:val="96"/>
        <w:szCs w:val="96"/>
      </w:rPr>
      <w:t>PUBLIC NOTICE</w:t>
    </w:r>
  </w:p>
  <w:p w:rsidR="009838BC" w:rsidRPr="00357D50" w:rsidP="009838BC" w14:paraId="53C6551A" w14:textId="05BF4FDE">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left:9pt;mso-wrap-distance-right:9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C4B4EFD" w14:textId="77777777">
                    <w:pPr>
                      <w:spacing w:before="40"/>
                      <w:jc w:val="right"/>
                      <w:rPr>
                        <w:rFonts w:ascii="Arial" w:hAnsi="Arial"/>
                        <w:b/>
                        <w:sz w:val="16"/>
                      </w:rPr>
                    </w:pPr>
                    <w:r>
                      <w:rPr>
                        <w:rFonts w:ascii="Arial" w:hAnsi="Arial"/>
                        <w:b/>
                        <w:sz w:val="16"/>
                      </w:rPr>
                      <w:t>News Media Information 202 / 418-0500</w:t>
                    </w:r>
                  </w:p>
                  <w:p w:rsidR="009838BC" w:rsidP="009838BC" w14:paraId="00222BF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9FD2CFF" w14:textId="77777777">
                    <w:pPr>
                      <w:jc w:val="right"/>
                    </w:pPr>
                    <w:r>
                      <w:rPr>
                        <w:rFonts w:ascii="Arial" w:hAnsi="Arial"/>
                        <w:b/>
                        <w:sz w:val="16"/>
                      </w:rPr>
                      <w:t>TTY: 1-888-835-5322</w:t>
                    </w:r>
                  </w:p>
                </w:txbxContent>
              </v:textbox>
            </v:shape>
          </w:pict>
        </mc:Fallback>
      </mc:AlternateContent>
    </w:r>
  </w:p>
  <w:p w:rsidR="006F7393" w:rsidRPr="009838BC" w:rsidP="00EF31DA" w14:paraId="7ABBB9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E47709"/>
    <w:multiLevelType w:val="hybridMultilevel"/>
    <w:tmpl w:val="9E6AD6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E55337"/>
    <w:multiLevelType w:val="hybridMultilevel"/>
    <w:tmpl w:val="6832B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2"/>
    <w:rsid w:val="0000175C"/>
    <w:rsid w:val="000072CE"/>
    <w:rsid w:val="00013A8B"/>
    <w:rsid w:val="00021445"/>
    <w:rsid w:val="0002638D"/>
    <w:rsid w:val="00036039"/>
    <w:rsid w:val="00037F90"/>
    <w:rsid w:val="000443EF"/>
    <w:rsid w:val="000474DA"/>
    <w:rsid w:val="000612DD"/>
    <w:rsid w:val="000832A1"/>
    <w:rsid w:val="000875BF"/>
    <w:rsid w:val="00096D8C"/>
    <w:rsid w:val="000A2001"/>
    <w:rsid w:val="000C0B65"/>
    <w:rsid w:val="000C24B1"/>
    <w:rsid w:val="000C6F2C"/>
    <w:rsid w:val="000D04AF"/>
    <w:rsid w:val="000D199E"/>
    <w:rsid w:val="000D53B8"/>
    <w:rsid w:val="000D5DB6"/>
    <w:rsid w:val="000E3D42"/>
    <w:rsid w:val="000E5884"/>
    <w:rsid w:val="000F2683"/>
    <w:rsid w:val="000F5CC9"/>
    <w:rsid w:val="001207D0"/>
    <w:rsid w:val="00122BD5"/>
    <w:rsid w:val="00124272"/>
    <w:rsid w:val="0012673E"/>
    <w:rsid w:val="001319AF"/>
    <w:rsid w:val="0016156E"/>
    <w:rsid w:val="00195E29"/>
    <w:rsid w:val="001979D9"/>
    <w:rsid w:val="001B281C"/>
    <w:rsid w:val="001C66B4"/>
    <w:rsid w:val="001C74F2"/>
    <w:rsid w:val="001D6BCF"/>
    <w:rsid w:val="001E01CA"/>
    <w:rsid w:val="001E5919"/>
    <w:rsid w:val="001E69DA"/>
    <w:rsid w:val="002060D9"/>
    <w:rsid w:val="00226822"/>
    <w:rsid w:val="002517FF"/>
    <w:rsid w:val="0025241E"/>
    <w:rsid w:val="00260594"/>
    <w:rsid w:val="002767E2"/>
    <w:rsid w:val="00285017"/>
    <w:rsid w:val="002A2D2E"/>
    <w:rsid w:val="002B1E9C"/>
    <w:rsid w:val="002B44F3"/>
    <w:rsid w:val="003030A1"/>
    <w:rsid w:val="00310734"/>
    <w:rsid w:val="0031671B"/>
    <w:rsid w:val="0033223F"/>
    <w:rsid w:val="00343749"/>
    <w:rsid w:val="00345E1D"/>
    <w:rsid w:val="00357D50"/>
    <w:rsid w:val="003925DC"/>
    <w:rsid w:val="0039287B"/>
    <w:rsid w:val="003B0550"/>
    <w:rsid w:val="003B694F"/>
    <w:rsid w:val="003C2949"/>
    <w:rsid w:val="003C63BD"/>
    <w:rsid w:val="003C6AF0"/>
    <w:rsid w:val="003C7F2C"/>
    <w:rsid w:val="003F171C"/>
    <w:rsid w:val="003F7AE6"/>
    <w:rsid w:val="0041173A"/>
    <w:rsid w:val="00412FB2"/>
    <w:rsid w:val="00412FC5"/>
    <w:rsid w:val="00420F46"/>
    <w:rsid w:val="00422276"/>
    <w:rsid w:val="004242F1"/>
    <w:rsid w:val="00424687"/>
    <w:rsid w:val="004377E7"/>
    <w:rsid w:val="00437CC3"/>
    <w:rsid w:val="00445A00"/>
    <w:rsid w:val="00451B0F"/>
    <w:rsid w:val="004560A3"/>
    <w:rsid w:val="0046125F"/>
    <w:rsid w:val="00483BE2"/>
    <w:rsid w:val="00487524"/>
    <w:rsid w:val="00496106"/>
    <w:rsid w:val="004B4BEF"/>
    <w:rsid w:val="004C12D0"/>
    <w:rsid w:val="004C2EE3"/>
    <w:rsid w:val="004C41F0"/>
    <w:rsid w:val="004E4266"/>
    <w:rsid w:val="004E4A22"/>
    <w:rsid w:val="004E6F8D"/>
    <w:rsid w:val="004F7440"/>
    <w:rsid w:val="004F7C80"/>
    <w:rsid w:val="004F7DB7"/>
    <w:rsid w:val="00501B9A"/>
    <w:rsid w:val="005116EA"/>
    <w:rsid w:val="00511968"/>
    <w:rsid w:val="00535F6F"/>
    <w:rsid w:val="00555739"/>
    <w:rsid w:val="0055614C"/>
    <w:rsid w:val="00564755"/>
    <w:rsid w:val="00567727"/>
    <w:rsid w:val="00572D2D"/>
    <w:rsid w:val="00586991"/>
    <w:rsid w:val="00591DF9"/>
    <w:rsid w:val="005924C9"/>
    <w:rsid w:val="00592E01"/>
    <w:rsid w:val="005A00E2"/>
    <w:rsid w:val="005A38F5"/>
    <w:rsid w:val="005B15BA"/>
    <w:rsid w:val="005B2019"/>
    <w:rsid w:val="005B20AA"/>
    <w:rsid w:val="005B3BED"/>
    <w:rsid w:val="005C5574"/>
    <w:rsid w:val="005E1BF1"/>
    <w:rsid w:val="005E48B7"/>
    <w:rsid w:val="005F696D"/>
    <w:rsid w:val="00603252"/>
    <w:rsid w:val="00607BA5"/>
    <w:rsid w:val="00612BCC"/>
    <w:rsid w:val="00626EB6"/>
    <w:rsid w:val="00633B15"/>
    <w:rsid w:val="006353A3"/>
    <w:rsid w:val="00643D0A"/>
    <w:rsid w:val="00652293"/>
    <w:rsid w:val="00655D03"/>
    <w:rsid w:val="00663A18"/>
    <w:rsid w:val="00664A5A"/>
    <w:rsid w:val="00683F84"/>
    <w:rsid w:val="006A6537"/>
    <w:rsid w:val="006A6A81"/>
    <w:rsid w:val="006C3033"/>
    <w:rsid w:val="006D025A"/>
    <w:rsid w:val="006E26AF"/>
    <w:rsid w:val="006F7393"/>
    <w:rsid w:val="0070224F"/>
    <w:rsid w:val="00710FD6"/>
    <w:rsid w:val="007115F7"/>
    <w:rsid w:val="007200CD"/>
    <w:rsid w:val="00730BB5"/>
    <w:rsid w:val="00731F30"/>
    <w:rsid w:val="00741238"/>
    <w:rsid w:val="00785689"/>
    <w:rsid w:val="0079754B"/>
    <w:rsid w:val="007A1E6D"/>
    <w:rsid w:val="007C3722"/>
    <w:rsid w:val="007D7FD3"/>
    <w:rsid w:val="007F1499"/>
    <w:rsid w:val="00802EB4"/>
    <w:rsid w:val="00804331"/>
    <w:rsid w:val="00805978"/>
    <w:rsid w:val="008215E0"/>
    <w:rsid w:val="00822CE0"/>
    <w:rsid w:val="008263B7"/>
    <w:rsid w:val="00837C62"/>
    <w:rsid w:val="00841AB1"/>
    <w:rsid w:val="008609E5"/>
    <w:rsid w:val="00875A8D"/>
    <w:rsid w:val="00895AA6"/>
    <w:rsid w:val="008C22FD"/>
    <w:rsid w:val="00910F12"/>
    <w:rsid w:val="009144B5"/>
    <w:rsid w:val="00925101"/>
    <w:rsid w:val="00926503"/>
    <w:rsid w:val="00930ECF"/>
    <w:rsid w:val="00982F12"/>
    <w:rsid w:val="009838BC"/>
    <w:rsid w:val="00995510"/>
    <w:rsid w:val="009A1C1D"/>
    <w:rsid w:val="009C05CC"/>
    <w:rsid w:val="009D11AD"/>
    <w:rsid w:val="009E2095"/>
    <w:rsid w:val="00A0399A"/>
    <w:rsid w:val="00A066BD"/>
    <w:rsid w:val="00A2597C"/>
    <w:rsid w:val="00A312F1"/>
    <w:rsid w:val="00A45F4F"/>
    <w:rsid w:val="00A52C3A"/>
    <w:rsid w:val="00A57375"/>
    <w:rsid w:val="00A600A9"/>
    <w:rsid w:val="00A866AC"/>
    <w:rsid w:val="00A86C9B"/>
    <w:rsid w:val="00AA55B7"/>
    <w:rsid w:val="00AA5B9E"/>
    <w:rsid w:val="00AB2407"/>
    <w:rsid w:val="00AB53DF"/>
    <w:rsid w:val="00AC3C95"/>
    <w:rsid w:val="00AD272D"/>
    <w:rsid w:val="00AE02FD"/>
    <w:rsid w:val="00AE126B"/>
    <w:rsid w:val="00AF27EC"/>
    <w:rsid w:val="00AF32B4"/>
    <w:rsid w:val="00AF6D3A"/>
    <w:rsid w:val="00B07E5C"/>
    <w:rsid w:val="00B10138"/>
    <w:rsid w:val="00B17B46"/>
    <w:rsid w:val="00B20363"/>
    <w:rsid w:val="00B326E3"/>
    <w:rsid w:val="00B340D8"/>
    <w:rsid w:val="00B42A72"/>
    <w:rsid w:val="00B66E31"/>
    <w:rsid w:val="00B80AE6"/>
    <w:rsid w:val="00B811F7"/>
    <w:rsid w:val="00B8196C"/>
    <w:rsid w:val="00B81DF1"/>
    <w:rsid w:val="00BA5DC6"/>
    <w:rsid w:val="00BA6196"/>
    <w:rsid w:val="00BB5EC0"/>
    <w:rsid w:val="00BC27BF"/>
    <w:rsid w:val="00BC6D8C"/>
    <w:rsid w:val="00BF6E1A"/>
    <w:rsid w:val="00C11DA9"/>
    <w:rsid w:val="00C16AF2"/>
    <w:rsid w:val="00C34006"/>
    <w:rsid w:val="00C34594"/>
    <w:rsid w:val="00C426B1"/>
    <w:rsid w:val="00C50F4E"/>
    <w:rsid w:val="00C511E5"/>
    <w:rsid w:val="00C60D1E"/>
    <w:rsid w:val="00C8098B"/>
    <w:rsid w:val="00C82B6B"/>
    <w:rsid w:val="00C90D6A"/>
    <w:rsid w:val="00C910C8"/>
    <w:rsid w:val="00C967B8"/>
    <w:rsid w:val="00CA01E2"/>
    <w:rsid w:val="00CA410A"/>
    <w:rsid w:val="00CC72B6"/>
    <w:rsid w:val="00CD110E"/>
    <w:rsid w:val="00D0218D"/>
    <w:rsid w:val="00D0318B"/>
    <w:rsid w:val="00D04A95"/>
    <w:rsid w:val="00D20E7D"/>
    <w:rsid w:val="00D216CD"/>
    <w:rsid w:val="00D350E8"/>
    <w:rsid w:val="00D7216C"/>
    <w:rsid w:val="00D860B6"/>
    <w:rsid w:val="00DA0076"/>
    <w:rsid w:val="00DA2529"/>
    <w:rsid w:val="00DB130A"/>
    <w:rsid w:val="00DB21E4"/>
    <w:rsid w:val="00DB67F2"/>
    <w:rsid w:val="00DC10A1"/>
    <w:rsid w:val="00DC1AC6"/>
    <w:rsid w:val="00DC655F"/>
    <w:rsid w:val="00DD7EBD"/>
    <w:rsid w:val="00DE19EE"/>
    <w:rsid w:val="00DE4BFE"/>
    <w:rsid w:val="00DF4EEB"/>
    <w:rsid w:val="00DF62B6"/>
    <w:rsid w:val="00DF6AAF"/>
    <w:rsid w:val="00E07225"/>
    <w:rsid w:val="00E128FA"/>
    <w:rsid w:val="00E155B7"/>
    <w:rsid w:val="00E31866"/>
    <w:rsid w:val="00E41A2A"/>
    <w:rsid w:val="00E5409F"/>
    <w:rsid w:val="00E55D08"/>
    <w:rsid w:val="00E64CD2"/>
    <w:rsid w:val="00E760A9"/>
    <w:rsid w:val="00E86DA0"/>
    <w:rsid w:val="00E87A94"/>
    <w:rsid w:val="00E92428"/>
    <w:rsid w:val="00EC0185"/>
    <w:rsid w:val="00EC5D03"/>
    <w:rsid w:val="00ED0B8E"/>
    <w:rsid w:val="00ED2E6F"/>
    <w:rsid w:val="00ED3D07"/>
    <w:rsid w:val="00EF31DA"/>
    <w:rsid w:val="00F007D8"/>
    <w:rsid w:val="00F00C5D"/>
    <w:rsid w:val="00F021FA"/>
    <w:rsid w:val="00F36783"/>
    <w:rsid w:val="00F57ACA"/>
    <w:rsid w:val="00F57FE4"/>
    <w:rsid w:val="00F62E97"/>
    <w:rsid w:val="00F64209"/>
    <w:rsid w:val="00F67411"/>
    <w:rsid w:val="00F7029D"/>
    <w:rsid w:val="00F844CD"/>
    <w:rsid w:val="00F90688"/>
    <w:rsid w:val="00F93BF5"/>
    <w:rsid w:val="00F96710"/>
    <w:rsid w:val="00F96F63"/>
    <w:rsid w:val="00F97E6A"/>
    <w:rsid w:val="00FB0598"/>
    <w:rsid w:val="00FC306F"/>
    <w:rsid w:val="00FC3E68"/>
    <w:rsid w:val="00FE4847"/>
    <w:rsid w:val="038F5680"/>
    <w:rsid w:val="0590DE72"/>
    <w:rsid w:val="0DACAEF9"/>
    <w:rsid w:val="1593B148"/>
    <w:rsid w:val="1BED0757"/>
    <w:rsid w:val="1CD99748"/>
    <w:rsid w:val="1CF94734"/>
    <w:rsid w:val="1DF4446C"/>
    <w:rsid w:val="1E95DC40"/>
    <w:rsid w:val="249F001E"/>
    <w:rsid w:val="24B62DA0"/>
    <w:rsid w:val="414646A6"/>
    <w:rsid w:val="4275B529"/>
    <w:rsid w:val="47EC40CF"/>
    <w:rsid w:val="4F10509F"/>
    <w:rsid w:val="5ED64FB7"/>
    <w:rsid w:val="61D62E5E"/>
    <w:rsid w:val="642B5116"/>
    <w:rsid w:val="65DEEF89"/>
    <w:rsid w:val="65F1E819"/>
    <w:rsid w:val="6DFCC9E7"/>
    <w:rsid w:val="6F2BC25F"/>
    <w:rsid w:val="71BDB337"/>
    <w:rsid w:val="78D93DE6"/>
    <w:rsid w:val="791294CE"/>
    <w:rsid w:val="7A04BC97"/>
    <w:rsid w:val="7BAF455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37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F31DA"/>
    <w:pPr>
      <w:tabs>
        <w:tab w:val="center" w:pos="4680"/>
        <w:tab w:val="right" w:pos="9360"/>
      </w:tabs>
    </w:pPr>
    <w:rPr>
      <w:rFonts w:ascii="Arial" w:hAnsi="Arial" w:cs="Arial"/>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483BE2"/>
    <w:pPr>
      <w:widowControl/>
      <w:ind w:left="720"/>
      <w:contextualSpacing/>
    </w:pPr>
    <w:rPr>
      <w:snapToGrid/>
      <w:kern w:val="0"/>
    </w:rPr>
  </w:style>
  <w:style w:type="paragraph" w:styleId="BalloonText">
    <w:name w:val="Balloon Text"/>
    <w:basedOn w:val="Normal"/>
    <w:link w:val="BalloonTextChar"/>
    <w:uiPriority w:val="99"/>
    <w:semiHidden/>
    <w:unhideWhenUsed/>
    <w:rsid w:val="0058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9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5F696D"/>
    <w:rPr>
      <w:sz w:val="16"/>
      <w:szCs w:val="16"/>
    </w:rPr>
  </w:style>
  <w:style w:type="paragraph" w:styleId="CommentText">
    <w:name w:val="annotation text"/>
    <w:basedOn w:val="Normal"/>
    <w:link w:val="CommentTextChar"/>
    <w:uiPriority w:val="99"/>
    <w:unhideWhenUsed/>
    <w:rsid w:val="005F696D"/>
    <w:rPr>
      <w:sz w:val="20"/>
    </w:rPr>
  </w:style>
  <w:style w:type="character" w:customStyle="1" w:styleId="CommentTextChar">
    <w:name w:val="Comment Text Char"/>
    <w:basedOn w:val="DefaultParagraphFont"/>
    <w:link w:val="CommentText"/>
    <w:uiPriority w:val="99"/>
    <w:rsid w:val="005F696D"/>
    <w:rPr>
      <w:snapToGrid w:val="0"/>
      <w:kern w:val="28"/>
    </w:rPr>
  </w:style>
  <w:style w:type="paragraph" w:styleId="CommentSubject">
    <w:name w:val="annotation subject"/>
    <w:basedOn w:val="CommentText"/>
    <w:next w:val="CommentText"/>
    <w:link w:val="CommentSubjectChar"/>
    <w:uiPriority w:val="99"/>
    <w:semiHidden/>
    <w:unhideWhenUsed/>
    <w:rsid w:val="005F696D"/>
    <w:rPr>
      <w:b/>
      <w:bCs/>
    </w:rPr>
  </w:style>
  <w:style w:type="character" w:customStyle="1" w:styleId="CommentSubjectChar">
    <w:name w:val="Comment Subject Char"/>
    <w:basedOn w:val="CommentTextChar"/>
    <w:link w:val="CommentSubject"/>
    <w:uiPriority w:val="99"/>
    <w:semiHidden/>
    <w:rsid w:val="005F696D"/>
    <w:rPr>
      <w:b/>
      <w:bCs/>
      <w:snapToGrid w:val="0"/>
      <w:kern w:val="28"/>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710FD6"/>
  </w:style>
  <w:style w:type="character" w:customStyle="1" w:styleId="ParaNumChar">
    <w:name w:val="ParaNum Char"/>
    <w:link w:val="ParaNum"/>
    <w:locked/>
    <w:rsid w:val="00710FD6"/>
    <w:rPr>
      <w:snapToGrid w:val="0"/>
      <w:kern w:val="28"/>
      <w:sz w:val="22"/>
    </w:rPr>
  </w:style>
  <w:style w:type="character" w:styleId="FollowedHyperlink">
    <w:name w:val="FollowedHyperlink"/>
    <w:basedOn w:val="DefaultParagraphFont"/>
    <w:uiPriority w:val="99"/>
    <w:semiHidden/>
    <w:unhideWhenUsed/>
    <w:rsid w:val="00B81DF1"/>
    <w:rPr>
      <w:color w:val="954F72" w:themeColor="followedHyperlink"/>
      <w:u w:val="single"/>
    </w:rPr>
  </w:style>
  <w:style w:type="character" w:customStyle="1" w:styleId="UnresolvedMention">
    <w:name w:val="Unresolved Mention"/>
    <w:basedOn w:val="DefaultParagraphFont"/>
    <w:uiPriority w:val="99"/>
    <w:semiHidden/>
    <w:unhideWhenUsed/>
    <w:rsid w:val="0039287B"/>
    <w:rPr>
      <w:color w:val="605E5C"/>
      <w:shd w:val="clear" w:color="auto" w:fill="E1DFDD"/>
    </w:rPr>
  </w:style>
  <w:style w:type="character" w:customStyle="1" w:styleId="text-black-small">
    <w:name w:val="text-black-small"/>
    <w:basedOn w:val="DefaultParagraphFont"/>
    <w:rsid w:val="001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int.fcc.gov/cores/userLogin.do" TargetMode="External" /><Relationship Id="rId5" Type="http://schemas.openxmlformats.org/officeDocument/2006/relationships/hyperlink" Target="https://apps.fcc.gov/cores/paymentFrnLogin.do" TargetMode="External" /><Relationship Id="rId6" Type="http://schemas.openxmlformats.org/officeDocument/2006/relationships/hyperlink" Target="https://apps.fcc.gov/FeeFiler/login.cfm" TargetMode="External" /><Relationship Id="rId7" Type="http://schemas.openxmlformats.org/officeDocument/2006/relationships/hyperlink" Target="https://www.fcc.gov/wireless/available-support-services"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