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15E1883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93D7340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57B3E4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412314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8F9E6EF" w14:textId="2565B2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461D2CC0" w14:textId="112D55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84A97F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0B5C7B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8BC56A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C5633D1" w14:textId="01C7D171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40127">
              <w:rPr>
                <w:b/>
                <w:bCs/>
                <w:sz w:val="26"/>
                <w:szCs w:val="26"/>
              </w:rPr>
              <w:t>A</w:t>
            </w:r>
            <w:r w:rsidR="000C0C54">
              <w:rPr>
                <w:b/>
                <w:bCs/>
                <w:sz w:val="26"/>
                <w:szCs w:val="26"/>
              </w:rPr>
              <w:t>NNOUNCES</w:t>
            </w:r>
            <w:r w:rsidR="00040127">
              <w:rPr>
                <w:b/>
                <w:bCs/>
                <w:sz w:val="26"/>
                <w:szCs w:val="26"/>
              </w:rPr>
              <w:t xml:space="preserve"> </w:t>
            </w:r>
            <w:r w:rsidR="000441B8">
              <w:rPr>
                <w:b/>
                <w:bCs/>
                <w:sz w:val="26"/>
                <w:szCs w:val="26"/>
              </w:rPr>
              <w:t>OVER $1 BILLION</w:t>
            </w:r>
            <w:r w:rsidR="009F389E">
              <w:rPr>
                <w:b/>
                <w:bCs/>
                <w:sz w:val="26"/>
                <w:szCs w:val="26"/>
              </w:rPr>
              <w:t xml:space="preserve"> IN RURAL DIGITAL OPPORTUNITY FUND </w:t>
            </w:r>
            <w:r w:rsidR="000C0C54">
              <w:rPr>
                <w:b/>
                <w:bCs/>
                <w:sz w:val="26"/>
                <w:szCs w:val="26"/>
              </w:rPr>
              <w:t xml:space="preserve">SUPPORT FOR BROADBAND IN </w:t>
            </w:r>
            <w:r w:rsidR="000441B8">
              <w:rPr>
                <w:b/>
                <w:bCs/>
                <w:sz w:val="26"/>
                <w:szCs w:val="26"/>
              </w:rPr>
              <w:t>3</w:t>
            </w:r>
            <w:r w:rsidR="00EE0FEC">
              <w:rPr>
                <w:b/>
                <w:bCs/>
                <w:sz w:val="26"/>
                <w:szCs w:val="26"/>
              </w:rPr>
              <w:t>2</w:t>
            </w:r>
            <w:r w:rsidR="000C0C54">
              <w:rPr>
                <w:b/>
                <w:bCs/>
                <w:sz w:val="26"/>
                <w:szCs w:val="26"/>
              </w:rPr>
              <w:t xml:space="preserve"> STATES</w:t>
            </w:r>
            <w:r w:rsidR="0081409E">
              <w:rPr>
                <w:b/>
                <w:bCs/>
                <w:sz w:val="26"/>
                <w:szCs w:val="26"/>
              </w:rPr>
              <w:t xml:space="preserve"> AS COMMISSION CONTINUES TO </w:t>
            </w:r>
            <w:r w:rsidR="007A1237">
              <w:rPr>
                <w:b/>
                <w:bCs/>
                <w:sz w:val="26"/>
                <w:szCs w:val="26"/>
              </w:rPr>
              <w:t xml:space="preserve">CLEAN UP </w:t>
            </w:r>
            <w:r w:rsidR="0081409E">
              <w:rPr>
                <w:b/>
                <w:bCs/>
                <w:sz w:val="26"/>
                <w:szCs w:val="26"/>
              </w:rPr>
              <w:t xml:space="preserve">PROGRAM </w:t>
            </w:r>
          </w:p>
          <w:p w:rsidR="00CC5E08" w:rsidRPr="008A3940" w:rsidP="00040127" w14:paraId="720EB443" w14:textId="2FE716C4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Grants Limited Waiver for </w:t>
            </w:r>
            <w:r w:rsidR="00825155">
              <w:rPr>
                <w:b/>
                <w:bCs/>
                <w:i/>
              </w:rPr>
              <w:t xml:space="preserve">Certain </w:t>
            </w:r>
            <w:r>
              <w:rPr>
                <w:b/>
                <w:bCs/>
                <w:i/>
              </w:rPr>
              <w:t>Applicants to Complete Auction Documentation</w:t>
            </w:r>
            <w:r w:rsidR="00E33E7D">
              <w:rPr>
                <w:b/>
                <w:bCs/>
                <w:i/>
              </w:rPr>
              <w:t xml:space="preserve"> As Other Bidders Announce Plans to Default </w:t>
            </w:r>
            <w:r w:rsidR="00825155">
              <w:rPr>
                <w:b/>
                <w:bCs/>
                <w:i/>
              </w:rPr>
              <w:t xml:space="preserve"> </w:t>
            </w:r>
          </w:p>
          <w:p w:rsidR="009F389E" w:rsidRPr="00957744" w:rsidP="00957744" w14:paraId="62BE2DC9" w14:textId="494B6BB5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25155" w:rsidRPr="00E84E21" w:rsidP="00825155" w14:paraId="4574AA49" w14:textId="50A6873E">
            <w:pPr>
              <w:tabs>
                <w:tab w:val="left" w:pos="8625"/>
              </w:tabs>
              <w:rPr>
                <w:sz w:val="22"/>
                <w:szCs w:val="22"/>
              </w:rPr>
            </w:pPr>
            <w:r w:rsidRPr="009F389E">
              <w:rPr>
                <w:sz w:val="22"/>
                <w:szCs w:val="22"/>
              </w:rPr>
              <w:t xml:space="preserve">WASHINGTON, </w:t>
            </w:r>
            <w:r w:rsidR="000F045C">
              <w:rPr>
                <w:sz w:val="22"/>
                <w:szCs w:val="22"/>
              </w:rPr>
              <w:t xml:space="preserve">December </w:t>
            </w:r>
            <w:r w:rsidR="006D4E0F">
              <w:rPr>
                <w:sz w:val="22"/>
                <w:szCs w:val="22"/>
              </w:rPr>
              <w:t>16,</w:t>
            </w:r>
            <w:r w:rsidRPr="009F389E">
              <w:rPr>
                <w:sz w:val="22"/>
                <w:szCs w:val="22"/>
              </w:rPr>
              <w:t xml:space="preserve"> 2021—The </w:t>
            </w:r>
            <w:r w:rsidRPr="00E84E21">
              <w:rPr>
                <w:sz w:val="22"/>
                <w:szCs w:val="22"/>
              </w:rPr>
              <w:t xml:space="preserve">FCC today announced that it is ready to authorize </w:t>
            </w:r>
            <w:r w:rsidRPr="00E84E21" w:rsidR="000441B8">
              <w:rPr>
                <w:sz w:val="22"/>
                <w:szCs w:val="22"/>
              </w:rPr>
              <w:t>$1,0</w:t>
            </w:r>
            <w:r w:rsidRPr="00E84E21" w:rsidR="00A460A8">
              <w:rPr>
                <w:sz w:val="22"/>
                <w:szCs w:val="22"/>
              </w:rPr>
              <w:t>41,074,000</w:t>
            </w:r>
            <w:r w:rsidRPr="00E84E21">
              <w:rPr>
                <w:sz w:val="22"/>
                <w:szCs w:val="22"/>
              </w:rPr>
              <w:t xml:space="preserve"> </w:t>
            </w:r>
            <w:r w:rsidRPr="00E84E21" w:rsidR="000441B8">
              <w:rPr>
                <w:sz w:val="22"/>
                <w:szCs w:val="22"/>
              </w:rPr>
              <w:t xml:space="preserve">over 10 years </w:t>
            </w:r>
            <w:r w:rsidRPr="00E84E21">
              <w:rPr>
                <w:sz w:val="22"/>
                <w:szCs w:val="22"/>
              </w:rPr>
              <w:t>in its f</w:t>
            </w:r>
            <w:r w:rsidRPr="00E84E21" w:rsidR="00957744">
              <w:rPr>
                <w:sz w:val="22"/>
                <w:szCs w:val="22"/>
              </w:rPr>
              <w:t>ifth</w:t>
            </w:r>
            <w:r w:rsidRPr="00E84E21">
              <w:rPr>
                <w:sz w:val="22"/>
                <w:szCs w:val="22"/>
              </w:rPr>
              <w:t xml:space="preserve"> round of funding for new broadband deployments through the Rural Digital Opportunity Fun</w:t>
            </w:r>
            <w:r w:rsidRPr="00E84E21" w:rsidR="00D73C0A">
              <w:rPr>
                <w:sz w:val="22"/>
                <w:szCs w:val="22"/>
              </w:rPr>
              <w:t xml:space="preserve">d.  </w:t>
            </w:r>
            <w:r w:rsidRPr="00E84E21" w:rsidR="0058097D">
              <w:rPr>
                <w:sz w:val="22"/>
                <w:szCs w:val="22"/>
              </w:rPr>
              <w:t xml:space="preserve">In the largest funding wave to date, </w:t>
            </w:r>
            <w:r w:rsidRPr="00E84E21" w:rsidR="000441B8">
              <w:rPr>
                <w:sz w:val="22"/>
                <w:szCs w:val="22"/>
              </w:rPr>
              <w:t>69</w:t>
            </w:r>
            <w:r w:rsidRPr="00E84E21" w:rsidR="0058097D">
              <w:rPr>
                <w:sz w:val="22"/>
                <w:szCs w:val="22"/>
              </w:rPr>
              <w:t xml:space="preserve"> broadband providers will bring broadband service</w:t>
            </w:r>
            <w:r w:rsidRPr="00E84E21" w:rsidR="000441B8">
              <w:rPr>
                <w:sz w:val="22"/>
                <w:szCs w:val="22"/>
              </w:rPr>
              <w:t xml:space="preserve"> </w:t>
            </w:r>
            <w:r w:rsidRPr="00E84E21" w:rsidR="0058097D">
              <w:rPr>
                <w:sz w:val="22"/>
                <w:szCs w:val="22"/>
              </w:rPr>
              <w:t xml:space="preserve">to </w:t>
            </w:r>
            <w:r w:rsidRPr="00E84E21" w:rsidR="00A460A8">
              <w:rPr>
                <w:sz w:val="22"/>
                <w:szCs w:val="22"/>
              </w:rPr>
              <w:t xml:space="preserve">518,088 </w:t>
            </w:r>
            <w:r w:rsidRPr="00E84E21" w:rsidR="000441B8">
              <w:rPr>
                <w:sz w:val="22"/>
                <w:szCs w:val="22"/>
              </w:rPr>
              <w:t>locations</w:t>
            </w:r>
            <w:r w:rsidRPr="00E84E21" w:rsidR="0058097D">
              <w:rPr>
                <w:sz w:val="22"/>
                <w:szCs w:val="22"/>
              </w:rPr>
              <w:t xml:space="preserve"> in </w:t>
            </w:r>
            <w:r w:rsidRPr="00E84E21" w:rsidR="000441B8">
              <w:rPr>
                <w:sz w:val="22"/>
                <w:szCs w:val="22"/>
              </w:rPr>
              <w:t>3</w:t>
            </w:r>
            <w:r w:rsidRPr="00E84E21" w:rsidR="00A460A8">
              <w:rPr>
                <w:sz w:val="22"/>
                <w:szCs w:val="22"/>
              </w:rPr>
              <w:t>2</w:t>
            </w:r>
            <w:r w:rsidRPr="00E84E21" w:rsidR="000441B8">
              <w:rPr>
                <w:sz w:val="22"/>
                <w:szCs w:val="22"/>
              </w:rPr>
              <w:t xml:space="preserve"> states</w:t>
            </w:r>
            <w:r w:rsidRPr="00E84E21" w:rsidR="0058097D">
              <w:rPr>
                <w:sz w:val="22"/>
                <w:szCs w:val="22"/>
              </w:rPr>
              <w:t xml:space="preserve">.  </w:t>
            </w:r>
          </w:p>
          <w:p w:rsidR="00825155" w:rsidRPr="00E84E21" w:rsidP="00E33E7D" w14:paraId="7CEFFEE8" w14:textId="5B68E8A3">
            <w:pPr>
              <w:tabs>
                <w:tab w:val="left" w:pos="8625"/>
              </w:tabs>
              <w:rPr>
                <w:sz w:val="22"/>
                <w:szCs w:val="22"/>
              </w:rPr>
            </w:pPr>
            <w:r w:rsidRPr="00E84E21">
              <w:rPr>
                <w:sz w:val="22"/>
                <w:szCs w:val="22"/>
              </w:rPr>
              <w:tab/>
            </w:r>
          </w:p>
          <w:p w:rsidR="00E33E7D" w:rsidRPr="00E84E21" w:rsidP="00E33E7D" w14:paraId="7B00C9CD" w14:textId="12F53246">
            <w:pPr>
              <w:tabs>
                <w:tab w:val="left" w:pos="8625"/>
              </w:tabs>
              <w:rPr>
                <w:sz w:val="22"/>
                <w:szCs w:val="22"/>
              </w:rPr>
            </w:pPr>
            <w:r w:rsidRPr="00E84E21">
              <w:rPr>
                <w:sz w:val="22"/>
                <w:szCs w:val="22"/>
              </w:rPr>
              <w:t xml:space="preserve">“This latest round of funding will open </w:t>
            </w:r>
            <w:r w:rsidRPr="00E84E21" w:rsidR="007B1933">
              <w:rPr>
                <w:sz w:val="22"/>
                <w:szCs w:val="22"/>
              </w:rPr>
              <w:t xml:space="preserve">up </w:t>
            </w:r>
            <w:r w:rsidRPr="00E84E21">
              <w:rPr>
                <w:sz w:val="22"/>
                <w:szCs w:val="22"/>
              </w:rPr>
              <w:t xml:space="preserve">even more opportunities to connect hundreds of thousands of Americans to high-speed, reliable broadband service,” </w:t>
            </w:r>
            <w:r w:rsidRPr="00E84E21">
              <w:rPr>
                <w:b/>
                <w:bCs/>
                <w:sz w:val="22"/>
                <w:szCs w:val="22"/>
              </w:rPr>
              <w:t>said Chairwoman Jessica Rosenworcel.</w:t>
            </w:r>
            <w:r w:rsidRPr="00E84E21">
              <w:rPr>
                <w:sz w:val="22"/>
                <w:szCs w:val="22"/>
              </w:rPr>
              <w:t xml:space="preserve">  “</w:t>
            </w:r>
            <w:r w:rsidRPr="00E84E21" w:rsidR="006F45E5">
              <w:rPr>
                <w:sz w:val="22"/>
                <w:szCs w:val="22"/>
              </w:rPr>
              <w:t xml:space="preserve">Today’s actions reflect the hard work we’ve put in over the past year to ensure that </w:t>
            </w:r>
            <w:r w:rsidRPr="00E84E21" w:rsidR="00717212">
              <w:rPr>
                <w:sz w:val="22"/>
                <w:szCs w:val="22"/>
              </w:rPr>
              <w:t xml:space="preserve">applicants meet their obligations and follow our rules.  With thoughtful oversight, this program </w:t>
            </w:r>
            <w:r w:rsidRPr="00E84E21" w:rsidR="00927D01">
              <w:rPr>
                <w:sz w:val="22"/>
                <w:szCs w:val="22"/>
              </w:rPr>
              <w:t xml:space="preserve">can </w:t>
            </w:r>
            <w:r w:rsidRPr="00E84E21" w:rsidR="00717212">
              <w:rPr>
                <w:sz w:val="22"/>
                <w:szCs w:val="22"/>
              </w:rPr>
              <w:t>direct funding to areas that need broadband</w:t>
            </w:r>
            <w:r w:rsidRPr="00E84E21" w:rsidR="007B1933">
              <w:rPr>
                <w:sz w:val="22"/>
                <w:szCs w:val="22"/>
              </w:rPr>
              <w:t xml:space="preserve"> and to providers who are qualified to do the job</w:t>
            </w:r>
            <w:r w:rsidRPr="00E84E21" w:rsidR="00717212">
              <w:rPr>
                <w:sz w:val="22"/>
                <w:szCs w:val="22"/>
              </w:rPr>
              <w:t>.</w:t>
            </w:r>
            <w:r w:rsidRPr="00E84E21" w:rsidR="00927D01">
              <w:rPr>
                <w:sz w:val="22"/>
                <w:szCs w:val="22"/>
              </w:rPr>
              <w:t>”</w:t>
            </w:r>
            <w:r w:rsidRPr="00E84E21" w:rsidR="00717212">
              <w:rPr>
                <w:sz w:val="22"/>
                <w:szCs w:val="22"/>
              </w:rPr>
              <w:t xml:space="preserve"> </w:t>
            </w:r>
          </w:p>
          <w:p w:rsidR="000441B8" w:rsidRPr="00E84E21" w:rsidP="0058097D" w14:paraId="2BDA3334" w14:textId="71E1101A">
            <w:pPr>
              <w:tabs>
                <w:tab w:val="left" w:pos="8625"/>
              </w:tabs>
              <w:rPr>
                <w:sz w:val="22"/>
                <w:szCs w:val="22"/>
              </w:rPr>
            </w:pPr>
          </w:p>
          <w:p w:rsidR="007A1237" w:rsidRPr="00E84E21" w:rsidP="0058097D" w14:paraId="6233A1F1" w14:textId="3E293DF2">
            <w:pPr>
              <w:tabs>
                <w:tab w:val="left" w:pos="8625"/>
              </w:tabs>
              <w:rPr>
                <w:sz w:val="22"/>
                <w:szCs w:val="22"/>
              </w:rPr>
            </w:pPr>
            <w:r w:rsidRPr="00E84E21">
              <w:rPr>
                <w:sz w:val="22"/>
                <w:szCs w:val="22"/>
              </w:rPr>
              <w:t xml:space="preserve">The Commission also continues to take steps to ensure auction applicants meet financial requirements and that funding is directed to areas that need broadband.  The FCC </w:t>
            </w:r>
            <w:hyperlink r:id="rId5" w:history="1">
              <w:r w:rsidRPr="000836D9">
                <w:rPr>
                  <w:rStyle w:val="Hyperlink"/>
                  <w:sz w:val="22"/>
                  <w:szCs w:val="22"/>
                </w:rPr>
                <w:t>denied</w:t>
              </w:r>
            </w:hyperlink>
            <w:r w:rsidRPr="00E84E21">
              <w:rPr>
                <w:sz w:val="22"/>
                <w:szCs w:val="22"/>
              </w:rPr>
              <w:t xml:space="preserve">  </w:t>
            </w:r>
            <w:r w:rsidRPr="00E84E21">
              <w:rPr>
                <w:sz w:val="22"/>
                <w:szCs w:val="22"/>
              </w:rPr>
              <w:t>Hotwire’s</w:t>
            </w:r>
            <w:r w:rsidRPr="00E84E21">
              <w:rPr>
                <w:sz w:val="22"/>
                <w:szCs w:val="22"/>
              </w:rPr>
              <w:t xml:space="preserve"> waiver request and rejected its long form application because it entered into a transaction in violation of program rules.  And the Commission announced a number of defaulted bids, making the census blocks </w:t>
            </w:r>
            <w:r w:rsidRPr="00E84E21" w:rsidR="00C27110">
              <w:rPr>
                <w:sz w:val="22"/>
                <w:szCs w:val="22"/>
              </w:rPr>
              <w:t xml:space="preserve">in those defaulted bids potentially </w:t>
            </w:r>
            <w:r w:rsidRPr="00E84E21">
              <w:rPr>
                <w:sz w:val="22"/>
                <w:szCs w:val="22"/>
              </w:rPr>
              <w:t>eligible for other funding programs.</w:t>
            </w:r>
          </w:p>
          <w:p w:rsidR="007A1237" w:rsidRPr="00E84E21" w:rsidP="0058097D" w14:paraId="180CF0F8" w14:textId="77777777">
            <w:pPr>
              <w:tabs>
                <w:tab w:val="left" w:pos="8625"/>
              </w:tabs>
              <w:rPr>
                <w:sz w:val="22"/>
                <w:szCs w:val="22"/>
              </w:rPr>
            </w:pPr>
          </w:p>
          <w:p w:rsidR="00F35627" w:rsidRPr="00E84E21" w:rsidP="00F35627" w14:paraId="68BB7CAD" w14:textId="627FDFCF">
            <w:pPr>
              <w:tabs>
                <w:tab w:val="left" w:pos="8625"/>
              </w:tabs>
              <w:rPr>
                <w:sz w:val="22"/>
                <w:szCs w:val="22"/>
              </w:rPr>
            </w:pPr>
            <w:r w:rsidRPr="00E84E21">
              <w:rPr>
                <w:sz w:val="22"/>
                <w:szCs w:val="22"/>
              </w:rPr>
              <w:t xml:space="preserve">Meanwhile, </w:t>
            </w:r>
            <w:r w:rsidRPr="00E84E21">
              <w:rPr>
                <w:sz w:val="22"/>
                <w:szCs w:val="22"/>
              </w:rPr>
              <w:t xml:space="preserve">Commission staff </w:t>
            </w:r>
            <w:r w:rsidRPr="00E84E21">
              <w:rPr>
                <w:sz w:val="22"/>
                <w:szCs w:val="22"/>
              </w:rPr>
              <w:t xml:space="preserve">continue to </w:t>
            </w:r>
            <w:r w:rsidRPr="00E84E21" w:rsidR="007A1237">
              <w:rPr>
                <w:sz w:val="22"/>
                <w:szCs w:val="22"/>
              </w:rPr>
              <w:t>carefully review and process</w:t>
            </w:r>
            <w:r w:rsidRPr="00E84E21">
              <w:rPr>
                <w:sz w:val="22"/>
                <w:szCs w:val="22"/>
              </w:rPr>
              <w:t xml:space="preserve"> long-form applications on a rolling basis.</w:t>
            </w:r>
          </w:p>
          <w:p w:rsidR="00F76485" w:rsidRPr="00E84E21" w:rsidP="00F35627" w14:paraId="061EA49C" w14:textId="77777777">
            <w:pPr>
              <w:rPr>
                <w:sz w:val="22"/>
                <w:szCs w:val="22"/>
              </w:rPr>
            </w:pPr>
          </w:p>
          <w:p w:rsidR="00F35627" w:rsidRPr="00E84E21" w:rsidP="00F35627" w14:paraId="10B88BA4" w14:textId="2982C65D">
            <w:pPr>
              <w:rPr>
                <w:sz w:val="22"/>
                <w:szCs w:val="22"/>
              </w:rPr>
            </w:pPr>
            <w:r w:rsidRPr="00E84E21">
              <w:rPr>
                <w:sz w:val="22"/>
                <w:szCs w:val="22"/>
              </w:rPr>
              <w:t>Over the past year the Commission has taken a number of actions to strengthen its oversight of the program, including:</w:t>
            </w:r>
          </w:p>
          <w:p w:rsidR="00F35627" w:rsidRPr="00E84E21" w:rsidP="00F35627" w14:paraId="12D1DCC3" w14:textId="5EB9EC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84E21">
              <w:rPr>
                <w:sz w:val="22"/>
                <w:szCs w:val="22"/>
              </w:rPr>
              <w:t xml:space="preserve">Sending letters to 197 applicants concerning areas where there was evidence of existing service or questions of waste.  Bidders have already chosen not to pursue support </w:t>
            </w:r>
            <w:r w:rsidRPr="00E84E21" w:rsidR="007A1237">
              <w:rPr>
                <w:sz w:val="22"/>
                <w:szCs w:val="22"/>
              </w:rPr>
              <w:t>in approximately 5,000</w:t>
            </w:r>
            <w:r w:rsidRPr="00E84E21">
              <w:rPr>
                <w:sz w:val="22"/>
                <w:szCs w:val="22"/>
              </w:rPr>
              <w:t xml:space="preserve"> census blocks in response to the Commission’s letters.  </w:t>
            </w:r>
          </w:p>
          <w:p w:rsidR="00F35627" w:rsidRPr="00E84E21" w:rsidP="00F35627" w14:paraId="180ED193" w14:textId="3F0062D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84E21">
              <w:rPr>
                <w:sz w:val="22"/>
                <w:szCs w:val="22"/>
              </w:rPr>
              <w:t xml:space="preserve">Denying waivers for winning bidders that have not made appropriate efforts to secure state approvals or prosecute their applications.  These bidders would have otherwise received </w:t>
            </w:r>
            <w:r w:rsidRPr="00E84E21" w:rsidR="007A1237">
              <w:rPr>
                <w:sz w:val="22"/>
                <w:szCs w:val="22"/>
              </w:rPr>
              <w:t>approximately</w:t>
            </w:r>
            <w:r w:rsidRPr="00E84E21">
              <w:rPr>
                <w:sz w:val="22"/>
                <w:szCs w:val="22"/>
              </w:rPr>
              <w:t xml:space="preserve"> $3</w:t>
            </w:r>
            <w:r w:rsidRPr="00E84E21" w:rsidR="007A1237">
              <w:rPr>
                <w:sz w:val="22"/>
                <w:szCs w:val="22"/>
              </w:rPr>
              <w:t>50</w:t>
            </w:r>
            <w:r w:rsidRPr="00E84E21">
              <w:rPr>
                <w:sz w:val="22"/>
                <w:szCs w:val="22"/>
              </w:rPr>
              <w:t xml:space="preserve"> million. </w:t>
            </w:r>
          </w:p>
          <w:p w:rsidR="00F35627" w:rsidRPr="00E84E21" w:rsidP="00F35627" w14:paraId="0B8AB8BE" w14:textId="7777777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84E21">
              <w:rPr>
                <w:sz w:val="22"/>
                <w:szCs w:val="22"/>
              </w:rPr>
              <w:t xml:space="preserve">Publishing a list of areas where providers had defaulted, thereby making those places available for other broadband funding opportunities.  </w:t>
            </w:r>
          </w:p>
          <w:p w:rsidR="00F35627" w:rsidRPr="00E84E21" w:rsidP="00F35627" w14:paraId="63DDF74F" w14:textId="7777777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84E21">
              <w:rPr>
                <w:sz w:val="22"/>
                <w:szCs w:val="22"/>
              </w:rPr>
              <w:t xml:space="preserve">Conducting an exhaustive technical, financial, and legal review of all winning bidders. </w:t>
            </w:r>
          </w:p>
          <w:p w:rsidR="00F35627" w:rsidRPr="00E84E21" w:rsidP="00F35627" w14:paraId="55658AEF" w14:textId="77777777">
            <w:pPr>
              <w:rPr>
                <w:sz w:val="22"/>
                <w:szCs w:val="22"/>
              </w:rPr>
            </w:pPr>
          </w:p>
          <w:p w:rsidR="00F76485" w:rsidRPr="00E84E21" w:rsidP="00F76485" w14:paraId="5252E430" w14:textId="7854E45D">
            <w:pPr>
              <w:tabs>
                <w:tab w:val="left" w:pos="8625"/>
              </w:tabs>
              <w:rPr>
                <w:sz w:val="22"/>
                <w:szCs w:val="22"/>
              </w:rPr>
            </w:pPr>
            <w:r w:rsidRPr="00E84E21">
              <w:rPr>
                <w:sz w:val="22"/>
                <w:szCs w:val="22"/>
              </w:rPr>
              <w:tab/>
            </w:r>
            <w:r w:rsidRPr="00E84E21">
              <w:rPr>
                <w:sz w:val="22"/>
                <w:szCs w:val="22"/>
              </w:rPr>
              <w:t xml:space="preserve">A list of the eligible census blocks covered by defaulted bids </w:t>
            </w:r>
            <w:r w:rsidRPr="00E84E21" w:rsidR="00E63A08">
              <w:rPr>
                <w:sz w:val="22"/>
                <w:szCs w:val="22"/>
              </w:rPr>
              <w:t>is</w:t>
            </w:r>
            <w:r w:rsidRPr="00E84E21">
              <w:rPr>
                <w:sz w:val="22"/>
                <w:szCs w:val="22"/>
              </w:rPr>
              <w:t xml:space="preserve"> available on the Auction 904 website under the “Results” tab, https://www.fcc.gov/auction/904/round-results.  </w:t>
            </w:r>
          </w:p>
          <w:p w:rsidR="00F76485" w:rsidRPr="00E84E21" w:rsidP="00F76485" w14:paraId="5108F574" w14:textId="77777777">
            <w:pPr>
              <w:tabs>
                <w:tab w:val="left" w:pos="8625"/>
              </w:tabs>
              <w:rPr>
                <w:sz w:val="22"/>
                <w:szCs w:val="22"/>
              </w:rPr>
            </w:pPr>
          </w:p>
          <w:p w:rsidR="006624E6" w:rsidRPr="00E84E21" w:rsidP="00F76485" w14:paraId="29BB2B5D" w14:textId="2A24DBF8">
            <w:pPr>
              <w:tabs>
                <w:tab w:val="left" w:pos="8625"/>
              </w:tabs>
              <w:rPr>
                <w:sz w:val="22"/>
                <w:szCs w:val="22"/>
              </w:rPr>
            </w:pPr>
            <w:r w:rsidRPr="00E84E21">
              <w:rPr>
                <w:sz w:val="22"/>
                <w:szCs w:val="22"/>
              </w:rPr>
              <w:t xml:space="preserve">For a list of </w:t>
            </w:r>
            <w:r w:rsidRPr="00E84E21" w:rsidR="00557CED">
              <w:rPr>
                <w:sz w:val="22"/>
                <w:szCs w:val="22"/>
              </w:rPr>
              <w:t xml:space="preserve">RDOF </w:t>
            </w:r>
            <w:r w:rsidRPr="00E84E21">
              <w:rPr>
                <w:sz w:val="22"/>
                <w:szCs w:val="22"/>
              </w:rPr>
              <w:t xml:space="preserve">providers and funding amounts by state, see </w:t>
            </w:r>
            <w:hyperlink r:id="rId6" w:history="1">
              <w:r w:rsidRPr="00E84E21">
                <w:rPr>
                  <w:rStyle w:val="Hyperlink"/>
                  <w:sz w:val="22"/>
                  <w:szCs w:val="22"/>
                </w:rPr>
                <w:t>https://www.fcc.gov/auction/904</w:t>
              </w:r>
            </w:hyperlink>
            <w:r w:rsidRPr="00E84E21">
              <w:rPr>
                <w:sz w:val="22"/>
                <w:szCs w:val="22"/>
              </w:rPr>
              <w:t>.</w:t>
            </w:r>
          </w:p>
          <w:p w:rsidR="006624E6" w:rsidRPr="008C0426" w:rsidP="004F759A" w14:paraId="62E296AC" w14:textId="77777777">
            <w:pPr>
              <w:rPr>
                <w:sz w:val="22"/>
                <w:szCs w:val="22"/>
              </w:rPr>
            </w:pPr>
          </w:p>
          <w:p w:rsidR="004F0F1F" w:rsidRPr="007475A1" w:rsidP="006624E6" w14:paraId="4FAE061B" w14:textId="656FF06A">
            <w:pPr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22D118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6071C9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9E0F34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83474C4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E14FBF"/>
    <w:multiLevelType w:val="hybridMultilevel"/>
    <w:tmpl w:val="8FFC3EA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4AAE4C58"/>
    <w:multiLevelType w:val="hybridMultilevel"/>
    <w:tmpl w:val="29228270"/>
    <w:lvl w:ilvl="0">
      <w:start w:val="0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D3AFD"/>
    <w:multiLevelType w:val="hybridMultilevel"/>
    <w:tmpl w:val="79705AE6"/>
    <w:lvl w:ilvl="0">
      <w:start w:val="0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15F51"/>
    <w:multiLevelType w:val="hybridMultilevel"/>
    <w:tmpl w:val="82C8C72A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70BA2"/>
    <w:multiLevelType w:val="hybridMultilevel"/>
    <w:tmpl w:val="E15E8CCC"/>
    <w:lvl w:ilvl="0">
      <w:start w:val="0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30DEA"/>
    <w:multiLevelType w:val="hybridMultilevel"/>
    <w:tmpl w:val="FF74B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8F"/>
    <w:rsid w:val="0002500C"/>
    <w:rsid w:val="000311FC"/>
    <w:rsid w:val="00040127"/>
    <w:rsid w:val="000441B8"/>
    <w:rsid w:val="00065E2D"/>
    <w:rsid w:val="00081232"/>
    <w:rsid w:val="000836D9"/>
    <w:rsid w:val="00091E65"/>
    <w:rsid w:val="00096D4A"/>
    <w:rsid w:val="000A38EA"/>
    <w:rsid w:val="000C0C54"/>
    <w:rsid w:val="000C1E47"/>
    <w:rsid w:val="000C26F3"/>
    <w:rsid w:val="000E049E"/>
    <w:rsid w:val="000F045C"/>
    <w:rsid w:val="0010799B"/>
    <w:rsid w:val="00117DB2"/>
    <w:rsid w:val="00123ED2"/>
    <w:rsid w:val="00125BE0"/>
    <w:rsid w:val="00142C13"/>
    <w:rsid w:val="00152776"/>
    <w:rsid w:val="00153222"/>
    <w:rsid w:val="00153C49"/>
    <w:rsid w:val="001577D3"/>
    <w:rsid w:val="001733A6"/>
    <w:rsid w:val="001865A9"/>
    <w:rsid w:val="00187DB2"/>
    <w:rsid w:val="001B20BB"/>
    <w:rsid w:val="001C210A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674D0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53DA5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3B79"/>
    <w:rsid w:val="00441F59"/>
    <w:rsid w:val="00443B7F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D5CD3"/>
    <w:rsid w:val="004E2BD8"/>
    <w:rsid w:val="004F0F1F"/>
    <w:rsid w:val="004F759A"/>
    <w:rsid w:val="005022AA"/>
    <w:rsid w:val="00504845"/>
    <w:rsid w:val="0050757F"/>
    <w:rsid w:val="00516AD2"/>
    <w:rsid w:val="00545DAE"/>
    <w:rsid w:val="00557CED"/>
    <w:rsid w:val="00571B83"/>
    <w:rsid w:val="00575A00"/>
    <w:rsid w:val="0058097D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24E6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4E0F"/>
    <w:rsid w:val="006D5D22"/>
    <w:rsid w:val="006E0324"/>
    <w:rsid w:val="006E4A76"/>
    <w:rsid w:val="006F1DBD"/>
    <w:rsid w:val="006F45E5"/>
    <w:rsid w:val="00700556"/>
    <w:rsid w:val="00701625"/>
    <w:rsid w:val="0070589A"/>
    <w:rsid w:val="00712414"/>
    <w:rsid w:val="007167DD"/>
    <w:rsid w:val="00717212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1237"/>
    <w:rsid w:val="007A44F8"/>
    <w:rsid w:val="007B053F"/>
    <w:rsid w:val="007B1933"/>
    <w:rsid w:val="007D21BF"/>
    <w:rsid w:val="007F3C12"/>
    <w:rsid w:val="007F5205"/>
    <w:rsid w:val="0080486B"/>
    <w:rsid w:val="0081409E"/>
    <w:rsid w:val="008215E7"/>
    <w:rsid w:val="00825155"/>
    <w:rsid w:val="00825D66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0426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7D01"/>
    <w:rsid w:val="0093373C"/>
    <w:rsid w:val="00957744"/>
    <w:rsid w:val="00961620"/>
    <w:rsid w:val="009734B6"/>
    <w:rsid w:val="0098096F"/>
    <w:rsid w:val="0098437A"/>
    <w:rsid w:val="00986C92"/>
    <w:rsid w:val="00993C47"/>
    <w:rsid w:val="009972BC"/>
    <w:rsid w:val="009A348F"/>
    <w:rsid w:val="009B4B16"/>
    <w:rsid w:val="009C4338"/>
    <w:rsid w:val="009E54A1"/>
    <w:rsid w:val="009F389E"/>
    <w:rsid w:val="009F4E25"/>
    <w:rsid w:val="009F5B1F"/>
    <w:rsid w:val="00A00D43"/>
    <w:rsid w:val="00A225A9"/>
    <w:rsid w:val="00A3308E"/>
    <w:rsid w:val="00A35DFD"/>
    <w:rsid w:val="00A460A8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27110"/>
    <w:rsid w:val="00C31ED8"/>
    <w:rsid w:val="00C432E4"/>
    <w:rsid w:val="00C70C26"/>
    <w:rsid w:val="00C72001"/>
    <w:rsid w:val="00C772B7"/>
    <w:rsid w:val="00C80347"/>
    <w:rsid w:val="00CA3F44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5D3F"/>
    <w:rsid w:val="00D46CB1"/>
    <w:rsid w:val="00D723F0"/>
    <w:rsid w:val="00D73C0A"/>
    <w:rsid w:val="00D75B18"/>
    <w:rsid w:val="00D8133F"/>
    <w:rsid w:val="00D861EE"/>
    <w:rsid w:val="00D94140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3E7D"/>
    <w:rsid w:val="00E349AA"/>
    <w:rsid w:val="00E41390"/>
    <w:rsid w:val="00E41CA0"/>
    <w:rsid w:val="00E4366B"/>
    <w:rsid w:val="00E50A4A"/>
    <w:rsid w:val="00E606DE"/>
    <w:rsid w:val="00E63A08"/>
    <w:rsid w:val="00E644FE"/>
    <w:rsid w:val="00E72733"/>
    <w:rsid w:val="00E742FA"/>
    <w:rsid w:val="00E76816"/>
    <w:rsid w:val="00E83DBF"/>
    <w:rsid w:val="00E84E21"/>
    <w:rsid w:val="00E87C13"/>
    <w:rsid w:val="00E94CD9"/>
    <w:rsid w:val="00EA1A76"/>
    <w:rsid w:val="00EA290B"/>
    <w:rsid w:val="00EE0E90"/>
    <w:rsid w:val="00EE0FEC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35627"/>
    <w:rsid w:val="00F50D25"/>
    <w:rsid w:val="00F535D8"/>
    <w:rsid w:val="00F61155"/>
    <w:rsid w:val="00F708E3"/>
    <w:rsid w:val="00F76485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1EB5077"/>
  <w15:docId w15:val="{32185A16-09C9-4D14-9725-7860415D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D3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356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5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56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5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21-1581A1.pdf" TargetMode="External" /><Relationship Id="rId6" Type="http://schemas.openxmlformats.org/officeDocument/2006/relationships/hyperlink" Target="https://www.fcc.gov/auction/904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