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12FC5" w:rsidP="00066793" w14:paraId="277D132C" w14:textId="6A771C51">
      <w:pPr>
        <w:widowControl/>
      </w:pPr>
      <w:r>
        <w:rPr>
          <w:noProof/>
          <w:snapToGrid/>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6981825" cy="2085975"/>
                <wp:effectExtent l="0" t="0" r="28575" b="28575"/>
                <wp:wrapNone/>
                <wp:docPr id="42" name="Rectangle 42"/>
                <wp:cNvGraphicFramePr/>
                <a:graphic xmlns:a="http://schemas.openxmlformats.org/drawingml/2006/main">
                  <a:graphicData uri="http://schemas.microsoft.com/office/word/2010/wordprocessingShape">
                    <wps:wsp xmlns:wps="http://schemas.microsoft.com/office/word/2010/wordprocessingShape">
                      <wps:cNvSpPr/>
                      <wps:spPr>
                        <a:xfrm>
                          <a:off x="0" y="0"/>
                          <a:ext cx="6981825" cy="2085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6D25" w:rsidRPr="001B6469" w:rsidP="001B6469" w14:textId="77777777">
                            <w:pPr>
                              <w:pStyle w:val="ParaNum"/>
                              <w:numPr>
                                <w:ilvl w:val="0"/>
                                <w:numId w:val="0"/>
                              </w:numPr>
                              <w:spacing w:after="0"/>
                              <w:jc w:val="center"/>
                              <w:rPr>
                                <w:color w:val="000000" w:themeColor="text1"/>
                                <w:sz w:val="52"/>
                                <w:szCs w:val="52"/>
                                <w14:shadow w14:blurRad="38100" w14:dist="19050" w14:dir="2700000" w14:sx="100000" w14:sy="100000" w14:kx="0" w14:ky="0" w14:algn="tl">
                                  <w14:schemeClr w14:val="dk1">
                                    <w14:alpha w14:val="60000"/>
                                  </w14:schemeClr>
                                </w14:shadow>
                                <w14:textOutline w14:w="0">
                                  <w14:noFill/>
                                  <w14:prstDash w14:val="solid"/>
                                  <w14:round/>
                                </w14:textOutline>
                              </w:rPr>
                            </w:pPr>
                            <w:r w:rsidRPr="001B6469">
                              <w:rPr>
                                <w:color w:val="000000" w:themeColor="text1"/>
                                <w:sz w:val="52"/>
                                <w:szCs w:val="52"/>
                                <w14:shadow w14:blurRad="38100" w14:dist="19050" w14:dir="2700000" w14:sx="100000" w14:sy="100000" w14:kx="0" w14:ky="0" w14:algn="tl">
                                  <w14:schemeClr w14:val="dk1">
                                    <w14:alpha w14:val="60000"/>
                                  </w14:schemeClr>
                                </w14:shadow>
                                <w14:textOutline w14:w="0">
                                  <w14:noFill/>
                                  <w14:prstDash w14:val="solid"/>
                                  <w14:round/>
                                </w14:textOutline>
                              </w:rPr>
                              <w:t>Report:</w:t>
                            </w:r>
                          </w:p>
                          <w:p w:rsidR="00766D25" w:rsidRPr="001B6469" w:rsidP="001B6469" w14:textId="77777777">
                            <w:pPr>
                              <w:pStyle w:val="ParaNum"/>
                              <w:numPr>
                                <w:ilvl w:val="0"/>
                                <w:numId w:val="0"/>
                              </w:numPr>
                              <w:spacing w:after="0"/>
                              <w:jc w:val="center"/>
                              <w:rPr>
                                <w:color w:val="000000" w:themeColor="text1"/>
                                <w:sz w:val="52"/>
                                <w:szCs w:val="52"/>
                                <w14:shadow w14:blurRad="38100" w14:dist="19050" w14:dir="2700000" w14:sx="100000" w14:sy="100000" w14:kx="0" w14:ky="0" w14:algn="tl">
                                  <w14:schemeClr w14:val="dk1">
                                    <w14:alpha w14:val="60000"/>
                                  </w14:schemeClr>
                                </w14:shadow>
                                <w14:textOutline w14:w="0">
                                  <w14:noFill/>
                                  <w14:prstDash w14:val="solid"/>
                                  <w14:round/>
                                </w14:textOutline>
                              </w:rPr>
                            </w:pPr>
                            <w:r w:rsidRPr="001B6469">
                              <w:rPr>
                                <w:color w:val="000000" w:themeColor="text1"/>
                                <w:sz w:val="52"/>
                                <w:szCs w:val="52"/>
                                <w14:shadow w14:blurRad="38100" w14:dist="19050" w14:dir="2700000" w14:sx="100000" w14:sy="100000" w14:kx="0" w14:ky="0" w14:algn="tl">
                                  <w14:schemeClr w14:val="dk1">
                                    <w14:alpha w14:val="60000"/>
                                  </w14:schemeClr>
                                </w14:shadow>
                                <w14:textOutline w14:w="0">
                                  <w14:noFill/>
                                  <w14:prstDash w14:val="solid"/>
                                  <w14:round/>
                                </w14:textOutline>
                              </w:rPr>
                              <w:t>August 11, 2021 Nationwide WEA Test</w:t>
                            </w:r>
                          </w:p>
                          <w:p w:rsidR="00766D25" w:rsidRPr="001B6469" w:rsidP="001B6469" w14:textId="77777777">
                            <w:pPr>
                              <w:pStyle w:val="ParaNum"/>
                              <w:numPr>
                                <w:ilvl w:val="0"/>
                                <w:numId w:val="0"/>
                              </w:numPr>
                              <w:spacing w:after="0"/>
                              <w:jc w:val="center"/>
                              <w:rPr>
                                <w:color w:val="000000" w:themeColor="text1"/>
                                <w:sz w:val="28"/>
                                <w:szCs w:val="28"/>
                                <w14:shadow w14:blurRad="38100" w14:dist="19050" w14:dir="2700000" w14:sx="100000" w14:sy="100000" w14:kx="0" w14:ky="0" w14:algn="tl">
                                  <w14:schemeClr w14:val="dk1">
                                    <w14:alpha w14:val="60000"/>
                                  </w14:schemeClr>
                                </w14:shadow>
                                <w14:textOutline w14:w="0">
                                  <w14:noFill/>
                                  <w14:prstDash w14:val="solid"/>
                                  <w14:round/>
                                </w14:textOutline>
                              </w:rPr>
                            </w:pPr>
                          </w:p>
                          <w:p w:rsidR="00766D25" w:rsidRPr="001B6469" w:rsidP="001B6469" w14:textId="77777777">
                            <w:pPr>
                              <w:pStyle w:val="ParaNum"/>
                              <w:numPr>
                                <w:ilvl w:val="0"/>
                                <w:numId w:val="0"/>
                              </w:numPr>
                              <w:spacing w:after="0"/>
                              <w:jc w:val="center"/>
                              <w:rPr>
                                <w:color w:val="000000" w:themeColor="text1"/>
                                <w:sz w:val="28"/>
                                <w:szCs w:val="28"/>
                                <w14:shadow w14:blurRad="38100" w14:dist="19050" w14:dir="2700000" w14:sx="100000" w14:sy="100000" w14:kx="0" w14:ky="0" w14:algn="tl">
                                  <w14:schemeClr w14:val="dk1">
                                    <w14:alpha w14:val="60000"/>
                                  </w14:schemeClr>
                                </w14:shadow>
                                <w14:textOutline w14:w="0">
                                  <w14:noFill/>
                                  <w14:prstDash w14:val="solid"/>
                                  <w14:round/>
                                </w14:textOutline>
                              </w:rPr>
                            </w:pPr>
                            <w:r w:rsidRPr="001B6469">
                              <w:rPr>
                                <w:color w:val="000000" w:themeColor="text1"/>
                                <w:sz w:val="28"/>
                                <w:szCs w:val="28"/>
                                <w14:shadow w14:blurRad="38100" w14:dist="19050" w14:dir="2700000" w14:sx="100000" w14:sy="100000" w14:kx="0" w14:ky="0" w14:algn="tl">
                                  <w14:schemeClr w14:val="dk1">
                                    <w14:alpha w14:val="60000"/>
                                  </w14:schemeClr>
                                </w14:shadow>
                                <w14:textOutline w14:w="0">
                                  <w14:noFill/>
                                  <w14:prstDash w14:val="solid"/>
                                  <w14:round/>
                                </w14:textOutline>
                              </w:rPr>
                              <w:t>December 2021</w:t>
                            </w:r>
                          </w:p>
                          <w:p w:rsidR="00766D25" w:rsidP="001B6469"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ect id="Rectangle 42" o:spid="_x0000_s1025" style="width:549.75pt;height:164.25pt;margin-top:0.75pt;margin-left:0;mso-position-horizontal:center;mso-position-horizontal-relative:margin;mso-wrap-distance-bottom:0;mso-wrap-distance-left:9pt;mso-wrap-distance-right:9pt;mso-wrap-distance-top:0;mso-wrap-style:square;position:absolute;visibility:visible;v-text-anchor:middle;z-index:251659264" fillcolor="#4472c4" strokecolor="#1f3763" strokeweight="1pt">
                <v:textbox>
                  <w:txbxContent>
                    <w:p w:rsidR="00766D25" w:rsidRPr="001B6469" w:rsidP="001B6469" w14:paraId="09720641" w14:textId="77777777">
                      <w:pPr>
                        <w:pStyle w:val="ParaNum"/>
                        <w:numPr>
                          <w:ilvl w:val="0"/>
                          <w:numId w:val="0"/>
                        </w:numPr>
                        <w:spacing w:after="0"/>
                        <w:jc w:val="center"/>
                        <w:rPr>
                          <w:color w:val="000000" w:themeColor="text1"/>
                          <w:sz w:val="52"/>
                          <w:szCs w:val="52"/>
                          <w14:shadow w14:blurRad="38100" w14:dist="19050" w14:dir="2700000" w14:sx="100000" w14:sy="100000" w14:kx="0" w14:ky="0" w14:algn="tl">
                            <w14:schemeClr w14:val="dk1">
                              <w14:alpha w14:val="60000"/>
                            </w14:schemeClr>
                          </w14:shadow>
                          <w14:textOutline w14:w="0">
                            <w14:noFill/>
                            <w14:prstDash w14:val="solid"/>
                            <w14:round/>
                          </w14:textOutline>
                        </w:rPr>
                      </w:pPr>
                      <w:r w:rsidRPr="001B6469">
                        <w:rPr>
                          <w:color w:val="000000" w:themeColor="text1"/>
                          <w:sz w:val="52"/>
                          <w:szCs w:val="52"/>
                          <w14:shadow w14:blurRad="38100" w14:dist="19050" w14:dir="2700000" w14:sx="100000" w14:sy="100000" w14:kx="0" w14:ky="0" w14:algn="tl">
                            <w14:schemeClr w14:val="dk1">
                              <w14:alpha w14:val="60000"/>
                            </w14:schemeClr>
                          </w14:shadow>
                          <w14:textOutline w14:w="0">
                            <w14:noFill/>
                            <w14:prstDash w14:val="solid"/>
                            <w14:round/>
                          </w14:textOutline>
                        </w:rPr>
                        <w:t>Report:</w:t>
                      </w:r>
                    </w:p>
                    <w:p w:rsidR="00766D25" w:rsidRPr="001B6469" w:rsidP="001B6469" w14:paraId="7666AEE5" w14:textId="77777777">
                      <w:pPr>
                        <w:pStyle w:val="ParaNum"/>
                        <w:numPr>
                          <w:ilvl w:val="0"/>
                          <w:numId w:val="0"/>
                        </w:numPr>
                        <w:spacing w:after="0"/>
                        <w:jc w:val="center"/>
                        <w:rPr>
                          <w:color w:val="000000" w:themeColor="text1"/>
                          <w:sz w:val="52"/>
                          <w:szCs w:val="52"/>
                          <w14:shadow w14:blurRad="38100" w14:dist="19050" w14:dir="2700000" w14:sx="100000" w14:sy="100000" w14:kx="0" w14:ky="0" w14:algn="tl">
                            <w14:schemeClr w14:val="dk1">
                              <w14:alpha w14:val="60000"/>
                            </w14:schemeClr>
                          </w14:shadow>
                          <w14:textOutline w14:w="0">
                            <w14:noFill/>
                            <w14:prstDash w14:val="solid"/>
                            <w14:round/>
                          </w14:textOutline>
                        </w:rPr>
                      </w:pPr>
                      <w:r w:rsidRPr="001B6469">
                        <w:rPr>
                          <w:color w:val="000000" w:themeColor="text1"/>
                          <w:sz w:val="52"/>
                          <w:szCs w:val="52"/>
                          <w14:shadow w14:blurRad="38100" w14:dist="19050" w14:dir="2700000" w14:sx="100000" w14:sy="100000" w14:kx="0" w14:ky="0" w14:algn="tl">
                            <w14:schemeClr w14:val="dk1">
                              <w14:alpha w14:val="60000"/>
                            </w14:schemeClr>
                          </w14:shadow>
                          <w14:textOutline w14:w="0">
                            <w14:noFill/>
                            <w14:prstDash w14:val="solid"/>
                            <w14:round/>
                          </w14:textOutline>
                        </w:rPr>
                        <w:t>August 11, 2021 Nationwide WEA Test</w:t>
                      </w:r>
                    </w:p>
                    <w:p w:rsidR="00766D25" w:rsidRPr="001B6469" w:rsidP="001B6469" w14:paraId="5C508BBD" w14:textId="77777777">
                      <w:pPr>
                        <w:pStyle w:val="ParaNum"/>
                        <w:numPr>
                          <w:ilvl w:val="0"/>
                          <w:numId w:val="0"/>
                        </w:numPr>
                        <w:spacing w:after="0"/>
                        <w:jc w:val="center"/>
                        <w:rPr>
                          <w:color w:val="000000" w:themeColor="text1"/>
                          <w:sz w:val="28"/>
                          <w:szCs w:val="28"/>
                          <w14:shadow w14:blurRad="38100" w14:dist="19050" w14:dir="2700000" w14:sx="100000" w14:sy="100000" w14:kx="0" w14:ky="0" w14:algn="tl">
                            <w14:schemeClr w14:val="dk1">
                              <w14:alpha w14:val="60000"/>
                            </w14:schemeClr>
                          </w14:shadow>
                          <w14:textOutline w14:w="0">
                            <w14:noFill/>
                            <w14:prstDash w14:val="solid"/>
                            <w14:round/>
                          </w14:textOutline>
                        </w:rPr>
                      </w:pPr>
                    </w:p>
                    <w:p w:rsidR="00766D25" w:rsidRPr="001B6469" w:rsidP="001B6469" w14:paraId="190DB7F1" w14:textId="77777777">
                      <w:pPr>
                        <w:pStyle w:val="ParaNum"/>
                        <w:numPr>
                          <w:ilvl w:val="0"/>
                          <w:numId w:val="0"/>
                        </w:numPr>
                        <w:spacing w:after="0"/>
                        <w:jc w:val="center"/>
                        <w:rPr>
                          <w:color w:val="000000" w:themeColor="text1"/>
                          <w:sz w:val="28"/>
                          <w:szCs w:val="28"/>
                          <w14:shadow w14:blurRad="38100" w14:dist="19050" w14:dir="2700000" w14:sx="100000" w14:sy="100000" w14:kx="0" w14:ky="0" w14:algn="tl">
                            <w14:schemeClr w14:val="dk1">
                              <w14:alpha w14:val="60000"/>
                            </w14:schemeClr>
                          </w14:shadow>
                          <w14:textOutline w14:w="0">
                            <w14:noFill/>
                            <w14:prstDash w14:val="solid"/>
                            <w14:round/>
                          </w14:textOutline>
                        </w:rPr>
                      </w:pPr>
                      <w:r w:rsidRPr="001B6469">
                        <w:rPr>
                          <w:color w:val="000000" w:themeColor="text1"/>
                          <w:sz w:val="28"/>
                          <w:szCs w:val="28"/>
                          <w14:shadow w14:blurRad="38100" w14:dist="19050" w14:dir="2700000" w14:sx="100000" w14:sy="100000" w14:kx="0" w14:ky="0" w14:algn="tl">
                            <w14:schemeClr w14:val="dk1">
                              <w14:alpha w14:val="60000"/>
                            </w14:schemeClr>
                          </w14:shadow>
                          <w14:textOutline w14:w="0">
                            <w14:noFill/>
                            <w14:prstDash w14:val="solid"/>
                            <w14:round/>
                          </w14:textOutline>
                        </w:rPr>
                        <w:t>December 2021</w:t>
                      </w:r>
                    </w:p>
                    <w:p w:rsidR="00766D25" w:rsidP="001B6469" w14:paraId="6A5E9D83" w14:textId="77777777">
                      <w:pPr>
                        <w:jc w:val="center"/>
                      </w:pPr>
                    </w:p>
                  </w:txbxContent>
                </v:textbox>
                <w10:wrap anchorx="margin"/>
              </v:rect>
            </w:pict>
          </mc:Fallback>
        </mc:AlternateContent>
      </w:r>
    </w:p>
    <w:p w:rsidR="00905684" w:rsidP="00066793" w14:paraId="3611A51B" w14:textId="08EACC80">
      <w:pPr>
        <w:widowControl/>
      </w:pPr>
    </w:p>
    <w:p w:rsidR="00905684" w:rsidP="00066793" w14:paraId="08542B95" w14:textId="5CE8CFC2">
      <w:pPr>
        <w:widowControl/>
      </w:pPr>
    </w:p>
    <w:p w:rsidR="001B6469" w:rsidRPr="008A4B7B" w:rsidP="00066793" w14:paraId="60DB3FC1" w14:textId="13FFE782">
      <w:pPr>
        <w:pStyle w:val="ParaNum"/>
        <w:widowControl/>
        <w:numPr>
          <w:ilvl w:val="0"/>
          <w:numId w:val="0"/>
        </w:numPr>
        <w:spacing w:after="0"/>
        <w:jc w:val="center"/>
        <w:rPr>
          <w:rFonts w:ascii="Calibri" w:hAnsi="Calibri"/>
          <w:b/>
          <w:sz w:val="52"/>
          <w:szCs w:val="52"/>
        </w:rPr>
      </w:pPr>
      <w:r w:rsidRPr="008A4B7B">
        <w:rPr>
          <w:rFonts w:ascii="Calibri" w:hAnsi="Calibri"/>
          <w:b/>
          <w:sz w:val="52"/>
          <w:szCs w:val="52"/>
        </w:rPr>
        <w:t>Report:</w:t>
      </w:r>
    </w:p>
    <w:p w:rsidR="001B6469" w:rsidP="00066793" w14:paraId="5629C726" w14:textId="13D5ED32">
      <w:pPr>
        <w:pStyle w:val="ParaNum"/>
        <w:widowControl/>
        <w:numPr>
          <w:ilvl w:val="0"/>
          <w:numId w:val="0"/>
        </w:numPr>
        <w:spacing w:after="0"/>
        <w:jc w:val="center"/>
        <w:rPr>
          <w:rFonts w:ascii="Calibri" w:hAnsi="Calibri"/>
          <w:b/>
          <w:sz w:val="52"/>
          <w:szCs w:val="52"/>
        </w:rPr>
      </w:pPr>
      <w:r>
        <w:rPr>
          <w:rFonts w:ascii="Calibri" w:hAnsi="Calibri"/>
          <w:b/>
          <w:sz w:val="52"/>
          <w:szCs w:val="52"/>
        </w:rPr>
        <w:t>August 11</w:t>
      </w:r>
      <w:r w:rsidRPr="008A4B7B">
        <w:rPr>
          <w:rFonts w:ascii="Calibri" w:hAnsi="Calibri"/>
          <w:b/>
          <w:sz w:val="52"/>
          <w:szCs w:val="52"/>
        </w:rPr>
        <w:t>, 20</w:t>
      </w:r>
      <w:r>
        <w:rPr>
          <w:rFonts w:ascii="Calibri" w:hAnsi="Calibri"/>
          <w:b/>
          <w:sz w:val="52"/>
          <w:szCs w:val="52"/>
        </w:rPr>
        <w:t>21</w:t>
      </w:r>
      <w:r w:rsidRPr="008A4B7B">
        <w:rPr>
          <w:rFonts w:ascii="Calibri" w:hAnsi="Calibri"/>
          <w:b/>
          <w:sz w:val="52"/>
          <w:szCs w:val="52"/>
        </w:rPr>
        <w:t xml:space="preserve"> Nationwide </w:t>
      </w:r>
      <w:r>
        <w:rPr>
          <w:rFonts w:ascii="Calibri" w:hAnsi="Calibri"/>
          <w:b/>
          <w:sz w:val="52"/>
          <w:szCs w:val="52"/>
        </w:rPr>
        <w:t>WEA</w:t>
      </w:r>
      <w:r w:rsidRPr="008A4B7B">
        <w:rPr>
          <w:rFonts w:ascii="Calibri" w:hAnsi="Calibri"/>
          <w:b/>
          <w:sz w:val="52"/>
          <w:szCs w:val="52"/>
        </w:rPr>
        <w:t xml:space="preserve"> Test</w:t>
      </w:r>
    </w:p>
    <w:p w:rsidR="001B6469" w:rsidP="00066793" w14:paraId="292B0A64" w14:textId="59E8C1BD">
      <w:pPr>
        <w:pStyle w:val="ParaNum"/>
        <w:widowControl/>
        <w:numPr>
          <w:ilvl w:val="0"/>
          <w:numId w:val="0"/>
        </w:numPr>
        <w:spacing w:after="0"/>
        <w:jc w:val="center"/>
        <w:rPr>
          <w:rFonts w:ascii="Calibri" w:hAnsi="Calibri"/>
          <w:b/>
          <w:sz w:val="28"/>
          <w:szCs w:val="28"/>
        </w:rPr>
      </w:pPr>
    </w:p>
    <w:p w:rsidR="001B6469" w:rsidRPr="00E3078E" w:rsidP="00066793" w14:paraId="733A6A14" w14:textId="5FE08F2B">
      <w:pPr>
        <w:pStyle w:val="ParaNum"/>
        <w:widowControl/>
        <w:numPr>
          <w:ilvl w:val="0"/>
          <w:numId w:val="0"/>
        </w:numPr>
        <w:spacing w:after="0"/>
        <w:jc w:val="center"/>
        <w:rPr>
          <w:rFonts w:ascii="Calibri" w:hAnsi="Calibri"/>
          <w:b/>
          <w:sz w:val="28"/>
          <w:szCs w:val="28"/>
        </w:rPr>
      </w:pPr>
      <w:r>
        <w:rPr>
          <w:rFonts w:ascii="Calibri" w:hAnsi="Calibri"/>
          <w:b/>
          <w:sz w:val="28"/>
          <w:szCs w:val="28"/>
        </w:rPr>
        <w:t>December</w:t>
      </w:r>
      <w:r w:rsidRPr="008D074A">
        <w:rPr>
          <w:rFonts w:ascii="Calibri" w:hAnsi="Calibri"/>
          <w:b/>
          <w:sz w:val="28"/>
          <w:szCs w:val="28"/>
        </w:rPr>
        <w:t xml:space="preserve"> </w:t>
      </w:r>
      <w:r w:rsidRPr="00E3078E">
        <w:rPr>
          <w:rFonts w:ascii="Calibri" w:hAnsi="Calibri"/>
          <w:b/>
          <w:sz w:val="28"/>
          <w:szCs w:val="28"/>
        </w:rPr>
        <w:t>20</w:t>
      </w:r>
      <w:r>
        <w:rPr>
          <w:rFonts w:ascii="Calibri" w:hAnsi="Calibri"/>
          <w:b/>
          <w:sz w:val="28"/>
          <w:szCs w:val="28"/>
        </w:rPr>
        <w:t>21</w:t>
      </w:r>
    </w:p>
    <w:p w:rsidR="00905684" w:rsidP="00066793" w14:paraId="06025942" w14:textId="510E4F81">
      <w:pPr>
        <w:widowControl/>
        <w:rPr>
          <w:sz w:val="48"/>
          <w:szCs w:val="44"/>
        </w:rPr>
      </w:pPr>
    </w:p>
    <w:p w:rsidR="00905684" w:rsidP="00066793" w14:paraId="2738B097" w14:textId="44DB5C9C">
      <w:pPr>
        <w:widowControl/>
        <w:rPr>
          <w:sz w:val="48"/>
          <w:szCs w:val="44"/>
        </w:rPr>
      </w:pPr>
    </w:p>
    <w:p w:rsidR="00905684" w:rsidP="00066793" w14:paraId="2E7C98A7" w14:textId="7CF8F92F">
      <w:pPr>
        <w:widowControl/>
        <w:rPr>
          <w:sz w:val="48"/>
          <w:szCs w:val="44"/>
        </w:rPr>
      </w:pPr>
    </w:p>
    <w:p w:rsidR="00905684" w:rsidP="00066793" w14:paraId="0166B7E4" w14:textId="57EF3959">
      <w:pPr>
        <w:widowControl/>
        <w:jc w:val="center"/>
        <w:rPr>
          <w:sz w:val="48"/>
          <w:szCs w:val="44"/>
        </w:rPr>
      </w:pPr>
      <w:r>
        <w:rPr>
          <w:noProof/>
          <w:snapToGrid/>
          <w:sz w:val="48"/>
          <w:szCs w:val="44"/>
        </w:rPr>
        <w:drawing>
          <wp:inline distT="0" distB="0" distL="0" distR="0">
            <wp:extent cx="5725642" cy="2562225"/>
            <wp:effectExtent l="0" t="0" r="889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746839" cy="2571711"/>
                    </a:xfrm>
                    <a:prstGeom prst="rect">
                      <a:avLst/>
                    </a:prstGeom>
                  </pic:spPr>
                </pic:pic>
              </a:graphicData>
            </a:graphic>
          </wp:inline>
        </w:drawing>
      </w:r>
    </w:p>
    <w:p w:rsidR="00905684" w:rsidP="00066793" w14:paraId="224BBE54" w14:textId="4ED1718F">
      <w:pPr>
        <w:widowControl/>
        <w:rPr>
          <w:sz w:val="48"/>
          <w:szCs w:val="44"/>
        </w:rPr>
      </w:pPr>
    </w:p>
    <w:p w:rsidR="00905684" w:rsidP="00066793" w14:paraId="53FE5B02" w14:textId="5FF63052">
      <w:pPr>
        <w:widowControl/>
        <w:rPr>
          <w:sz w:val="48"/>
          <w:szCs w:val="44"/>
        </w:rPr>
      </w:pPr>
    </w:p>
    <w:p w:rsidR="00905684" w:rsidP="00066793" w14:paraId="02A89668" w14:textId="189EB461">
      <w:pPr>
        <w:widowControl/>
        <w:rPr>
          <w:sz w:val="48"/>
          <w:szCs w:val="44"/>
        </w:rPr>
      </w:pPr>
    </w:p>
    <w:p w:rsidR="00905684" w:rsidP="00066793" w14:paraId="1B7AA13E" w14:textId="67BF175D">
      <w:pPr>
        <w:widowControl/>
        <w:rPr>
          <w:sz w:val="48"/>
          <w:szCs w:val="44"/>
        </w:rPr>
      </w:pPr>
      <w:r w:rsidRPr="00A741CA">
        <w:rPr>
          <w:noProof/>
          <w:color w:val="000000"/>
          <w:kern w:val="0"/>
          <w:shd w:val="clear" w:color="auto" w:fill="FFFFCC"/>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852170" cy="831844"/>
                <wp:effectExtent l="0" t="0" r="24130" b="26035"/>
                <wp:wrapNone/>
                <wp:docPr id="5" name="Group 11"/>
                <wp:cNvGraphicFramePr/>
                <a:graphic xmlns:a="http://schemas.openxmlformats.org/drawingml/2006/main">
                  <a:graphicData uri="http://schemas.microsoft.com/office/word/2010/wordprocessingGroup">
                    <wpg:wgp xmlns:wpg="http://schemas.microsoft.com/office/word/2010/wordprocessingGroup">
                      <wpg:cNvGrpSpPr/>
                      <wpg:grpSpPr>
                        <a:xfrm>
                          <a:off x="0" y="0"/>
                          <a:ext cx="852170" cy="831844"/>
                          <a:chOff x="11558" y="10856"/>
                          <a:chExt cx="117" cy="112"/>
                        </a:xfrm>
                      </wpg:grpSpPr>
                      <wpg:grpSp>
                        <wpg:cNvPr id="6" name="Group 12"/>
                        <wpg:cNvGrpSpPr/>
                        <wpg:grpSpPr>
                          <a:xfrm>
                            <a:off x="11558" y="10856"/>
                            <a:ext cx="117" cy="112"/>
                            <a:chOff x="11543" y="10631"/>
                            <a:chExt cx="117" cy="111"/>
                          </a:xfrm>
                        </wpg:grpSpPr>
                        <wpg:grpSp>
                          <wpg:cNvPr id="7" name="Group 13"/>
                          <wpg:cNvGrpSpPr/>
                          <wpg:grpSpPr>
                            <a:xfrm>
                              <a:off x="11543" y="10631"/>
                              <a:ext cx="117" cy="111"/>
                              <a:chOff x="10124" y="10773"/>
                              <a:chExt cx="392" cy="386"/>
                            </a:xfrm>
                          </wpg:grpSpPr>
                          <wpg:grpSp>
                            <wpg:cNvPr id="8" name="Group 14"/>
                            <wpg:cNvGrpSpPr/>
                            <wpg:grpSpPr>
                              <a:xfrm>
                                <a:off x="10124" y="10773"/>
                                <a:ext cx="393" cy="386"/>
                                <a:chOff x="10124" y="10773"/>
                                <a:chExt cx="395" cy="379"/>
                              </a:xfrm>
                            </wpg:grpSpPr>
                            <wps:wsp xmlns:wps="http://schemas.microsoft.com/office/word/2010/wordprocessingShape">
                              <wps:cNvPr id="9" name="Oval 15"/>
                              <wps:cNvSpPr>
                                <a:spLocks noChangeArrowheads="1"/>
                              </wps:cNvSpPr>
                              <wps:spPr bwMode="auto">
                                <a:xfrm>
                                  <a:off x="10124" y="10773"/>
                                  <a:ext cx="395" cy="379"/>
                                </a:xfrm>
                                <a:prstGeom prst="ellipse">
                                  <a:avLst/>
                                </a:prstGeom>
                                <a:solidFill>
                                  <a:srgbClr val="000000"/>
                                </a:solidFill>
                                <a:ln w="1270" algn="in">
                                  <a:solidFill>
                                    <a:srgbClr val="000000"/>
                                  </a:solidFill>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lIns="36576" tIns="36576" rIns="36576" bIns="36576" anchor="t" anchorCtr="0" upright="1"/>
                            </wps:wsp>
                            <wps:wsp xmlns:wps="http://schemas.microsoft.com/office/word/2010/wordprocessingShape">
                              <wps:cNvPr id="10" name="Oval 16"/>
                              <wps:cNvSpPr>
                                <a:spLocks noChangeArrowheads="1"/>
                              </wps:cNvSpPr>
                              <wps:spPr bwMode="auto">
                                <a:xfrm>
                                  <a:off x="10134" y="10784"/>
                                  <a:ext cx="375" cy="358"/>
                                </a:xfrm>
                                <a:prstGeom prst="ellipse">
                                  <a:avLst/>
                                </a:prstGeom>
                                <a:solidFill>
                                  <a:srgbClr val="003366"/>
                                </a:solidFill>
                                <a:ln w="1270" algn="in">
                                  <a:solidFill>
                                    <a:srgbClr val="003366"/>
                                  </a:solidFill>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lIns="36576" tIns="36576" rIns="36576" bIns="36576" anchor="t" anchorCtr="0" upright="1"/>
                            </wps:wsp>
                          </wpg:grpSp>
                          <wps:wsp xmlns:wps="http://schemas.microsoft.com/office/word/2010/wordprocessingShape">
                            <wps:cNvPr id="11" name="Oval 17"/>
                            <wps:cNvSpPr>
                              <a:spLocks noChangeArrowheads="1"/>
                            </wps:cNvSpPr>
                            <wps:spPr bwMode="auto">
                              <a:xfrm>
                                <a:off x="10175" y="10826"/>
                                <a:ext cx="289" cy="281"/>
                              </a:xfrm>
                              <a:prstGeom prst="ellipse">
                                <a:avLst/>
                              </a:prstGeom>
                              <a:solidFill>
                                <a:srgbClr val="000000"/>
                              </a:solidFill>
                              <a:ln w="1270" algn="in">
                                <a:solidFill>
                                  <a:srgbClr val="000000"/>
                                </a:solidFill>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lIns="36576" tIns="36576" rIns="36576" bIns="36576" anchor="t" anchorCtr="0" upright="1"/>
                          </wps:wsp>
                          <wps:wsp xmlns:wps="http://schemas.microsoft.com/office/word/2010/wordprocessingShape">
                            <wps:cNvPr id="12" name="Oval 18"/>
                            <wps:cNvSpPr>
                              <a:spLocks noChangeArrowheads="1"/>
                            </wps:cNvSpPr>
                            <wps:spPr bwMode="auto">
                              <a:xfrm>
                                <a:off x="10186" y="10839"/>
                                <a:ext cx="267" cy="256"/>
                              </a:xfrm>
                              <a:prstGeom prst="ellipse">
                                <a:avLst/>
                              </a:prstGeom>
                              <a:solidFill>
                                <a:srgbClr val="FFFFFF"/>
                              </a:solidFill>
                              <a:ln w="1270" algn="in">
                                <a:solidFill>
                                  <a:srgbClr val="FFFFFF"/>
                                </a:solidFill>
                                <a:round/>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lIns="36576" tIns="36576" rIns="36576" bIns="36576" anchor="t" anchorCtr="0" upright="1"/>
                          </wps:wsp>
                        </wpg:grpSp>
                        <wpg:grpSp>
                          <wpg:cNvPr id="13" name="Group 19"/>
                          <wpg:cNvGrpSpPr/>
                          <wpg:grpSpPr>
                            <a:xfrm rot="4021068">
                              <a:off x="11581" y="10679"/>
                              <a:ext cx="42" cy="77"/>
                              <a:chOff x="10197" y="11119"/>
                              <a:chExt cx="145" cy="259"/>
                            </a:xfrm>
                          </wpg:grpSpPr>
                          <wps:wsp xmlns:wps="http://schemas.microsoft.com/office/word/2010/wordprocessingShape">
                            <wps:cNvPr id="14" name="AutoShape 20"/>
                            <wps:cNvSpPr>
                              <a:spLocks noChangeArrowheads="1"/>
                            </wps:cNvSpPr>
                            <wps:spPr bwMode="auto">
                              <a:xfrm rot="13261403" flipH="1">
                                <a:off x="10239" y="11333"/>
                                <a:ext cx="29" cy="27"/>
                              </a:xfrm>
                              <a:custGeom>
                                <a:avLst/>
                                <a:gdLst>
                                  <a:gd name="T0" fmla="*/ 0 w 10000"/>
                                  <a:gd name="T1" fmla="*/ 10 h 10000"/>
                                  <a:gd name="T2" fmla="*/ 11 w 10000"/>
                                  <a:gd name="T3" fmla="*/ 10 h 10000"/>
                                  <a:gd name="T4" fmla="*/ 15 w 10000"/>
                                  <a:gd name="T5" fmla="*/ 0 h 10000"/>
                                  <a:gd name="T6" fmla="*/ 18 w 10000"/>
                                  <a:gd name="T7" fmla="*/ 10 h 10000"/>
                                  <a:gd name="T8" fmla="*/ 29 w 10000"/>
                                  <a:gd name="T9" fmla="*/ 10 h 10000"/>
                                  <a:gd name="T10" fmla="*/ 20 w 10000"/>
                                  <a:gd name="T11" fmla="*/ 17 h 10000"/>
                                  <a:gd name="T12" fmla="*/ 23 w 10000"/>
                                  <a:gd name="T13" fmla="*/ 27 h 10000"/>
                                  <a:gd name="T14" fmla="*/ 15 w 10000"/>
                                  <a:gd name="T15" fmla="*/ 21 h 10000"/>
                                  <a:gd name="T16" fmla="*/ 6 w 10000"/>
                                  <a:gd name="T17" fmla="*/ 27 h 10000"/>
                                  <a:gd name="T18" fmla="*/ 9 w 10000"/>
                                  <a:gd name="T19" fmla="*/ 17 h 10000"/>
                                  <a:gd name="T20" fmla="*/ 0 w 10000"/>
                                  <a:gd name="T21" fmla="*/ 10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fill="norm" h="10000" w="10000" stroke="1">
                                    <a:moveTo>
                                      <a:pt x="0" y="3704"/>
                                    </a:moveTo>
                                    <a:lnTo>
                                      <a:pt x="3793" y="3704"/>
                                    </a:lnTo>
                                    <a:lnTo>
                                      <a:pt x="5172" y="0"/>
                                    </a:lnTo>
                                    <a:lnTo>
                                      <a:pt x="6207" y="3704"/>
                                    </a:lnTo>
                                    <a:lnTo>
                                      <a:pt x="10000" y="3704"/>
                                    </a:lnTo>
                                    <a:lnTo>
                                      <a:pt x="6897" y="6296"/>
                                    </a:lnTo>
                                    <a:lnTo>
                                      <a:pt x="7931" y="10000"/>
                                    </a:lnTo>
                                    <a:lnTo>
                                      <a:pt x="5172" y="7778"/>
                                    </a:lnTo>
                                    <a:lnTo>
                                      <a:pt x="2069" y="10000"/>
                                    </a:lnTo>
                                    <a:lnTo>
                                      <a:pt x="3103" y="6296"/>
                                    </a:lnTo>
                                    <a:lnTo>
                                      <a:pt x="0" y="3704"/>
                                    </a:lnTo>
                                    <a:close/>
                                  </a:path>
                                </a:pathLst>
                              </a:custGeom>
                              <a:solidFill>
                                <a:srgbClr val="FFCC00"/>
                              </a:solidFill>
                              <a:ln w="1270" algn="in">
                                <a:solidFill>
                                  <a:srgbClr val="000000"/>
                                </a:solidFill>
                                <a:miter lim="800000"/>
                                <a:headEnd/>
                                <a:tailEnd/>
                              </a:ln>
                              <a:effectLst>
                                <a:outerShdw blurRad="0" dist="17961" dir="2700000" sx="100000" sy="100000" kx="0" ky="0" algn="ctr" rotWithShape="0">
                                  <a:srgbClr val="000000"/>
                                </a:outerShdw>
                              </a:effectLst>
                            </wps:spPr>
                            <wps:bodyPr rot="0" vert="horz" wrap="square" anchor="t" anchorCtr="0" upright="1"/>
                          </wps:wsp>
                          <wps:wsp xmlns:wps="http://schemas.microsoft.com/office/word/2010/wordprocessingShape">
                            <wps:cNvPr id="15" name="AutoShape 21"/>
                            <wps:cNvSpPr>
                              <a:spLocks noChangeArrowheads="1"/>
                            </wps:cNvSpPr>
                            <wps:spPr bwMode="auto">
                              <a:xfrm rot="13261403" flipH="1">
                                <a:off x="10275" y="11300"/>
                                <a:ext cx="28" cy="27"/>
                              </a:xfrm>
                              <a:custGeom>
                                <a:avLst/>
                                <a:gdLst>
                                  <a:gd name="T0" fmla="*/ 0 w 10000"/>
                                  <a:gd name="T1" fmla="*/ 10 h 10000"/>
                                  <a:gd name="T2" fmla="*/ 11 w 10000"/>
                                  <a:gd name="T3" fmla="*/ 10 h 10000"/>
                                  <a:gd name="T4" fmla="*/ 14 w 10000"/>
                                  <a:gd name="T5" fmla="*/ 0 h 10000"/>
                                  <a:gd name="T6" fmla="*/ 17 w 10000"/>
                                  <a:gd name="T7" fmla="*/ 10 h 10000"/>
                                  <a:gd name="T8" fmla="*/ 28 w 10000"/>
                                  <a:gd name="T9" fmla="*/ 10 h 10000"/>
                                  <a:gd name="T10" fmla="*/ 19 w 10000"/>
                                  <a:gd name="T11" fmla="*/ 17 h 10000"/>
                                  <a:gd name="T12" fmla="*/ 23 w 10000"/>
                                  <a:gd name="T13" fmla="*/ 27 h 10000"/>
                                  <a:gd name="T14" fmla="*/ 14 w 10000"/>
                                  <a:gd name="T15" fmla="*/ 21 h 10000"/>
                                  <a:gd name="T16" fmla="*/ 5 w 10000"/>
                                  <a:gd name="T17" fmla="*/ 27 h 10000"/>
                                  <a:gd name="T18" fmla="*/ 9 w 10000"/>
                                  <a:gd name="T19" fmla="*/ 17 h 10000"/>
                                  <a:gd name="T20" fmla="*/ 0 w 10000"/>
                                  <a:gd name="T21" fmla="*/ 10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fill="norm" h="10000" w="10000" stroke="1">
                                    <a:moveTo>
                                      <a:pt x="0" y="3704"/>
                                    </a:moveTo>
                                    <a:lnTo>
                                      <a:pt x="3929" y="3704"/>
                                    </a:lnTo>
                                    <a:lnTo>
                                      <a:pt x="5000" y="0"/>
                                    </a:lnTo>
                                    <a:lnTo>
                                      <a:pt x="6071" y="3704"/>
                                    </a:lnTo>
                                    <a:lnTo>
                                      <a:pt x="10000" y="3704"/>
                                    </a:lnTo>
                                    <a:lnTo>
                                      <a:pt x="6786" y="6296"/>
                                    </a:lnTo>
                                    <a:lnTo>
                                      <a:pt x="8214" y="10000"/>
                                    </a:lnTo>
                                    <a:lnTo>
                                      <a:pt x="5000" y="7778"/>
                                    </a:lnTo>
                                    <a:lnTo>
                                      <a:pt x="1786" y="10000"/>
                                    </a:lnTo>
                                    <a:lnTo>
                                      <a:pt x="3214" y="6296"/>
                                    </a:lnTo>
                                    <a:lnTo>
                                      <a:pt x="0" y="3704"/>
                                    </a:lnTo>
                                    <a:close/>
                                  </a:path>
                                </a:pathLst>
                              </a:custGeom>
                              <a:solidFill>
                                <a:srgbClr val="FFCC00"/>
                              </a:solidFill>
                              <a:ln w="1270" algn="in">
                                <a:solidFill>
                                  <a:srgbClr val="000000"/>
                                </a:solidFill>
                                <a:miter lim="800000"/>
                                <a:headEnd/>
                                <a:tailEnd/>
                              </a:ln>
                              <a:effectLst>
                                <a:outerShdw blurRad="0" dist="17961" dir="2700000" sx="100000" sy="100000" kx="0" ky="0" algn="ctr" rotWithShape="0">
                                  <a:srgbClr val="000000"/>
                                </a:outerShdw>
                              </a:effectLst>
                            </wps:spPr>
                            <wps:bodyPr rot="0" vert="horz" wrap="square" anchor="t" anchorCtr="0" upright="1"/>
                          </wps:wsp>
                          <wps:wsp xmlns:wps="http://schemas.microsoft.com/office/word/2010/wordprocessingShape">
                            <wps:cNvPr id="16" name="AutoShape 22"/>
                            <wps:cNvSpPr>
                              <a:spLocks noChangeArrowheads="1"/>
                            </wps:cNvSpPr>
                            <wps:spPr bwMode="auto">
                              <a:xfrm rot="13261403" flipH="1">
                                <a:off x="10304" y="11258"/>
                                <a:ext cx="28" cy="28"/>
                              </a:xfrm>
                              <a:custGeom>
                                <a:avLst/>
                                <a:gdLst>
                                  <a:gd name="T0" fmla="*/ 0 w 10000"/>
                                  <a:gd name="T1" fmla="*/ 11 h 10000"/>
                                  <a:gd name="T2" fmla="*/ 11 w 10000"/>
                                  <a:gd name="T3" fmla="*/ 11 h 10000"/>
                                  <a:gd name="T4" fmla="*/ 14 w 10000"/>
                                  <a:gd name="T5" fmla="*/ 0 h 10000"/>
                                  <a:gd name="T6" fmla="*/ 17 w 10000"/>
                                  <a:gd name="T7" fmla="*/ 11 h 10000"/>
                                  <a:gd name="T8" fmla="*/ 28 w 10000"/>
                                  <a:gd name="T9" fmla="*/ 11 h 10000"/>
                                  <a:gd name="T10" fmla="*/ 19 w 10000"/>
                                  <a:gd name="T11" fmla="*/ 17 h 10000"/>
                                  <a:gd name="T12" fmla="*/ 23 w 10000"/>
                                  <a:gd name="T13" fmla="*/ 28 h 10000"/>
                                  <a:gd name="T14" fmla="*/ 14 w 10000"/>
                                  <a:gd name="T15" fmla="*/ 21 h 10000"/>
                                  <a:gd name="T16" fmla="*/ 5 w 10000"/>
                                  <a:gd name="T17" fmla="*/ 28 h 10000"/>
                                  <a:gd name="T18" fmla="*/ 9 w 10000"/>
                                  <a:gd name="T19" fmla="*/ 17 h 10000"/>
                                  <a:gd name="T20" fmla="*/ 0 w 10000"/>
                                  <a:gd name="T21" fmla="*/ 11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fill="norm" h="10000" w="10000" stroke="1">
                                    <a:moveTo>
                                      <a:pt x="0" y="3929"/>
                                    </a:moveTo>
                                    <a:lnTo>
                                      <a:pt x="3929" y="3929"/>
                                    </a:lnTo>
                                    <a:lnTo>
                                      <a:pt x="5000" y="0"/>
                                    </a:lnTo>
                                    <a:lnTo>
                                      <a:pt x="6071" y="3929"/>
                                    </a:lnTo>
                                    <a:lnTo>
                                      <a:pt x="10000" y="3929"/>
                                    </a:lnTo>
                                    <a:lnTo>
                                      <a:pt x="6786" y="6071"/>
                                    </a:lnTo>
                                    <a:lnTo>
                                      <a:pt x="8214" y="10000"/>
                                    </a:lnTo>
                                    <a:lnTo>
                                      <a:pt x="5000" y="7500"/>
                                    </a:lnTo>
                                    <a:lnTo>
                                      <a:pt x="1786" y="10000"/>
                                    </a:lnTo>
                                    <a:lnTo>
                                      <a:pt x="3214" y="6071"/>
                                    </a:lnTo>
                                    <a:lnTo>
                                      <a:pt x="0" y="3929"/>
                                    </a:lnTo>
                                    <a:close/>
                                  </a:path>
                                </a:pathLst>
                              </a:custGeom>
                              <a:solidFill>
                                <a:srgbClr val="FFCC00"/>
                              </a:solidFill>
                              <a:ln w="1270" algn="in">
                                <a:solidFill>
                                  <a:srgbClr val="000000"/>
                                </a:solidFill>
                                <a:miter lim="800000"/>
                                <a:headEnd/>
                                <a:tailEnd/>
                              </a:ln>
                              <a:effectLst>
                                <a:outerShdw blurRad="0" dist="17961" dir="2700000" sx="100000" sy="100000" kx="0" ky="0" algn="ctr" rotWithShape="0">
                                  <a:srgbClr val="000000"/>
                                </a:outerShdw>
                              </a:effectLst>
                            </wps:spPr>
                            <wps:bodyPr rot="0" vert="horz" wrap="square" anchor="t" anchorCtr="0" upright="1"/>
                          </wps:wsp>
                          <wps:wsp xmlns:wps="http://schemas.microsoft.com/office/word/2010/wordprocessingShape">
                            <wps:cNvPr id="17" name="AutoShape 23"/>
                            <wps:cNvSpPr>
                              <a:spLocks noChangeArrowheads="1"/>
                            </wps:cNvSpPr>
                            <wps:spPr bwMode="auto">
                              <a:xfrm rot="13261403" flipH="1">
                                <a:off x="10314" y="11210"/>
                                <a:ext cx="29" cy="27"/>
                              </a:xfrm>
                              <a:custGeom>
                                <a:avLst/>
                                <a:gdLst>
                                  <a:gd name="T0" fmla="*/ 0 w 10000"/>
                                  <a:gd name="T1" fmla="*/ 10 h 10000"/>
                                  <a:gd name="T2" fmla="*/ 11 w 10000"/>
                                  <a:gd name="T3" fmla="*/ 10 h 10000"/>
                                  <a:gd name="T4" fmla="*/ 15 w 10000"/>
                                  <a:gd name="T5" fmla="*/ 0 h 10000"/>
                                  <a:gd name="T6" fmla="*/ 18 w 10000"/>
                                  <a:gd name="T7" fmla="*/ 10 h 10000"/>
                                  <a:gd name="T8" fmla="*/ 29 w 10000"/>
                                  <a:gd name="T9" fmla="*/ 10 h 10000"/>
                                  <a:gd name="T10" fmla="*/ 20 w 10000"/>
                                  <a:gd name="T11" fmla="*/ 17 h 10000"/>
                                  <a:gd name="T12" fmla="*/ 23 w 10000"/>
                                  <a:gd name="T13" fmla="*/ 27 h 10000"/>
                                  <a:gd name="T14" fmla="*/ 15 w 10000"/>
                                  <a:gd name="T15" fmla="*/ 21 h 10000"/>
                                  <a:gd name="T16" fmla="*/ 6 w 10000"/>
                                  <a:gd name="T17" fmla="*/ 27 h 10000"/>
                                  <a:gd name="T18" fmla="*/ 9 w 10000"/>
                                  <a:gd name="T19" fmla="*/ 17 h 10000"/>
                                  <a:gd name="T20" fmla="*/ 0 w 10000"/>
                                  <a:gd name="T21" fmla="*/ 10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fill="norm" h="10000" w="10000" stroke="1">
                                    <a:moveTo>
                                      <a:pt x="0" y="3704"/>
                                    </a:moveTo>
                                    <a:lnTo>
                                      <a:pt x="3793" y="3704"/>
                                    </a:lnTo>
                                    <a:lnTo>
                                      <a:pt x="5172" y="0"/>
                                    </a:lnTo>
                                    <a:lnTo>
                                      <a:pt x="6207" y="3704"/>
                                    </a:lnTo>
                                    <a:lnTo>
                                      <a:pt x="10000" y="3704"/>
                                    </a:lnTo>
                                    <a:lnTo>
                                      <a:pt x="6897" y="6296"/>
                                    </a:lnTo>
                                    <a:lnTo>
                                      <a:pt x="7931" y="10000"/>
                                    </a:lnTo>
                                    <a:lnTo>
                                      <a:pt x="5172" y="7778"/>
                                    </a:lnTo>
                                    <a:lnTo>
                                      <a:pt x="2069" y="10000"/>
                                    </a:lnTo>
                                    <a:lnTo>
                                      <a:pt x="3103" y="6296"/>
                                    </a:lnTo>
                                    <a:lnTo>
                                      <a:pt x="0" y="3704"/>
                                    </a:lnTo>
                                    <a:close/>
                                  </a:path>
                                </a:pathLst>
                              </a:custGeom>
                              <a:solidFill>
                                <a:srgbClr val="FFCC00"/>
                              </a:solidFill>
                              <a:ln w="1270" algn="in">
                                <a:solidFill>
                                  <a:srgbClr val="000000"/>
                                </a:solidFill>
                                <a:miter lim="800000"/>
                                <a:headEnd/>
                                <a:tailEnd/>
                              </a:ln>
                              <a:effectLst>
                                <a:outerShdw blurRad="0" dist="17961" dir="2700000" sx="100000" sy="100000" kx="0" ky="0" algn="ctr" rotWithShape="0">
                                  <a:srgbClr val="000000"/>
                                </a:outerShdw>
                              </a:effectLst>
                            </wps:spPr>
                            <wps:bodyPr rot="0" vert="horz" wrap="square" anchor="t" anchorCtr="0" upright="1"/>
                          </wps:wsp>
                          <wps:wsp xmlns:wps="http://schemas.microsoft.com/office/word/2010/wordprocessingShape">
                            <wps:cNvPr id="18" name="AutoShape 24"/>
                            <wps:cNvSpPr>
                              <a:spLocks noChangeArrowheads="1"/>
                            </wps:cNvSpPr>
                            <wps:spPr bwMode="auto">
                              <a:xfrm rot="13261403" flipH="1">
                                <a:off x="10310" y="11164"/>
                                <a:ext cx="28" cy="27"/>
                              </a:xfrm>
                              <a:custGeom>
                                <a:avLst/>
                                <a:gdLst>
                                  <a:gd name="T0" fmla="*/ 0 w 10000"/>
                                  <a:gd name="T1" fmla="*/ 10 h 10000"/>
                                  <a:gd name="T2" fmla="*/ 11 w 10000"/>
                                  <a:gd name="T3" fmla="*/ 10 h 10000"/>
                                  <a:gd name="T4" fmla="*/ 14 w 10000"/>
                                  <a:gd name="T5" fmla="*/ 0 h 10000"/>
                                  <a:gd name="T6" fmla="*/ 17 w 10000"/>
                                  <a:gd name="T7" fmla="*/ 10 h 10000"/>
                                  <a:gd name="T8" fmla="*/ 28 w 10000"/>
                                  <a:gd name="T9" fmla="*/ 10 h 10000"/>
                                  <a:gd name="T10" fmla="*/ 19 w 10000"/>
                                  <a:gd name="T11" fmla="*/ 17 h 10000"/>
                                  <a:gd name="T12" fmla="*/ 23 w 10000"/>
                                  <a:gd name="T13" fmla="*/ 27 h 10000"/>
                                  <a:gd name="T14" fmla="*/ 14 w 10000"/>
                                  <a:gd name="T15" fmla="*/ 21 h 10000"/>
                                  <a:gd name="T16" fmla="*/ 5 w 10000"/>
                                  <a:gd name="T17" fmla="*/ 27 h 10000"/>
                                  <a:gd name="T18" fmla="*/ 9 w 10000"/>
                                  <a:gd name="T19" fmla="*/ 17 h 10000"/>
                                  <a:gd name="T20" fmla="*/ 0 w 10000"/>
                                  <a:gd name="T21" fmla="*/ 10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fill="norm" h="10000" w="10000" stroke="1">
                                    <a:moveTo>
                                      <a:pt x="0" y="3704"/>
                                    </a:moveTo>
                                    <a:lnTo>
                                      <a:pt x="3929" y="3704"/>
                                    </a:lnTo>
                                    <a:lnTo>
                                      <a:pt x="5000" y="0"/>
                                    </a:lnTo>
                                    <a:lnTo>
                                      <a:pt x="6071" y="3704"/>
                                    </a:lnTo>
                                    <a:lnTo>
                                      <a:pt x="10000" y="3704"/>
                                    </a:lnTo>
                                    <a:lnTo>
                                      <a:pt x="6786" y="6296"/>
                                    </a:lnTo>
                                    <a:lnTo>
                                      <a:pt x="8214" y="10000"/>
                                    </a:lnTo>
                                    <a:lnTo>
                                      <a:pt x="5000" y="7778"/>
                                    </a:lnTo>
                                    <a:lnTo>
                                      <a:pt x="1786" y="10000"/>
                                    </a:lnTo>
                                    <a:lnTo>
                                      <a:pt x="3214" y="6296"/>
                                    </a:lnTo>
                                    <a:lnTo>
                                      <a:pt x="0" y="3704"/>
                                    </a:lnTo>
                                    <a:close/>
                                  </a:path>
                                </a:pathLst>
                              </a:custGeom>
                              <a:solidFill>
                                <a:srgbClr val="FFCC00"/>
                              </a:solidFill>
                              <a:ln w="1270" algn="in">
                                <a:solidFill>
                                  <a:srgbClr val="000000"/>
                                </a:solidFill>
                                <a:miter lim="800000"/>
                                <a:headEnd/>
                                <a:tailEnd/>
                              </a:ln>
                              <a:effectLst>
                                <a:outerShdw blurRad="0" dist="17961" dir="2700000" sx="100000" sy="100000" kx="0" ky="0" algn="ctr" rotWithShape="0">
                                  <a:srgbClr val="000000"/>
                                </a:outerShdw>
                              </a:effectLst>
                            </wps:spPr>
                            <wps:bodyPr rot="0" vert="horz" wrap="square" anchor="t" anchorCtr="0" upright="1"/>
                          </wps:wsp>
                          <wps:wsp xmlns:wps="http://schemas.microsoft.com/office/word/2010/wordprocessingShape">
                            <wps:cNvPr id="19" name="AutoShape 25"/>
                            <wps:cNvSpPr>
                              <a:spLocks noChangeArrowheads="1"/>
                            </wps:cNvSpPr>
                            <wps:spPr bwMode="auto">
                              <a:xfrm rot="13261403" flipH="1">
                                <a:off x="10296" y="11119"/>
                                <a:ext cx="28" cy="28"/>
                              </a:xfrm>
                              <a:custGeom>
                                <a:avLst/>
                                <a:gdLst>
                                  <a:gd name="T0" fmla="*/ 0 w 10000"/>
                                  <a:gd name="T1" fmla="*/ 11 h 10000"/>
                                  <a:gd name="T2" fmla="*/ 11 w 10000"/>
                                  <a:gd name="T3" fmla="*/ 11 h 10000"/>
                                  <a:gd name="T4" fmla="*/ 14 w 10000"/>
                                  <a:gd name="T5" fmla="*/ 0 h 10000"/>
                                  <a:gd name="T6" fmla="*/ 17 w 10000"/>
                                  <a:gd name="T7" fmla="*/ 11 h 10000"/>
                                  <a:gd name="T8" fmla="*/ 28 w 10000"/>
                                  <a:gd name="T9" fmla="*/ 11 h 10000"/>
                                  <a:gd name="T10" fmla="*/ 19 w 10000"/>
                                  <a:gd name="T11" fmla="*/ 17 h 10000"/>
                                  <a:gd name="T12" fmla="*/ 23 w 10000"/>
                                  <a:gd name="T13" fmla="*/ 28 h 10000"/>
                                  <a:gd name="T14" fmla="*/ 14 w 10000"/>
                                  <a:gd name="T15" fmla="*/ 21 h 10000"/>
                                  <a:gd name="T16" fmla="*/ 5 w 10000"/>
                                  <a:gd name="T17" fmla="*/ 28 h 10000"/>
                                  <a:gd name="T18" fmla="*/ 9 w 10000"/>
                                  <a:gd name="T19" fmla="*/ 17 h 10000"/>
                                  <a:gd name="T20" fmla="*/ 0 w 10000"/>
                                  <a:gd name="T21" fmla="*/ 11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fill="norm" h="10000" w="10000" stroke="1">
                                    <a:moveTo>
                                      <a:pt x="0" y="3929"/>
                                    </a:moveTo>
                                    <a:lnTo>
                                      <a:pt x="3929" y="3929"/>
                                    </a:lnTo>
                                    <a:lnTo>
                                      <a:pt x="5000" y="0"/>
                                    </a:lnTo>
                                    <a:lnTo>
                                      <a:pt x="6071" y="3929"/>
                                    </a:lnTo>
                                    <a:lnTo>
                                      <a:pt x="10000" y="3929"/>
                                    </a:lnTo>
                                    <a:lnTo>
                                      <a:pt x="6786" y="6071"/>
                                    </a:lnTo>
                                    <a:lnTo>
                                      <a:pt x="8214" y="10000"/>
                                    </a:lnTo>
                                    <a:lnTo>
                                      <a:pt x="5000" y="7500"/>
                                    </a:lnTo>
                                    <a:lnTo>
                                      <a:pt x="1786" y="10000"/>
                                    </a:lnTo>
                                    <a:lnTo>
                                      <a:pt x="3214" y="6071"/>
                                    </a:lnTo>
                                    <a:lnTo>
                                      <a:pt x="0" y="3929"/>
                                    </a:lnTo>
                                    <a:close/>
                                  </a:path>
                                </a:pathLst>
                              </a:custGeom>
                              <a:solidFill>
                                <a:srgbClr val="FFCC00"/>
                              </a:solidFill>
                              <a:ln w="1270" algn="in">
                                <a:solidFill>
                                  <a:srgbClr val="000000"/>
                                </a:solidFill>
                                <a:miter lim="800000"/>
                                <a:headEnd/>
                                <a:tailEnd/>
                              </a:ln>
                              <a:effectLst>
                                <a:outerShdw blurRad="0" dist="17961" dir="2700000" sx="100000" sy="100000" kx="0" ky="0" algn="ctr" rotWithShape="0">
                                  <a:srgbClr val="000000"/>
                                </a:outerShdw>
                              </a:effectLst>
                            </wps:spPr>
                            <wps:bodyPr rot="0" vert="horz" wrap="square" anchor="t" anchorCtr="0" upright="1"/>
                          </wps:wsp>
                          <wps:wsp xmlns:wps="http://schemas.microsoft.com/office/word/2010/wordprocessingShape">
                            <wps:cNvPr id="20" name="AutoShape 26"/>
                            <wps:cNvSpPr>
                              <a:spLocks noChangeArrowheads="1"/>
                            </wps:cNvSpPr>
                            <wps:spPr bwMode="auto">
                              <a:xfrm rot="13261403" flipH="1">
                                <a:off x="10197" y="11351"/>
                                <a:ext cx="28" cy="28"/>
                              </a:xfrm>
                              <a:custGeom>
                                <a:avLst/>
                                <a:gdLst>
                                  <a:gd name="T0" fmla="*/ 0 w 10000"/>
                                  <a:gd name="T1" fmla="*/ 11 h 10000"/>
                                  <a:gd name="T2" fmla="*/ 11 w 10000"/>
                                  <a:gd name="T3" fmla="*/ 11 h 10000"/>
                                  <a:gd name="T4" fmla="*/ 14 w 10000"/>
                                  <a:gd name="T5" fmla="*/ 0 h 10000"/>
                                  <a:gd name="T6" fmla="*/ 17 w 10000"/>
                                  <a:gd name="T7" fmla="*/ 11 h 10000"/>
                                  <a:gd name="T8" fmla="*/ 28 w 10000"/>
                                  <a:gd name="T9" fmla="*/ 11 h 10000"/>
                                  <a:gd name="T10" fmla="*/ 19 w 10000"/>
                                  <a:gd name="T11" fmla="*/ 17 h 10000"/>
                                  <a:gd name="T12" fmla="*/ 23 w 10000"/>
                                  <a:gd name="T13" fmla="*/ 28 h 10000"/>
                                  <a:gd name="T14" fmla="*/ 14 w 10000"/>
                                  <a:gd name="T15" fmla="*/ 21 h 10000"/>
                                  <a:gd name="T16" fmla="*/ 5 w 10000"/>
                                  <a:gd name="T17" fmla="*/ 28 h 10000"/>
                                  <a:gd name="T18" fmla="*/ 9 w 10000"/>
                                  <a:gd name="T19" fmla="*/ 17 h 10000"/>
                                  <a:gd name="T20" fmla="*/ 0 w 10000"/>
                                  <a:gd name="T21" fmla="*/ 11 h 100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fill="norm" h="10000" w="10000" stroke="1">
                                    <a:moveTo>
                                      <a:pt x="0" y="3929"/>
                                    </a:moveTo>
                                    <a:lnTo>
                                      <a:pt x="3929" y="3929"/>
                                    </a:lnTo>
                                    <a:lnTo>
                                      <a:pt x="5000" y="0"/>
                                    </a:lnTo>
                                    <a:lnTo>
                                      <a:pt x="6071" y="3929"/>
                                    </a:lnTo>
                                    <a:lnTo>
                                      <a:pt x="10000" y="3929"/>
                                    </a:lnTo>
                                    <a:lnTo>
                                      <a:pt x="6786" y="6071"/>
                                    </a:lnTo>
                                    <a:lnTo>
                                      <a:pt x="8214" y="10000"/>
                                    </a:lnTo>
                                    <a:lnTo>
                                      <a:pt x="5000" y="7500"/>
                                    </a:lnTo>
                                    <a:lnTo>
                                      <a:pt x="1786" y="10000"/>
                                    </a:lnTo>
                                    <a:lnTo>
                                      <a:pt x="3214" y="6071"/>
                                    </a:lnTo>
                                    <a:lnTo>
                                      <a:pt x="0" y="3929"/>
                                    </a:lnTo>
                                    <a:close/>
                                  </a:path>
                                </a:pathLst>
                              </a:custGeom>
                              <a:solidFill>
                                <a:srgbClr val="FFCC00"/>
                              </a:solidFill>
                              <a:ln w="1270" algn="in">
                                <a:solidFill>
                                  <a:srgbClr val="000000"/>
                                </a:solidFill>
                                <a:miter lim="800000"/>
                                <a:headEnd/>
                                <a:tailEnd/>
                              </a:ln>
                              <a:effectLst>
                                <a:outerShdw blurRad="0" dist="17961" dir="2700000" sx="100000" sy="100000" kx="0" ky="0" algn="ctr" rotWithShape="0">
                                  <a:srgbClr val="000000"/>
                                </a:outerShdw>
                              </a:effectLst>
                            </wps:spPr>
                            <wps:bodyPr rot="0" vert="horz" wrap="square" anchor="t" anchorCtr="0" upright="1"/>
                          </wps:wsp>
                        </wpg:grpSp>
                        <wps:wsp xmlns:wps="http://schemas.microsoft.com/office/word/2010/wordprocessingShape">
                          <wps:cNvPr id="21" name="WordArt 27"/>
                          <wps:cNvSpPr txBox="1">
                            <a:spLocks noChangeArrowheads="1" noChangeShapeType="1"/>
                          </wps:cNvSpPr>
                          <wps:spPr bwMode="auto">
                            <a:xfrm>
                              <a:off x="11553" y="10640"/>
                              <a:ext cx="97" cy="3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66D25" w:rsidP="001B6469" w14:textId="77777777">
                                <w:pPr>
                                  <w:pStyle w:val="NormalWeb"/>
                                  <w:spacing w:before="0" w:beforeAutospacing="0" w:after="0" w:afterAutospacing="0"/>
                                  <w:jc w:val="center"/>
                                </w:pPr>
                              </w:p>
                            </w:txbxContent>
                          </wps:txbx>
                          <wps:bodyPr rot="0" vert="horz" wrap="square" anchor="t" anchorCtr="0" upright="1">
                            <a:spAutoFit/>
                          </wps:bodyPr>
                        </wps:wsp>
                      </wpg:grpSp>
                      <pic:pic xmlns:pic="http://schemas.openxmlformats.org/drawingml/2006/picture">
                        <pic:nvPicPr>
                          <pic:cNvPr id="22" name="Picture 28"/>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11582" y="10898"/>
                            <a:ext cx="69" cy="35"/>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1270" algn="in">
                                <a:solidFill>
                                  <a:srgbClr val="FFFFFF"/>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pic:spPr>
                      </pic:pic>
                      <wpg:grpSp>
                        <wpg:cNvPr id="23" name="Group 29"/>
                        <wpg:cNvGrpSpPr/>
                        <wpg:grpSpPr>
                          <a:xfrm>
                            <a:off x="11605" y="10896"/>
                            <a:ext cx="21" cy="56"/>
                            <a:chOff x="10104" y="11303"/>
                            <a:chExt cx="64" cy="165"/>
                          </a:xfrm>
                        </wpg:grpSpPr>
                        <wps:wsp xmlns:wps="http://schemas.microsoft.com/office/word/2010/wordprocessingShape">
                          <wps:cNvPr id="24" name="Line 30"/>
                          <wps:cNvCnPr>
                            <a:cxnSpLocks noChangeShapeType="1"/>
                          </wps:cNvCnPr>
                          <wps:spPr bwMode="auto">
                            <a:xfrm flipH="1">
                              <a:off x="10104" y="11303"/>
                              <a:ext cx="36" cy="164"/>
                            </a:xfrm>
                            <a:prstGeom prst="line">
                              <a:avLst/>
                            </a:prstGeom>
                            <a:noFill/>
                            <a:ln w="19050">
                              <a:solidFill>
                                <a:srgbClr val="000000"/>
                              </a:solidFill>
                              <a:round/>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25" name="Line 31"/>
                          <wps:cNvCnPr>
                            <a:cxnSpLocks noChangeShapeType="1"/>
                          </wps:cNvCnPr>
                          <wps:spPr bwMode="auto">
                            <a:xfrm>
                              <a:off x="10140" y="11303"/>
                              <a:ext cx="29" cy="165"/>
                            </a:xfrm>
                            <a:prstGeom prst="line">
                              <a:avLst/>
                            </a:prstGeom>
                            <a:noFill/>
                            <a:ln w="19050">
                              <a:solidFill>
                                <a:srgbClr val="000000"/>
                              </a:solidFill>
                              <a:round/>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g:grpSp>
                      <wpg:grpSp>
                        <wpg:cNvPr id="26" name="Group 32"/>
                        <wpg:cNvGrpSpPr/>
                        <wpg:grpSpPr>
                          <a:xfrm>
                            <a:off x="11601" y="10879"/>
                            <a:ext cx="31" cy="20"/>
                            <a:chOff x="10815" y="11057"/>
                            <a:chExt cx="113" cy="70"/>
                          </a:xfrm>
                        </wpg:grpSpPr>
                        <wps:wsp xmlns:wps="http://schemas.microsoft.com/office/word/2010/wordprocessingShape">
                          <wps:cNvPr id="27" name="Oval 33"/>
                          <wps:cNvSpPr>
                            <a:spLocks noChangeArrowheads="1"/>
                          </wps:cNvSpPr>
                          <wps:spPr bwMode="auto">
                            <a:xfrm>
                              <a:off x="10857" y="11088"/>
                              <a:ext cx="28" cy="26"/>
                            </a:xfrm>
                            <a:prstGeom prst="ellipse">
                              <a:avLst/>
                            </a:prstGeom>
                            <a:noFill/>
                            <a:ln w="9525" algn="in">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lIns="36576" tIns="36576" rIns="36576" bIns="36576" anchor="t" anchorCtr="0" upright="1"/>
                        </wps:wsp>
                        <wps:wsp xmlns:wps="http://schemas.microsoft.com/office/word/2010/wordprocessingShape">
                          <wps:cNvPr id="28" name="Line 34"/>
                          <wps:cNvCnPr>
                            <a:cxnSpLocks noChangeShapeType="1"/>
                          </wps:cNvCnPr>
                          <wps:spPr bwMode="auto">
                            <a:xfrm flipV="1">
                              <a:off x="10871" y="11101"/>
                              <a:ext cx="0" cy="19"/>
                            </a:xfrm>
                            <a:prstGeom prst="line">
                              <a:avLst/>
                            </a:prstGeom>
                            <a:noFill/>
                            <a:ln w="9525">
                              <a:solidFill>
                                <a:srgbClr val="000000"/>
                              </a:solidFill>
                              <a:round/>
                              <a:headEnd/>
                              <a:tailEnd/>
                            </a:ln>
                            <a:effectLst/>
                            <a:extLst>
                              <a:ext xmlns:a="http://schemas.openxmlformats.org/drawingml/2006/main" uri="{909E8E84-426E-40DD-AFC4-6F175D3DCCD1}">
                                <a14:hiddenFill xmlns:a14="http://schemas.microsoft.com/office/drawing/2010/main">
                                  <a:no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wps:wsp>
                        <wps:wsp xmlns:wps="http://schemas.microsoft.com/office/word/2010/wordprocessingShape">
                          <wps:cNvPr id="29" name="Oval 35"/>
                          <wps:cNvSpPr>
                            <a:spLocks noChangeArrowheads="1"/>
                          </wps:cNvSpPr>
                          <wps:spPr bwMode="auto">
                            <a:xfrm>
                              <a:off x="10866" y="11097"/>
                              <a:ext cx="9" cy="8"/>
                            </a:xfrm>
                            <a:prstGeom prst="ellipse">
                              <a:avLst/>
                            </a:prstGeom>
                            <a:noFill/>
                            <a:ln w="19050" algn="in">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lIns="36576" tIns="36576" rIns="36576" bIns="36576" anchor="t" anchorCtr="0" upright="1"/>
                        </wps:wsp>
                        <wps:wsp xmlns:wps="http://schemas.microsoft.com/office/word/2010/wordprocessingShape">
                          <wps:cNvPr id="30" name="Oval 36"/>
                          <wps:cNvSpPr>
                            <a:spLocks noChangeArrowheads="1"/>
                          </wps:cNvSpPr>
                          <wps:spPr bwMode="auto">
                            <a:xfrm>
                              <a:off x="10862" y="11094"/>
                              <a:ext cx="16" cy="15"/>
                            </a:xfrm>
                            <a:prstGeom prst="ellipse">
                              <a:avLst/>
                            </a:prstGeom>
                            <a:noFill/>
                            <a:ln w="9525" algn="in">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lIns="36576" tIns="36576" rIns="36576" bIns="36576" anchor="t" anchorCtr="0" upright="1"/>
                        </wps:wsp>
                        <wpg:grpSp>
                          <wpg:cNvPr id="31" name="Group 37"/>
                          <wpg:cNvGrpSpPr/>
                          <wpg:grpSpPr>
                            <a:xfrm rot="15470944">
                              <a:off x="10813" y="11059"/>
                              <a:ext cx="70" cy="66"/>
                              <a:chOff x="9669" y="11159"/>
                              <a:chExt cx="70" cy="66"/>
                            </a:xfrm>
                          </wpg:grpSpPr>
                          <wps:wsp xmlns:wps="http://schemas.microsoft.com/office/word/2010/wordprocessingShape">
                            <wps:cNvPr id="32" name="Arc 38"/>
                            <wps:cNvSpPr/>
                            <wps:spPr bwMode="auto">
                              <a:xfrm rot="11576752" flipH="1">
                                <a:off x="9669" y="11184"/>
                                <a:ext cx="51" cy="33"/>
                              </a:xfrm>
                              <a:custGeom>
                                <a:avLst/>
                                <a:gdLst>
                                  <a:gd name="T0" fmla="*/ 51 w 21600"/>
                                  <a:gd name="T1" fmla="*/ 23 h 21600"/>
                                  <a:gd name="T2" fmla="*/ 0 w 21600"/>
                                  <a:gd name="T3" fmla="*/ 22 h 21600"/>
                                  <a:gd name="T4" fmla="*/ 26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1898" y="15029"/>
                                    </a:moveTo>
                                    <a:cubicBezTo>
                                      <a:pt x="27829" y="19229"/>
                                      <a:pt x="22232" y="21600"/>
                                      <a:pt x="16385" y="21600"/>
                                    </a:cubicBezTo>
                                    <a:cubicBezTo>
                                      <a:pt x="10087" y="21600"/>
                                      <a:pt x="4103" y="18851"/>
                                      <a:pt x="0" y="14074"/>
                                    </a:cubicBezTo>
                                  </a:path>
                                  <a:path fill="norm" h="21600" w="21600" stroke="0">
                                    <a:moveTo>
                                      <a:pt x="31898" y="15029"/>
                                    </a:moveTo>
                                    <a:cubicBezTo>
                                      <a:pt x="27829" y="19229"/>
                                      <a:pt x="22232" y="21600"/>
                                      <a:pt x="16385" y="21600"/>
                                    </a:cubicBezTo>
                                    <a:cubicBezTo>
                                      <a:pt x="10087" y="21600"/>
                                      <a:pt x="4103" y="18851"/>
                                      <a:pt x="0" y="14074"/>
                                    </a:cubicBezTo>
                                    <a:lnTo>
                                      <a:pt x="16385" y="0"/>
                                    </a:lnTo>
                                    <a:lnTo>
                                      <a:pt x="31898" y="15029"/>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s:wsp xmlns:wps="http://schemas.microsoft.com/office/word/2010/wordprocessingShape">
                            <wps:cNvPr id="33" name="Arc 39"/>
                            <wps:cNvSpPr/>
                            <wps:spPr bwMode="auto">
                              <a:xfrm rot="11576752" flipH="1">
                                <a:off x="9669" y="11171"/>
                                <a:ext cx="62" cy="34"/>
                              </a:xfrm>
                              <a:custGeom>
                                <a:avLst/>
                                <a:gdLst>
                                  <a:gd name="T0" fmla="*/ 62 w 21600"/>
                                  <a:gd name="T1" fmla="*/ 21 h 21600"/>
                                  <a:gd name="T2" fmla="*/ 0 w 21600"/>
                                  <a:gd name="T3" fmla="*/ 22 h 21600"/>
                                  <a:gd name="T4" fmla="*/ 30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3478" y="13204"/>
                                    </a:moveTo>
                                    <a:cubicBezTo>
                                      <a:pt x="29388" y="18499"/>
                                      <a:pt x="23075" y="21600"/>
                                      <a:pt x="16385" y="21600"/>
                                    </a:cubicBezTo>
                                    <a:cubicBezTo>
                                      <a:pt x="10087" y="21600"/>
                                      <a:pt x="4103" y="18851"/>
                                      <a:pt x="0" y="14074"/>
                                    </a:cubicBezTo>
                                  </a:path>
                                  <a:path fill="norm" h="21600" w="21600" stroke="0">
                                    <a:moveTo>
                                      <a:pt x="33478" y="13204"/>
                                    </a:moveTo>
                                    <a:cubicBezTo>
                                      <a:pt x="29388" y="18499"/>
                                      <a:pt x="23075" y="21600"/>
                                      <a:pt x="16385" y="21600"/>
                                    </a:cubicBezTo>
                                    <a:cubicBezTo>
                                      <a:pt x="10087" y="21600"/>
                                      <a:pt x="4103" y="18851"/>
                                      <a:pt x="0" y="14074"/>
                                    </a:cubicBezTo>
                                    <a:lnTo>
                                      <a:pt x="16385" y="0"/>
                                    </a:lnTo>
                                    <a:lnTo>
                                      <a:pt x="33478" y="13204"/>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s:wsp xmlns:wps="http://schemas.microsoft.com/office/word/2010/wordprocessingShape">
                            <wps:cNvPr id="34" name="Arc 40"/>
                            <wps:cNvSpPr/>
                            <wps:spPr bwMode="auto">
                              <a:xfrm rot="11576752" flipH="1">
                                <a:off x="9670" y="11159"/>
                                <a:ext cx="69" cy="36"/>
                              </a:xfrm>
                              <a:custGeom>
                                <a:avLst/>
                                <a:gdLst>
                                  <a:gd name="T0" fmla="*/ 69 w 21600"/>
                                  <a:gd name="T1" fmla="*/ 25 h 21600"/>
                                  <a:gd name="T2" fmla="*/ 0 w 21600"/>
                                  <a:gd name="T3" fmla="*/ 23 h 21600"/>
                                  <a:gd name="T4" fmla="*/ 35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1898" y="15029"/>
                                    </a:moveTo>
                                    <a:cubicBezTo>
                                      <a:pt x="27829" y="19229"/>
                                      <a:pt x="22232" y="21600"/>
                                      <a:pt x="16385" y="21600"/>
                                    </a:cubicBezTo>
                                    <a:cubicBezTo>
                                      <a:pt x="10087" y="21600"/>
                                      <a:pt x="4103" y="18851"/>
                                      <a:pt x="0" y="14074"/>
                                    </a:cubicBezTo>
                                  </a:path>
                                  <a:path fill="norm" h="21600" w="21600" stroke="0">
                                    <a:moveTo>
                                      <a:pt x="31898" y="15029"/>
                                    </a:moveTo>
                                    <a:cubicBezTo>
                                      <a:pt x="27829" y="19229"/>
                                      <a:pt x="22232" y="21600"/>
                                      <a:pt x="16385" y="21600"/>
                                    </a:cubicBezTo>
                                    <a:cubicBezTo>
                                      <a:pt x="10087" y="21600"/>
                                      <a:pt x="4103" y="18851"/>
                                      <a:pt x="0" y="14074"/>
                                    </a:cubicBezTo>
                                    <a:lnTo>
                                      <a:pt x="16385" y="0"/>
                                    </a:lnTo>
                                    <a:lnTo>
                                      <a:pt x="31898" y="15029"/>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s:wsp xmlns:wps="http://schemas.microsoft.com/office/word/2010/wordprocessingShape">
                            <wps:cNvPr id="35" name="Arc 41"/>
                            <wps:cNvSpPr/>
                            <wps:spPr bwMode="auto">
                              <a:xfrm rot="11576752" flipH="1">
                                <a:off x="9674" y="11194"/>
                                <a:ext cx="33" cy="31"/>
                              </a:xfrm>
                              <a:custGeom>
                                <a:avLst/>
                                <a:gdLst>
                                  <a:gd name="T0" fmla="*/ 33 w 21600"/>
                                  <a:gd name="T1" fmla="*/ 22 h 21600"/>
                                  <a:gd name="T2" fmla="*/ 0 w 21600"/>
                                  <a:gd name="T3" fmla="*/ 20 h 21600"/>
                                  <a:gd name="T4" fmla="*/ 17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1898" y="15029"/>
                                    </a:moveTo>
                                    <a:cubicBezTo>
                                      <a:pt x="27829" y="19229"/>
                                      <a:pt x="22232" y="21600"/>
                                      <a:pt x="16385" y="21600"/>
                                    </a:cubicBezTo>
                                    <a:cubicBezTo>
                                      <a:pt x="10087" y="21600"/>
                                      <a:pt x="4103" y="18851"/>
                                      <a:pt x="0" y="14074"/>
                                    </a:cubicBezTo>
                                  </a:path>
                                  <a:path fill="norm" h="21600" w="21600" stroke="0">
                                    <a:moveTo>
                                      <a:pt x="31898" y="15029"/>
                                    </a:moveTo>
                                    <a:cubicBezTo>
                                      <a:pt x="27829" y="19229"/>
                                      <a:pt x="22232" y="21600"/>
                                      <a:pt x="16385" y="21600"/>
                                    </a:cubicBezTo>
                                    <a:cubicBezTo>
                                      <a:pt x="10087" y="21600"/>
                                      <a:pt x="4103" y="18851"/>
                                      <a:pt x="0" y="14074"/>
                                    </a:cubicBezTo>
                                    <a:lnTo>
                                      <a:pt x="16385" y="0"/>
                                    </a:lnTo>
                                    <a:lnTo>
                                      <a:pt x="31898" y="15029"/>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g:grpSp>
                        <wpg:grpSp>
                          <wpg:cNvPr id="36" name="Group 42"/>
                          <wpg:cNvGrpSpPr/>
                          <wpg:grpSpPr>
                            <a:xfrm rot="6176752" flipH="1">
                              <a:off x="10860" y="11059"/>
                              <a:ext cx="70" cy="66"/>
                              <a:chOff x="9811" y="11318"/>
                              <a:chExt cx="70" cy="66"/>
                            </a:xfrm>
                          </wpg:grpSpPr>
                          <wps:wsp xmlns:wps="http://schemas.microsoft.com/office/word/2010/wordprocessingShape">
                            <wps:cNvPr id="37" name="Arc 43"/>
                            <wps:cNvSpPr/>
                            <wps:spPr bwMode="auto">
                              <a:xfrm rot="11576752" flipH="1">
                                <a:off x="9812" y="11342"/>
                                <a:ext cx="50" cy="34"/>
                              </a:xfrm>
                              <a:custGeom>
                                <a:avLst/>
                                <a:gdLst>
                                  <a:gd name="T0" fmla="*/ 50 w 21600"/>
                                  <a:gd name="T1" fmla="*/ 24 h 21600"/>
                                  <a:gd name="T2" fmla="*/ 0 w 21600"/>
                                  <a:gd name="T3" fmla="*/ 22 h 21600"/>
                                  <a:gd name="T4" fmla="*/ 26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1898" y="15029"/>
                                    </a:moveTo>
                                    <a:cubicBezTo>
                                      <a:pt x="27829" y="19229"/>
                                      <a:pt x="22232" y="21600"/>
                                      <a:pt x="16385" y="21600"/>
                                    </a:cubicBezTo>
                                    <a:cubicBezTo>
                                      <a:pt x="10087" y="21600"/>
                                      <a:pt x="4103" y="18851"/>
                                      <a:pt x="0" y="14074"/>
                                    </a:cubicBezTo>
                                  </a:path>
                                  <a:path fill="norm" h="21600" w="21600" stroke="0">
                                    <a:moveTo>
                                      <a:pt x="31898" y="15029"/>
                                    </a:moveTo>
                                    <a:cubicBezTo>
                                      <a:pt x="27829" y="19229"/>
                                      <a:pt x="22232" y="21600"/>
                                      <a:pt x="16385" y="21600"/>
                                    </a:cubicBezTo>
                                    <a:cubicBezTo>
                                      <a:pt x="10087" y="21600"/>
                                      <a:pt x="4103" y="18851"/>
                                      <a:pt x="0" y="14074"/>
                                    </a:cubicBezTo>
                                    <a:lnTo>
                                      <a:pt x="16385" y="0"/>
                                    </a:lnTo>
                                    <a:lnTo>
                                      <a:pt x="31898" y="15029"/>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s:wsp xmlns:wps="http://schemas.microsoft.com/office/word/2010/wordprocessingShape">
                            <wps:cNvPr id="38" name="Arc 44"/>
                            <wps:cNvSpPr/>
                            <wps:spPr bwMode="auto">
                              <a:xfrm rot="11576752" flipH="1">
                                <a:off x="9811" y="11330"/>
                                <a:ext cx="63" cy="33"/>
                              </a:xfrm>
                              <a:custGeom>
                                <a:avLst/>
                                <a:gdLst>
                                  <a:gd name="T0" fmla="*/ 63 w 21600"/>
                                  <a:gd name="T1" fmla="*/ 20 h 21600"/>
                                  <a:gd name="T2" fmla="*/ 0 w 21600"/>
                                  <a:gd name="T3" fmla="*/ 22 h 21600"/>
                                  <a:gd name="T4" fmla="*/ 31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3478" y="13204"/>
                                    </a:moveTo>
                                    <a:cubicBezTo>
                                      <a:pt x="29388" y="18499"/>
                                      <a:pt x="23075" y="21600"/>
                                      <a:pt x="16385" y="21600"/>
                                    </a:cubicBezTo>
                                    <a:cubicBezTo>
                                      <a:pt x="10087" y="21600"/>
                                      <a:pt x="4103" y="18851"/>
                                      <a:pt x="0" y="14074"/>
                                    </a:cubicBezTo>
                                  </a:path>
                                  <a:path fill="norm" h="21600" w="21600" stroke="0">
                                    <a:moveTo>
                                      <a:pt x="33478" y="13204"/>
                                    </a:moveTo>
                                    <a:cubicBezTo>
                                      <a:pt x="29388" y="18499"/>
                                      <a:pt x="23075" y="21600"/>
                                      <a:pt x="16385" y="21600"/>
                                    </a:cubicBezTo>
                                    <a:cubicBezTo>
                                      <a:pt x="10087" y="21600"/>
                                      <a:pt x="4103" y="18851"/>
                                      <a:pt x="0" y="14074"/>
                                    </a:cubicBezTo>
                                    <a:lnTo>
                                      <a:pt x="16385" y="0"/>
                                    </a:lnTo>
                                    <a:lnTo>
                                      <a:pt x="33478" y="13204"/>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s:wsp xmlns:wps="http://schemas.microsoft.com/office/word/2010/wordprocessingShape">
                            <wps:cNvPr id="39" name="Arc 45"/>
                            <wps:cNvSpPr/>
                            <wps:spPr bwMode="auto">
                              <a:xfrm rot="11576752" flipH="1">
                                <a:off x="9813" y="11318"/>
                                <a:ext cx="69" cy="35"/>
                              </a:xfrm>
                              <a:custGeom>
                                <a:avLst/>
                                <a:gdLst>
                                  <a:gd name="T0" fmla="*/ 69 w 21600"/>
                                  <a:gd name="T1" fmla="*/ 24 h 21600"/>
                                  <a:gd name="T2" fmla="*/ 0 w 21600"/>
                                  <a:gd name="T3" fmla="*/ 23 h 21600"/>
                                  <a:gd name="T4" fmla="*/ 35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1898" y="15029"/>
                                    </a:moveTo>
                                    <a:cubicBezTo>
                                      <a:pt x="27829" y="19229"/>
                                      <a:pt x="22232" y="21600"/>
                                      <a:pt x="16385" y="21600"/>
                                    </a:cubicBezTo>
                                    <a:cubicBezTo>
                                      <a:pt x="10087" y="21600"/>
                                      <a:pt x="4103" y="18851"/>
                                      <a:pt x="0" y="14074"/>
                                    </a:cubicBezTo>
                                  </a:path>
                                  <a:path fill="norm" h="21600" w="21600" stroke="0">
                                    <a:moveTo>
                                      <a:pt x="31898" y="15029"/>
                                    </a:moveTo>
                                    <a:cubicBezTo>
                                      <a:pt x="27829" y="19229"/>
                                      <a:pt x="22232" y="21600"/>
                                      <a:pt x="16385" y="21600"/>
                                    </a:cubicBezTo>
                                    <a:cubicBezTo>
                                      <a:pt x="10087" y="21600"/>
                                      <a:pt x="4103" y="18851"/>
                                      <a:pt x="0" y="14074"/>
                                    </a:cubicBezTo>
                                    <a:lnTo>
                                      <a:pt x="16385" y="0"/>
                                    </a:lnTo>
                                    <a:lnTo>
                                      <a:pt x="31898" y="15029"/>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s:wsp xmlns:wps="http://schemas.microsoft.com/office/word/2010/wordprocessingShape">
                            <wps:cNvPr id="40" name="Arc 46"/>
                            <wps:cNvSpPr/>
                            <wps:spPr bwMode="auto">
                              <a:xfrm rot="11576752" flipH="1">
                                <a:off x="9816" y="11353"/>
                                <a:ext cx="33" cy="31"/>
                              </a:xfrm>
                              <a:custGeom>
                                <a:avLst/>
                                <a:gdLst>
                                  <a:gd name="T0" fmla="*/ 33 w 21600"/>
                                  <a:gd name="T1" fmla="*/ 22 h 21600"/>
                                  <a:gd name="T2" fmla="*/ 0 w 21600"/>
                                  <a:gd name="T3" fmla="*/ 20 h 21600"/>
                                  <a:gd name="T4" fmla="*/ 17 w 21600"/>
                                  <a:gd name="T5" fmla="*/ 0 h 21600"/>
                                  <a:gd name="T6" fmla="*/ 0 60000 65536"/>
                                  <a:gd name="T7" fmla="*/ 0 60000 65536"/>
                                  <a:gd name="T8" fmla="*/ 0 60000 65536"/>
                                  <a:gd name="T9" fmla="*/ 3163 w 21600"/>
                                  <a:gd name="T10" fmla="*/ 3163 h 21600"/>
                                  <a:gd name="T11" fmla="*/ 18437 w 21600"/>
                                  <a:gd name="T12" fmla="*/ 18437 h 21600"/>
                                </a:gdLst>
                                <a:cxnLst>
                                  <a:cxn ang="T6">
                                    <a:pos x="T0" y="T1"/>
                                  </a:cxn>
                                  <a:cxn ang="T7">
                                    <a:pos x="T2" y="T3"/>
                                  </a:cxn>
                                  <a:cxn ang="T8">
                                    <a:pos x="T4" y="T5"/>
                                  </a:cxn>
                                </a:cxnLst>
                                <a:rect l="T9" t="T10" r="T11" b="T12"/>
                                <a:pathLst>
                                  <a:path fill="none" h="21600" w="21600" stroke="1">
                                    <a:moveTo>
                                      <a:pt x="31898" y="15029"/>
                                    </a:moveTo>
                                    <a:cubicBezTo>
                                      <a:pt x="27829" y="19229"/>
                                      <a:pt x="22232" y="21600"/>
                                      <a:pt x="16385" y="21600"/>
                                    </a:cubicBezTo>
                                    <a:cubicBezTo>
                                      <a:pt x="10087" y="21600"/>
                                      <a:pt x="4103" y="18851"/>
                                      <a:pt x="0" y="14074"/>
                                    </a:cubicBezTo>
                                  </a:path>
                                  <a:path fill="norm" h="21600" w="21600" stroke="0">
                                    <a:moveTo>
                                      <a:pt x="31898" y="15029"/>
                                    </a:moveTo>
                                    <a:cubicBezTo>
                                      <a:pt x="27829" y="19229"/>
                                      <a:pt x="22232" y="21600"/>
                                      <a:pt x="16385" y="21600"/>
                                    </a:cubicBezTo>
                                    <a:cubicBezTo>
                                      <a:pt x="10087" y="21600"/>
                                      <a:pt x="4103" y="18851"/>
                                      <a:pt x="0" y="14074"/>
                                    </a:cubicBezTo>
                                    <a:lnTo>
                                      <a:pt x="16385" y="0"/>
                                    </a:lnTo>
                                    <a:lnTo>
                                      <a:pt x="31898" y="15029"/>
                                    </a:lnTo>
                                    <a:close/>
                                  </a:path>
                                </a:pathLst>
                              </a:custGeom>
                              <a:noFill/>
                              <a:ln w="9525">
                                <a:solidFill>
                                  <a:srgbClr val="000000"/>
                                </a:solidFill>
                                <a:round/>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CCCCCC"/>
                                      </a:outerShdw>
                                    </a:effectLst>
                                  </a14:hiddenEffects>
                                </a:ext>
                              </a:extLst>
                            </wps:spPr>
                            <wps:bodyPr rot="0" vert="horz" wrap="square" anchor="t" anchorCtr="0" upright="1"/>
                          </wps:wsp>
                        </wpg:grpSp>
                      </wpg:grpSp>
                      <wps:wsp xmlns:wps="http://schemas.microsoft.com/office/word/2010/wordprocessingShape">
                        <wps:cNvPr id="41" name="WordArt 47"/>
                        <wps:cNvSpPr txBox="1">
                          <a:spLocks noChangeArrowheads="1" noChangeShapeType="1"/>
                        </wps:cNvSpPr>
                        <wps:spPr bwMode="auto">
                          <a:xfrm>
                            <a:off x="11587" y="10919"/>
                            <a:ext cx="59" cy="3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66D25" w:rsidP="001B6469" w14:textId="77777777">
                              <w:pPr>
                                <w:pStyle w:val="NormalWeb"/>
                                <w:spacing w:before="0" w:beforeAutospacing="0" w:after="0" w:afterAutospacing="0"/>
                                <w:jc w:val="center"/>
                              </w:pPr>
                            </w:p>
                          </w:txbxContent>
                        </wps:txbx>
                        <wps:bodyPr rot="0" vert="horz" wrap="square"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1" o:spid="_x0000_s1026" style="width:67.1pt;height:65.5pt;margin-top:0;margin-left:0;position:absolute;z-index:251661312" coordorigin="11558,10856" coordsize="117,112">
                <v:group id="Group 12" o:spid="_x0000_s1027" style="width:117;height:112;left:11558;position:absolute;top:10856" coordorigin="11543,10631" coordsize="117,111">
                  <v:group id="Group 13" o:spid="_x0000_s1028" style="width:117;height:111;left:11543;position:absolute;top:10631" coordorigin="10124,10773" coordsize="392,386">
                    <v:group id="Group 14" o:spid="_x0000_s1029" style="width:393;height:386;left:10124;position:absolute;top:10773" coordorigin="10124,10773" coordsize="395,379">
                      <v:oval id="Oval 15" o:spid="_x0000_s1030" style="width:395;height:379;left:10124;mso-wrap-style:square;position:absolute;top:10773;visibility:visible;v-text-anchor:top" fillcolor="black" strokeweight="0.1pt" insetpen="t">
                        <v:shadow color="#ccc"/>
                      </v:oval>
                      <v:oval id="Oval 16" o:spid="_x0000_s1031" style="width:375;height:358;left:10134;mso-wrap-style:square;position:absolute;top:10784;visibility:visible;v-text-anchor:top" fillcolor="#036" strokecolor="#036" strokeweight="0.1pt" insetpen="t">
                        <v:shadow color="#ccc"/>
                      </v:oval>
                    </v:group>
                    <v:oval id="Oval 17" o:spid="_x0000_s1032" style="width:289;height:281;left:10175;mso-wrap-style:square;position:absolute;top:10826;visibility:visible;v-text-anchor:top" fillcolor="black" strokeweight="0.1pt" insetpen="t">
                      <v:shadow color="#ccc"/>
                    </v:oval>
                    <v:oval id="Oval 18" o:spid="_x0000_s1033" style="width:267;height:256;left:10186;mso-wrap-style:square;position:absolute;top:10839;visibility:visible;v-text-anchor:top" strokecolor="white" strokeweight="0.1pt" insetpen="t">
                      <v:shadow color="#ccc"/>
                    </v:oval>
                  </v:group>
                  <v:group id="Group 19" o:spid="_x0000_s1034" style="width:42;height:77;left:11581;position:absolute;rotation:4392079fd;top:10679" coordorigin="10197,11119" coordsize="145,259">
                    <v:shape id="AutoShape 20" o:spid="_x0000_s1035" style="width:29;height:27;flip:x;left:10239;mso-wrap-style:square;position:absolute;rotation:9107972fd;top:11333;visibility:visible;v-text-anchor:top" coordsize="10000,10000" path="m,3704l3793,3704l5172,,6207,3704l10000,3704l6897,6296l7931,10000l5172,7778,2069,10000,3103,6296,,3704xe" fillcolor="#fc0" strokeweight="0.1pt" insetpen="t">
                      <v:stroke joinstyle="miter"/>
                      <v:shadow on="t" color="black" offset="1pt,1pt"/>
                      <v:path o:connecttype="custom" o:connectlocs="0,0;0,0;0,0;0,0;0,0;0,0;0,0;0,0;0,0;0,0;0,0" o:connectangles="0,0,0,0,0,0,0,0,0,0,0"/>
                    </v:shape>
                    <v:shape id="AutoShape 21" o:spid="_x0000_s1036" style="width:28;height:27;flip:x;left:10275;mso-wrap-style:square;position:absolute;rotation:9107972fd;top:11300;visibility:visible;v-text-anchor:top" coordsize="10000,10000" path="m,3704l3929,3704l5000,,6071,3704l10000,3704l6786,6296l8214,10000l5000,7778,1786,10000,3214,6296,,3704xe" fillcolor="#fc0" strokeweight="0.1pt" insetpen="t">
                      <v:stroke joinstyle="miter"/>
                      <v:shadow on="t" color="black" offset="1pt,1pt"/>
                      <v:path o:connecttype="custom" o:connectlocs="0,0;0,0;0,0;0,0;0,0;0,0;0,0;0,0;0,0;0,0;0,0" o:connectangles="0,0,0,0,0,0,0,0,0,0,0"/>
                    </v:shape>
                    <v:shape id="AutoShape 22" o:spid="_x0000_s1037" style="width:28;height:28;flip:x;left:10304;mso-wrap-style:square;position:absolute;rotation:9107972fd;top:11258;visibility:visible;v-text-anchor:top" coordsize="10000,10000" path="m,3929l3929,3929l5000,,6071,3929l10000,3929l6786,6071l8214,10000l5000,7500,1786,10000,3214,6071,,3929xe" fillcolor="#fc0" strokeweight="0.1pt" insetpen="t">
                      <v:stroke joinstyle="miter"/>
                      <v:shadow on="t" color="black" offset="1pt,1pt"/>
                      <v:path o:connecttype="custom" o:connectlocs="0,0;0,0;0,0;0,0;0,0;0,0;0,0;0,0;0,0;0,0;0,0" o:connectangles="0,0,0,0,0,0,0,0,0,0,0"/>
                    </v:shape>
                    <v:shape id="AutoShape 23" o:spid="_x0000_s1038" style="width:29;height:27;flip:x;left:10314;mso-wrap-style:square;position:absolute;rotation:9107972fd;top:11210;visibility:visible;v-text-anchor:top" coordsize="10000,10000" path="m,3704l3793,3704l5172,,6207,3704l10000,3704l6897,6296l7931,10000l5172,7778,2069,10000,3103,6296,,3704xe" fillcolor="#fc0" strokeweight="0.1pt" insetpen="t">
                      <v:stroke joinstyle="miter"/>
                      <v:shadow on="t" color="black" offset="1pt,1pt"/>
                      <v:path o:connecttype="custom" o:connectlocs="0,0;0,0;0,0;0,0;0,0;0,0;0,0;0,0;0,0;0,0;0,0" o:connectangles="0,0,0,0,0,0,0,0,0,0,0"/>
                    </v:shape>
                    <v:shape id="AutoShape 24" o:spid="_x0000_s1039" style="width:28;height:27;flip:x;left:10310;mso-wrap-style:square;position:absolute;rotation:9107972fd;top:11164;visibility:visible;v-text-anchor:top" coordsize="10000,10000" path="m,3704l3929,3704l5000,,6071,3704l10000,3704l6786,6296l8214,10000l5000,7778,1786,10000,3214,6296,,3704xe" fillcolor="#fc0" strokeweight="0.1pt" insetpen="t">
                      <v:stroke joinstyle="miter"/>
                      <v:shadow on="t" color="black" offset="1pt,1pt"/>
                      <v:path o:connecttype="custom" o:connectlocs="0,0;0,0;0,0;0,0;0,0;0,0;0,0;0,0;0,0;0,0;0,0" o:connectangles="0,0,0,0,0,0,0,0,0,0,0"/>
                    </v:shape>
                    <v:shape id="AutoShape 25" o:spid="_x0000_s1040" style="width:28;height:28;flip:x;left:10296;mso-wrap-style:square;position:absolute;rotation:9107972fd;top:11119;visibility:visible;v-text-anchor:top" coordsize="10000,10000" path="m,3929l3929,3929l5000,,6071,3929l10000,3929l6786,6071l8214,10000l5000,7500,1786,10000,3214,6071,,3929xe" fillcolor="#fc0" strokeweight="0.1pt" insetpen="t">
                      <v:stroke joinstyle="miter"/>
                      <v:shadow on="t" color="black" offset="1pt,1pt"/>
                      <v:path o:connecttype="custom" o:connectlocs="0,0;0,0;0,0;0,0;0,0;0,0;0,0;0,0;0,0;0,0;0,0" o:connectangles="0,0,0,0,0,0,0,0,0,0,0"/>
                    </v:shape>
                    <v:shape id="AutoShape 26" o:spid="_x0000_s1041" style="width:28;height:28;flip:x;left:10197;mso-wrap-style:square;position:absolute;rotation:9107972fd;top:11351;visibility:visible;v-text-anchor:top" coordsize="10000,10000" path="m,3929l3929,3929l5000,,6071,3929l10000,3929l6786,6071l8214,10000l5000,7500,1786,10000,3214,6071,,3929xe" fillcolor="#fc0" strokeweight="0.1pt" insetpen="t">
                      <v:stroke joinstyle="miter"/>
                      <v:shadow on="t" color="black" offset="1pt,1pt"/>
                      <v:path o:connecttype="custom" o:connectlocs="0,0;0,0;0,0;0,0;0,0;0,0;0,0;0,0;0,0;0,0;0,0" o:connectangles="0,0,0,0,0,0,0,0,0,0,0"/>
                    </v:shape>
                  </v:group>
                  <v:shapetype id="_x0000_t202" coordsize="21600,21600" o:spt="202" path="m,l,21600r21600,l21600,xe">
                    <v:stroke joinstyle="miter"/>
                    <v:path gradientshapeok="t" o:connecttype="rect"/>
                  </v:shapetype>
                  <v:shape id="WordArt 27" o:spid="_x0000_s1042" type="#_x0000_t202" style="width:97;height:36;left:11553;mso-wrap-style:square;position:absolute;top:10640;visibility:visible;v-text-anchor:top" filled="f" stroked="f">
                    <o:lock v:ext="edit" shapetype="t"/>
                    <v:textbox style="mso-fit-shape-to-text:t">
                      <w:txbxContent>
                        <w:p w:rsidR="00766D25" w:rsidP="001B6469" w14:paraId="4C526C38" w14:textId="77777777">
                          <w:pPr>
                            <w:pStyle w:val="NormalWeb"/>
                            <w:spacing w:before="0" w:beforeAutospacing="0" w:after="0" w:afterAutospacing="0"/>
                            <w:jc w:val="cente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43" type="#_x0000_t75" style="width:69;height:35;left:11582;mso-wrap-style:square;position:absolute;top:10898;visibility:visible" strokecolor="white" strokeweight="0.1pt" insetpen="t">
                  <v:imagedata r:id="rId6" o:title=""/>
                  <v:shadow color="#ccc"/>
                </v:shape>
                <v:group id="Group 29" o:spid="_x0000_s1044" style="width:21;height:56;left:11605;position:absolute;top:10896" coordorigin="10104,11303" coordsize="64,165">
                  <v:line id="Line 30" o:spid="_x0000_s1045" style="flip:x;mso-wrap-style:square;position:absolute;visibility:visible" from="10104,11303" to="10140,11467" o:connectortype="straight" strokeweight="1.5pt">
                    <v:shadow color="#ccc"/>
                  </v:line>
                  <v:line id="Line 31" o:spid="_x0000_s1046" style="mso-wrap-style:square;position:absolute;visibility:visible" from="10140,11303" to="10169,11468" o:connectortype="straight" strokeweight="1.5pt">
                    <v:shadow color="#ccc"/>
                  </v:line>
                </v:group>
                <v:group id="Group 32" o:spid="_x0000_s1047" style="width:31;height:20;left:11601;position:absolute;top:10879" coordorigin="10815,11057" coordsize="113,70">
                  <v:oval id="Oval 33" o:spid="_x0000_s1048" style="width:28;height:26;left:10857;mso-wrap-style:square;position:absolute;top:11088;visibility:visible;v-text-anchor:top" filled="f" insetpen="t">
                    <v:shadow color="#ccc"/>
                  </v:oval>
                  <v:line id="Line 34" o:spid="_x0000_s1049" style="flip:y;mso-wrap-style:square;position:absolute;visibility:visible" from="10871,11101" to="10871,11120" o:connectortype="straight">
                    <v:shadow color="#ccc"/>
                  </v:line>
                  <v:oval id="Oval 35" o:spid="_x0000_s1050" style="width:9;height:8;left:10866;mso-wrap-style:square;position:absolute;top:11097;visibility:visible;v-text-anchor:top" filled="f" strokeweight="1.5pt" insetpen="t">
                    <v:shadow color="#ccc"/>
                  </v:oval>
                  <v:oval id="Oval 36" o:spid="_x0000_s1051" style="width:16;height:15;left:10862;mso-wrap-style:square;position:absolute;top:11094;visibility:visible;v-text-anchor:top" filled="f" insetpen="t">
                    <v:shadow color="#ccc"/>
                  </v:oval>
                  <v:group id="Group 37" o:spid="_x0000_s1052" style="width:70;height:66;left:10813;position:absolute;rotation:-6694564fd;top:11059" coordorigin="9669,11159" coordsize="70,66">
                    <v:shape id="Arc 38" o:spid="_x0000_s1053" style="width:51;height:33;flip:x;left:9669;mso-wrap-style:square;position:absolute;rotation:10948060fd;top:11184;visibility:visible;v-text-anchor:top" coordsize="21600,21600" path="m31898,15029nfc27829,19229,22232,21600,16385,21600,10087,21600,4103,18851,,14074em31898,15029nsc27829,19229,22232,21600,16385,21600,10087,21600,4103,18851,,14074l16385,,31898,15029xe" filled="f">
                      <v:shadow color="#ccc"/>
                      <v:path arrowok="t" o:connecttype="custom" o:connectlocs="0,0;0,0;0,0" o:connectangles="0,0,0" textboxrect="2965,3273,18635,18327"/>
                    </v:shape>
                    <v:shape id="Arc 39" o:spid="_x0000_s1054" style="width:62;height:34;flip:x;left:9669;mso-wrap-style:square;position:absolute;rotation:10948060fd;top:11171;visibility:visible;v-text-anchor:top" coordsize="21600,21600" path="m33478,13204nfc29388,18499,23075,21600,16385,21600,10087,21600,4103,18851,,14074em33478,13204nsc29388,18499,23075,21600,16385,21600,10087,21600,4103,18851,,14074l16385,,33478,13204xe" filled="f">
                      <v:shadow color="#ccc"/>
                      <v:path arrowok="t" o:connecttype="custom" o:connectlocs="0,0;0,0;0,0" o:connectangles="0,0,0" textboxrect="3135,3176,18465,18424"/>
                    </v:shape>
                    <v:shape id="Arc 40" o:spid="_x0000_s1055" style="width:69;height:36;flip:x;left:9670;mso-wrap-style:square;position:absolute;rotation:10948060fd;top:11159;visibility:visible;v-text-anchor:top" coordsize="21600,21600" path="m31898,15029nfc27829,19229,22232,21600,16385,21600,10087,21600,4103,18851,,14074em31898,15029nsc27829,19229,22232,21600,16385,21600,10087,21600,4103,18851,,14074l16385,,31898,15029xe" filled="f">
                      <v:shadow color="#ccc"/>
                      <v:path arrowok="t" o:connecttype="custom" o:connectlocs="0,0;0,0;0,0" o:connectangles="0,0,0" textboxrect="3130,3000,18470,18600"/>
                    </v:shape>
                    <v:shape id="Arc 41" o:spid="_x0000_s1056" style="width:33;height:31;flip:x;left:9674;mso-wrap-style:square;position:absolute;rotation:10948060fd;top:11194;visibility:visible;v-text-anchor:top" coordsize="21600,21600" path="m31898,15029nfc27829,19229,22232,21600,16385,21600,10087,21600,4103,18851,,14074em31898,15029nsc27829,19229,22232,21600,16385,21600,10087,21600,4103,18851,,14074l16385,,31898,15029xe" filled="f">
                      <v:shadow color="#ccc"/>
                      <v:path arrowok="t" o:connecttype="custom" o:connectlocs="0,0;0,0;0,0" o:connectangles="0,0,0" textboxrect="3273,3484,18327,18116"/>
                    </v:shape>
                  </v:group>
                  <v:group id="Group 42" o:spid="_x0000_s1057" style="width:70;height:66;flip:x;left:10860;position:absolute;rotation:-6746660fd;top:11059" coordorigin="9811,11318" coordsize="70,66">
                    <v:shape id="Arc 43" o:spid="_x0000_s1058" style="width:50;height:34;flip:x;left:9812;mso-wrap-style:square;position:absolute;rotation:10948060fd;top:11342;visibility:visible;v-text-anchor:top" coordsize="21600,21600" path="m31898,15029nfc27829,19229,22232,21600,16385,21600,10087,21600,4103,18851,,14074em31898,15029nsc27829,19229,22232,21600,16385,21600,10087,21600,4103,18851,,14074l16385,,31898,15029xe" filled="f">
                      <v:shadow color="#ccc"/>
                      <v:path arrowok="t" o:connecttype="custom" o:connectlocs="0,0;0,0;0,0" o:connectangles="0,0,0" textboxrect="3024,3176,18576,18424"/>
                    </v:shape>
                    <v:shape id="Arc 44" o:spid="_x0000_s1059" style="width:63;height:33;flip:x;left:9811;mso-wrap-style:square;position:absolute;rotation:10948060fd;top:11330;visibility:visible;v-text-anchor:top" coordsize="21600,21600" path="m33478,13204nfc29388,18499,23075,21600,16385,21600,10087,21600,4103,18851,,14074em33478,13204nsc29388,18499,23075,21600,16385,21600,10087,21600,4103,18851,,14074l16385,,33478,13204xe" filled="f">
                      <v:shadow color="#ccc"/>
                      <v:path arrowok="t" o:connecttype="custom" o:connectlocs="0,0;0,0;0,0" o:connectangles="0,0,0" textboxrect="3086,3273,18514,18327"/>
                    </v:shape>
                    <v:shape id="Arc 45" o:spid="_x0000_s1060" style="width:69;height:35;flip:x;left:9813;mso-wrap-style:square;position:absolute;rotation:10948060fd;top:11318;visibility:visible;v-text-anchor:top" coordsize="21600,21600" path="m31898,15029nfc27829,19229,22232,21600,16385,21600,10087,21600,4103,18851,,14074em31898,15029nsc27829,19229,22232,21600,16385,21600,10087,21600,4103,18851,,14074l16385,,31898,15029xe" filled="f">
                      <v:shadow color="#ccc"/>
                      <v:path arrowok="t" o:connecttype="custom" o:connectlocs="0,0;0,0;0,0" o:connectangles="0,0,0" textboxrect="3130,3086,18470,18514"/>
                    </v:shape>
                    <v:shape id="Arc 46" o:spid="_x0000_s1061" style="width:33;height:31;flip:x;left:9816;mso-wrap-style:square;position:absolute;rotation:10948060fd;top:11353;visibility:visible;v-text-anchor:top" coordsize="21600,21600" path="m31898,15029nfc27829,19229,22232,21600,16385,21600,10087,21600,4103,18851,,14074em31898,15029nsc27829,19229,22232,21600,16385,21600,10087,21600,4103,18851,,14074l16385,,31898,15029xe" filled="f">
                      <v:shadow color="#ccc"/>
                      <v:path arrowok="t" o:connecttype="custom" o:connectlocs="0,0;0,0;0,0" o:connectangles="0,0,0" textboxrect="3273,3484,18327,18116"/>
                    </v:shape>
                  </v:group>
                </v:group>
                <v:shape id="WordArt 47" o:spid="_x0000_s1062" type="#_x0000_t202" style="width:59;height:36;left:11587;mso-wrap-style:square;position:absolute;top:10919;visibility:visible;v-text-anchor:top" filled="f" stroked="f">
                  <o:lock v:ext="edit" shapetype="t"/>
                  <v:textbox style="mso-fit-shape-to-text:t">
                    <w:txbxContent>
                      <w:p w:rsidR="00766D25" w:rsidP="001B6469" w14:paraId="71B782A9" w14:textId="77777777">
                        <w:pPr>
                          <w:pStyle w:val="NormalWeb"/>
                          <w:spacing w:before="0" w:beforeAutospacing="0" w:after="0" w:afterAutospacing="0"/>
                          <w:jc w:val="center"/>
                        </w:pPr>
                      </w:p>
                    </w:txbxContent>
                  </v:textbox>
                </v:shape>
              </v:group>
            </w:pict>
          </mc:Fallback>
        </mc:AlternateContent>
      </w:r>
    </w:p>
    <w:p w:rsidR="00905684" w:rsidP="00066793" w14:paraId="71FE7619" w14:textId="4A0590FF">
      <w:pPr>
        <w:widowControl/>
        <w:rPr>
          <w:sz w:val="48"/>
          <w:szCs w:val="44"/>
        </w:rPr>
      </w:pPr>
    </w:p>
    <w:p w:rsidR="00905684" w:rsidP="00066793" w14:paraId="0BB85EAB" w14:textId="1BADDC14">
      <w:pPr>
        <w:widowControl/>
        <w:tabs>
          <w:tab w:val="left" w:pos="1980"/>
        </w:tabs>
        <w:rPr>
          <w:sz w:val="48"/>
          <w:szCs w:val="44"/>
        </w:rPr>
      </w:pPr>
      <w:r>
        <w:rPr>
          <w:sz w:val="48"/>
          <w:szCs w:val="44"/>
        </w:rPr>
        <w:tab/>
      </w:r>
    </w:p>
    <w:p w:rsidR="001B6469" w:rsidRPr="00E6447B" w:rsidP="00066793" w14:paraId="4728CE01" w14:textId="77777777">
      <w:pPr>
        <w:widowControl/>
        <w:pBdr>
          <w:bottom w:val="single" w:sz="12" w:space="1" w:color="auto"/>
        </w:pBdr>
        <w:rPr>
          <w:rFonts w:ascii="Calibri" w:hAnsi="Calibri"/>
          <w:b/>
          <w:sz w:val="32"/>
        </w:rPr>
      </w:pPr>
      <w:r w:rsidRPr="00E6447B">
        <w:rPr>
          <w:rFonts w:ascii="Calibri" w:hAnsi="Calibri"/>
          <w:b/>
          <w:sz w:val="32"/>
        </w:rPr>
        <w:t>Public Safety and Homeland Security Bureau</w:t>
      </w:r>
    </w:p>
    <w:p w:rsidR="001B6469" w:rsidRPr="00E6447B" w:rsidP="00066793" w14:paraId="58E39985" w14:textId="53EAECC6">
      <w:pPr>
        <w:widowControl/>
        <w:jc w:val="center"/>
        <w:rPr>
          <w:rFonts w:ascii="Calibri" w:hAnsi="Calibri"/>
          <w:b/>
          <w:sz w:val="28"/>
          <w:szCs w:val="28"/>
        </w:rPr>
      </w:pPr>
      <w:r>
        <w:rPr>
          <w:rFonts w:ascii="Calibri" w:hAnsi="Calibri"/>
          <w:b/>
          <w:sz w:val="28"/>
          <w:szCs w:val="28"/>
        </w:rPr>
        <w:t xml:space="preserve">Federal Communications Commission </w:t>
      </w:r>
      <w:r>
        <w:rPr>
          <w:rFonts w:ascii="Wingdings 2" w:hAnsi="Wingdings 2"/>
          <w:b/>
          <w:sz w:val="28"/>
          <w:szCs w:val="28"/>
        </w:rPr>
        <w:sym w:font="Wingdings 2" w:char="F097"/>
      </w:r>
      <w:r>
        <w:rPr>
          <w:rFonts w:ascii="Calibri" w:hAnsi="Calibri"/>
          <w:b/>
          <w:sz w:val="28"/>
          <w:szCs w:val="28"/>
        </w:rPr>
        <w:t xml:space="preserve"> 45 L Street, NE </w:t>
      </w:r>
      <w:r>
        <w:rPr>
          <w:rFonts w:ascii="Wingdings 2" w:hAnsi="Wingdings 2"/>
          <w:b/>
          <w:sz w:val="28"/>
          <w:szCs w:val="28"/>
        </w:rPr>
        <w:sym w:font="Wingdings 2" w:char="F097"/>
      </w:r>
      <w:r>
        <w:rPr>
          <w:rFonts w:ascii="Calibri" w:hAnsi="Calibri"/>
          <w:b/>
          <w:sz w:val="28"/>
          <w:szCs w:val="28"/>
        </w:rPr>
        <w:t xml:space="preserve"> Washington, DC  20002</w:t>
      </w:r>
    </w:p>
    <w:p w:rsidR="0016409E" w:rsidP="00066793" w14:paraId="2EAE7248" w14:textId="77777777">
      <w:pPr>
        <w:widowControl/>
        <w:rPr>
          <w:sz w:val="28"/>
          <w:szCs w:val="24"/>
        </w:rPr>
      </w:pPr>
      <w:r>
        <w:rPr>
          <w:sz w:val="28"/>
          <w:szCs w:val="24"/>
        </w:rPr>
        <w:br w:type="page"/>
      </w:r>
    </w:p>
    <w:p w:rsidR="006C0071" w:rsidP="00066793" w14:paraId="19D4A613" w14:textId="48487AAA">
      <w:pPr>
        <w:pStyle w:val="TOCTitle"/>
        <w:widowControl/>
      </w:pPr>
      <w:bookmarkStart w:id="0" w:name="TOChere"/>
      <w:r>
        <w:t>Table of Contents</w:t>
      </w:r>
    </w:p>
    <w:p w:rsidR="00813925" w:rsidP="00066793" w14:paraId="1F96A633" w14:textId="04264A62">
      <w:pPr>
        <w:pStyle w:val="Paratitle"/>
        <w:widowControl/>
      </w:pPr>
      <w:r>
        <w:tab/>
        <w:t>Para</w:t>
      </w:r>
      <w:bookmarkStart w:id="1" w:name="start_here"/>
      <w:bookmarkEnd w:id="1"/>
      <w:r>
        <w:t>.</w:t>
      </w:r>
    </w:p>
    <w:p w:rsidR="00813925" w:rsidP="00066793" w14:paraId="091BAA59" w14:textId="4B7E2781">
      <w:pPr>
        <w:pStyle w:val="TOC1"/>
        <w:widowControl/>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Summary</w:t>
      </w:r>
      <w:r>
        <w:tab/>
        <w:t>1</w:t>
      </w:r>
    </w:p>
    <w:p w:rsidR="00813925" w:rsidP="00066793" w14:paraId="0562D1E2" w14:textId="464FB0A4">
      <w:pPr>
        <w:pStyle w:val="TOC1"/>
        <w:widowControl/>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rsidR="00813925" w:rsidP="00066793" w14:paraId="3B1A6B65" w14:textId="1D7B3C5B">
      <w:pPr>
        <w:pStyle w:val="TOC1"/>
        <w:widowControl/>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The 2021 Nationwide WEA Test</w:t>
      </w:r>
      <w:r>
        <w:tab/>
      </w:r>
      <w:r w:rsidR="00A84B44">
        <w:t>8</w:t>
      </w:r>
    </w:p>
    <w:p w:rsidR="00813925" w:rsidP="00066793" w14:paraId="7F96E68B" w14:textId="1BC732DF">
      <w:pPr>
        <w:pStyle w:val="TOC2"/>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Parameters of the 2021 Nationwide WEA Test</w:t>
      </w:r>
      <w:r>
        <w:tab/>
      </w:r>
      <w:r w:rsidR="00A84B44">
        <w:t>8</w:t>
      </w:r>
    </w:p>
    <w:p w:rsidR="00813925" w:rsidP="00066793" w14:paraId="5B174F11" w14:textId="43F75740">
      <w:pPr>
        <w:pStyle w:val="TOC2"/>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Participation in the 2021 Nationwide WEA Test</w:t>
      </w:r>
      <w:r>
        <w:tab/>
      </w:r>
      <w:r w:rsidR="00A84B44">
        <w:t>9</w:t>
      </w:r>
    </w:p>
    <w:p w:rsidR="00813925" w:rsidP="00066793" w14:paraId="284120A9" w14:textId="02DAFB9C">
      <w:pPr>
        <w:pStyle w:val="TOC4"/>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CMS Providers</w:t>
      </w:r>
      <w:r>
        <w:tab/>
      </w:r>
      <w:r w:rsidR="00A84B44">
        <w:t>9</w:t>
      </w:r>
    </w:p>
    <w:p w:rsidR="00813925" w:rsidP="00066793" w14:paraId="658EB2EF" w14:textId="25F33C7B">
      <w:pPr>
        <w:pStyle w:val="TOC4"/>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Leveraging Partnerships with Emergency Management Agencies to Gather Nationwide WEA Test Data</w:t>
      </w:r>
      <w:r>
        <w:tab/>
        <w:t>1</w:t>
      </w:r>
      <w:r w:rsidR="00A84B44">
        <w:t>0</w:t>
      </w:r>
    </w:p>
    <w:p w:rsidR="00813925" w:rsidP="00066793" w14:paraId="2E7355DD" w14:textId="7F6405FC">
      <w:pPr>
        <w:pStyle w:val="TOC4"/>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CMS Provider Responses to Questions from PSHSB Bureau Chief</w:t>
      </w:r>
      <w:r>
        <w:tab/>
        <w:t>1</w:t>
      </w:r>
      <w:r w:rsidR="00A84B44">
        <w:t>3</w:t>
      </w:r>
    </w:p>
    <w:p w:rsidR="00813925" w:rsidP="00066793" w14:paraId="19B1CD5D" w14:textId="3B469A72">
      <w:pPr>
        <w:pStyle w:val="TOC2"/>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Test Performance</w:t>
      </w:r>
      <w:r>
        <w:tab/>
        <w:t>1</w:t>
      </w:r>
      <w:r w:rsidR="00A84B44">
        <w:t>4</w:t>
      </w:r>
    </w:p>
    <w:p w:rsidR="00813925" w:rsidP="00066793" w14:paraId="5520269A" w14:textId="1E9FD1AC">
      <w:pPr>
        <w:pStyle w:val="TOC3"/>
        <w:widowControl/>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Reliability</w:t>
      </w:r>
      <w:r>
        <w:tab/>
        <w:t>1</w:t>
      </w:r>
      <w:r w:rsidR="00A84B44">
        <w:t>4</w:t>
      </w:r>
    </w:p>
    <w:p w:rsidR="00813925" w:rsidP="00066793" w14:paraId="4D75B62A" w14:textId="743B672F">
      <w:pPr>
        <w:pStyle w:val="TOC4"/>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Overall</w:t>
      </w:r>
      <w:r>
        <w:tab/>
        <w:t>1</w:t>
      </w:r>
      <w:r w:rsidR="00A84B44">
        <w:t>4</w:t>
      </w:r>
    </w:p>
    <w:p w:rsidR="00813925" w:rsidP="00066793" w14:paraId="37DA4964" w14:textId="25F25CA7">
      <w:pPr>
        <w:pStyle w:val="TOC4"/>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By Wireless Service Provider</w:t>
      </w:r>
      <w:r>
        <w:tab/>
        <w:t>1</w:t>
      </w:r>
      <w:r w:rsidR="00A84B44">
        <w:t>5</w:t>
      </w:r>
    </w:p>
    <w:p w:rsidR="00813925" w:rsidP="00066793" w14:paraId="4C3E5CE4" w14:textId="5DD93FC5">
      <w:pPr>
        <w:pStyle w:val="TOC4"/>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By CMS Provider versus Mobile Virtual Network Operator</w:t>
      </w:r>
      <w:r>
        <w:tab/>
        <w:t>1</w:t>
      </w:r>
      <w:r w:rsidR="00A84B44">
        <w:t>6</w:t>
      </w:r>
    </w:p>
    <w:p w:rsidR="00813925" w:rsidP="00066793" w14:paraId="0F7E6F52" w14:textId="72703EE2">
      <w:pPr>
        <w:pStyle w:val="TOC4"/>
        <w:widowControl/>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By Generation of Wireless Network Technology</w:t>
      </w:r>
      <w:r>
        <w:tab/>
        <w:t>1</w:t>
      </w:r>
      <w:r w:rsidR="00A84B44">
        <w:t>8</w:t>
      </w:r>
    </w:p>
    <w:p w:rsidR="00813925" w:rsidP="00066793" w14:paraId="00816420" w14:textId="57294788">
      <w:pPr>
        <w:pStyle w:val="TOC4"/>
        <w:widowControl/>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By Mobile Device WEA Capabilities</w:t>
      </w:r>
      <w:r>
        <w:tab/>
      </w:r>
      <w:r w:rsidR="00A84B44">
        <w:t>19</w:t>
      </w:r>
    </w:p>
    <w:p w:rsidR="00813925" w:rsidP="00066793" w14:paraId="7EEAD01A" w14:textId="65AA07BE">
      <w:pPr>
        <w:pStyle w:val="TOC4"/>
        <w:widowControl/>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By Mobile Device Manufacturer</w:t>
      </w:r>
      <w:r>
        <w:tab/>
        <w:t>2</w:t>
      </w:r>
      <w:r w:rsidR="00A84B44">
        <w:t>0</w:t>
      </w:r>
    </w:p>
    <w:p w:rsidR="00813925" w:rsidP="00066793" w14:paraId="113E634B" w14:textId="46F7EDF9">
      <w:pPr>
        <w:pStyle w:val="TOC4"/>
        <w:widowControl/>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By Device Operating System</w:t>
      </w:r>
      <w:r>
        <w:tab/>
        <w:t>2</w:t>
      </w:r>
      <w:r w:rsidR="00A84B44">
        <w:t>1</w:t>
      </w:r>
    </w:p>
    <w:p w:rsidR="00813925" w:rsidP="00066793" w14:paraId="2173FE34" w14:textId="30713D27">
      <w:pPr>
        <w:pStyle w:val="TOC4"/>
        <w:widowControl/>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By Location (Indoor/Outdoor)</w:t>
      </w:r>
      <w:r>
        <w:tab/>
        <w:t>2</w:t>
      </w:r>
      <w:r w:rsidR="00A84B44">
        <w:t>2</w:t>
      </w:r>
    </w:p>
    <w:p w:rsidR="00813925" w:rsidP="00066793" w14:paraId="79EBCF14" w14:textId="0343D6E4">
      <w:pPr>
        <w:pStyle w:val="TOC4"/>
        <w:widowControl/>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By Whether Device Was In Use</w:t>
      </w:r>
      <w:r>
        <w:tab/>
        <w:t>2</w:t>
      </w:r>
      <w:r w:rsidR="00A84B44">
        <w:t>3</w:t>
      </w:r>
    </w:p>
    <w:p w:rsidR="00813925" w:rsidP="00066793" w14:paraId="66742953" w14:textId="5C979483">
      <w:pPr>
        <w:pStyle w:val="TOC3"/>
        <w:widowControl/>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Latency</w:t>
      </w:r>
      <w:r>
        <w:tab/>
        <w:t>2</w:t>
      </w:r>
      <w:r w:rsidR="00A84B44">
        <w:t>4</w:t>
      </w:r>
    </w:p>
    <w:p w:rsidR="00813925" w:rsidP="00066793" w14:paraId="1162471F" w14:textId="3E293B76">
      <w:pPr>
        <w:pStyle w:val="TOC4"/>
        <w:widowControl/>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CMS Provider Network Latency Analysis</w:t>
      </w:r>
      <w:r>
        <w:tab/>
        <w:t>2</w:t>
      </w:r>
      <w:r w:rsidR="00A84B44">
        <w:t>4</w:t>
      </w:r>
    </w:p>
    <w:p w:rsidR="00813925" w:rsidP="00066793" w14:paraId="024F2E4E" w14:textId="4EDAEE7D">
      <w:pPr>
        <w:pStyle w:val="TOC4"/>
        <w:widowControl/>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Latency Overall</w:t>
      </w:r>
      <w:r>
        <w:tab/>
      </w:r>
      <w:r w:rsidR="00A84B44">
        <w:t>29</w:t>
      </w:r>
    </w:p>
    <w:p w:rsidR="00813925" w:rsidP="00066793" w14:paraId="32B02919" w14:textId="3FFC1C55">
      <w:pPr>
        <w:pStyle w:val="TOC4"/>
        <w:widowControl/>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By Wireless Provider</w:t>
      </w:r>
      <w:r>
        <w:tab/>
        <w:t>3</w:t>
      </w:r>
      <w:r w:rsidR="00A84B44">
        <w:t>2</w:t>
      </w:r>
    </w:p>
    <w:p w:rsidR="00813925" w:rsidP="00066793" w14:paraId="2B2577DB" w14:textId="45D7CA6F">
      <w:pPr>
        <w:pStyle w:val="TOC4"/>
        <w:widowControl/>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By Generation of Wireless Network Technology</w:t>
      </w:r>
      <w:r>
        <w:tab/>
        <w:t>3</w:t>
      </w:r>
      <w:r w:rsidR="00A84B44">
        <w:t>4</w:t>
      </w:r>
    </w:p>
    <w:p w:rsidR="00813925" w:rsidP="00066793" w14:paraId="5773D9E2" w14:textId="027DF133">
      <w:pPr>
        <w:pStyle w:val="TOC3"/>
        <w:widowControl/>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Accessibility</w:t>
      </w:r>
      <w:r>
        <w:tab/>
        <w:t>3</w:t>
      </w:r>
      <w:r w:rsidR="00A84B44">
        <w:t>5</w:t>
      </w:r>
    </w:p>
    <w:p w:rsidR="00813925" w:rsidP="00066793" w14:paraId="127A9E54" w14:textId="349AE215">
      <w:pPr>
        <w:pStyle w:val="TOC2"/>
        <w:widowControl/>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Analysis of Reported Challenge with Duplicate Messages</w:t>
      </w:r>
      <w:r>
        <w:tab/>
        <w:t>3</w:t>
      </w:r>
      <w:r w:rsidR="00A84B44">
        <w:t>6</w:t>
      </w:r>
    </w:p>
    <w:p w:rsidR="00813925" w:rsidP="00066793" w14:paraId="0518AD39" w14:textId="34E00E15">
      <w:pPr>
        <w:pStyle w:val="TOC1"/>
        <w:widowControl/>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Next Steps</w:t>
      </w:r>
      <w:r>
        <w:tab/>
        <w:t>4</w:t>
      </w:r>
      <w:r w:rsidR="00A84B44">
        <w:t>0</w:t>
      </w:r>
    </w:p>
    <w:p w:rsidR="00813925" w:rsidP="00066793" w14:paraId="1EBA19BC" w14:textId="12890CEE">
      <w:pPr>
        <w:pStyle w:val="TOC1"/>
        <w:widowControl/>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Conclusion</w:t>
      </w:r>
      <w:r>
        <w:tab/>
        <w:t>4</w:t>
      </w:r>
      <w:r w:rsidR="00A84B44">
        <w:t>1</w:t>
      </w:r>
    </w:p>
    <w:bookmarkEnd w:id="0"/>
    <w:p w:rsidR="00813925" w:rsidP="00066793" w14:paraId="2F6C5162" w14:textId="77777777">
      <w:pPr>
        <w:widowControl/>
        <w:rPr>
          <w:sz w:val="28"/>
          <w:szCs w:val="24"/>
        </w:rPr>
      </w:pPr>
    </w:p>
    <w:p w:rsidR="00905684" w:rsidP="00066793" w14:paraId="09C963BF" w14:textId="51C92301">
      <w:pPr>
        <w:pStyle w:val="Heading1"/>
        <w:widowControl/>
      </w:pPr>
      <w:r>
        <w:br w:type="page"/>
      </w:r>
      <w:bookmarkStart w:id="2" w:name="_Toc83909772"/>
      <w:bookmarkStart w:id="3" w:name="_Toc83911799"/>
      <w:bookmarkStart w:id="4" w:name="_Toc84335304"/>
      <w:bookmarkStart w:id="5" w:name="_Toc84597859"/>
      <w:bookmarkStart w:id="6" w:name="_Toc84926080"/>
      <w:bookmarkStart w:id="7" w:name="_Toc84933014"/>
      <w:bookmarkStart w:id="8" w:name="_Toc85552909"/>
      <w:r>
        <w:t>Summary</w:t>
      </w:r>
      <w:bookmarkEnd w:id="2"/>
      <w:bookmarkEnd w:id="3"/>
      <w:bookmarkEnd w:id="4"/>
      <w:bookmarkEnd w:id="5"/>
      <w:bookmarkEnd w:id="6"/>
      <w:bookmarkEnd w:id="7"/>
      <w:bookmarkEnd w:id="8"/>
    </w:p>
    <w:p w:rsidR="00FE5CC4" w:rsidP="00066793" w14:paraId="1498E3B3" w14:textId="05A1A462">
      <w:pPr>
        <w:pStyle w:val="ParaNum"/>
        <w:widowControl/>
      </w:pPr>
      <w:r w:rsidRPr="00747CC5">
        <w:t xml:space="preserve">The </w:t>
      </w:r>
      <w:r w:rsidR="00766D25">
        <w:t>Integrated Public Alert and Warning System (</w:t>
      </w:r>
      <w:r w:rsidRPr="00747CC5">
        <w:t>IPAWS</w:t>
      </w:r>
      <w:r w:rsidR="00766D25">
        <w:t>)</w:t>
      </w:r>
      <w:r w:rsidRPr="00747CC5">
        <w:t xml:space="preserve"> Modernization Act, 2015 (Public Law 114-143) requires the </w:t>
      </w:r>
      <w:r w:rsidR="00766D25">
        <w:t>Federal Emergency Management Agency’s (</w:t>
      </w:r>
      <w:r w:rsidRPr="00747CC5">
        <w:t>FEMA</w:t>
      </w:r>
      <w:r w:rsidR="00766D25">
        <w:t>’s)</w:t>
      </w:r>
      <w:r w:rsidRPr="00747CC5">
        <w:t xml:space="preserve"> IPAWS Program Management Office to conduct, not less than once every three years, nationwide tests of the public alert and warning system</w:t>
      </w:r>
      <w:r>
        <w:t xml:space="preserve">.  </w:t>
      </w:r>
      <w:r w:rsidR="00B10D55">
        <w:t xml:space="preserve">On August 11, 2021, FEMA, in coordination with the Federal Communications Commission (Commission), conducted a nationwide test of </w:t>
      </w:r>
      <w:r w:rsidR="0070490D">
        <w:t>Wireless Emergency Alerts (</w:t>
      </w:r>
      <w:r w:rsidR="00B10D55">
        <w:t>WEA</w:t>
      </w:r>
      <w:r w:rsidR="0070490D">
        <w:t>)</w:t>
      </w:r>
      <w:r w:rsidR="00B10D55">
        <w:t xml:space="preserve">, which is a system designed to notify the public </w:t>
      </w:r>
      <w:r w:rsidR="0086147F">
        <w:t xml:space="preserve">through their mobile devices </w:t>
      </w:r>
      <w:r w:rsidR="00B10D55">
        <w:t xml:space="preserve">about emergencies that may affect them.  </w:t>
      </w:r>
      <w:r w:rsidR="00581B92">
        <w:t>The 2021 nationwide WEA test</w:t>
      </w:r>
      <w:r w:rsidR="00782F40">
        <w:t xml:space="preserve"> was designed to </w:t>
      </w:r>
      <w:r w:rsidR="00AE2DD1">
        <w:t>evaluate the effectiveness of WEA to distribute an emergency message nationwide</w:t>
      </w:r>
      <w:r w:rsidR="003B34C7">
        <w:t xml:space="preserve">.  </w:t>
      </w:r>
      <w:r w:rsidR="007F5A59">
        <w:t xml:space="preserve">For the first time, FEMA elected to </w:t>
      </w:r>
      <w:r w:rsidR="00C039A9">
        <w:t xml:space="preserve">conduct </w:t>
      </w:r>
      <w:r w:rsidR="007F5A59">
        <w:t xml:space="preserve">the test </w:t>
      </w:r>
      <w:r w:rsidR="00C039A9">
        <w:t xml:space="preserve">using the “State/Local </w:t>
      </w:r>
      <w:r w:rsidR="00BB4E88">
        <w:t xml:space="preserve">WEA </w:t>
      </w:r>
      <w:r w:rsidR="00C039A9">
        <w:t xml:space="preserve">Test Alert” functionality, which </w:t>
      </w:r>
      <w:r w:rsidR="00113004">
        <w:t>only display</w:t>
      </w:r>
      <w:r w:rsidR="00C039A9">
        <w:t>s</w:t>
      </w:r>
      <w:r w:rsidR="00113004">
        <w:t xml:space="preserve"> </w:t>
      </w:r>
      <w:r w:rsidRPr="00113004" w:rsidR="00113004">
        <w:t xml:space="preserve">messages on wireless handsets </w:t>
      </w:r>
      <w:r w:rsidR="00113004">
        <w:t>on which</w:t>
      </w:r>
      <w:r w:rsidRPr="00113004" w:rsidR="00113004">
        <w:t xml:space="preserve"> subscribers ha</w:t>
      </w:r>
      <w:r w:rsidR="00C039A9">
        <w:t>ve</w:t>
      </w:r>
      <w:r w:rsidRPr="00113004" w:rsidR="00113004">
        <w:t xml:space="preserve"> </w:t>
      </w:r>
      <w:r w:rsidR="00EC5B05">
        <w:t xml:space="preserve">affirmatively </w:t>
      </w:r>
      <w:r w:rsidRPr="00113004" w:rsidR="00113004">
        <w:t xml:space="preserve">opted-in to receive </w:t>
      </w:r>
      <w:r w:rsidR="00113004">
        <w:t>t</w:t>
      </w:r>
      <w:r w:rsidRPr="00113004" w:rsidR="00113004">
        <w:t xml:space="preserve">est messages. </w:t>
      </w:r>
      <w:r w:rsidR="00113004">
        <w:t xml:space="preserve"> T</w:t>
      </w:r>
      <w:r w:rsidR="003B34C7">
        <w:t xml:space="preserve">he </w:t>
      </w:r>
      <w:r w:rsidR="00DC7782">
        <w:t>Commission</w:t>
      </w:r>
      <w:r w:rsidR="003B34C7">
        <w:t xml:space="preserve"> </w:t>
      </w:r>
      <w:r>
        <w:t xml:space="preserve">partnered with 11 </w:t>
      </w:r>
      <w:r w:rsidR="00113004">
        <w:t xml:space="preserve">federal, </w:t>
      </w:r>
      <w:r>
        <w:t>state</w:t>
      </w:r>
      <w:r w:rsidR="00113004">
        <w:t>,</w:t>
      </w:r>
      <w:r>
        <w:t xml:space="preserve"> and local emergency management agencies to </w:t>
      </w:r>
      <w:r w:rsidR="006202B7">
        <w:t xml:space="preserve">assess the performance of the nationwide WEA test through </w:t>
      </w:r>
      <w:r>
        <w:t>collect</w:t>
      </w:r>
      <w:r w:rsidR="006202B7">
        <w:t>ing</w:t>
      </w:r>
      <w:r>
        <w:t xml:space="preserve"> and </w:t>
      </w:r>
      <w:r w:rsidR="006202B7">
        <w:t xml:space="preserve">analyzing </w:t>
      </w:r>
      <w:r w:rsidR="00055BDF">
        <w:t xml:space="preserve">volunteer responses </w:t>
      </w:r>
      <w:r w:rsidR="00C34F87">
        <w:t xml:space="preserve">from across the nation’s diverse </w:t>
      </w:r>
      <w:r w:rsidR="00833641">
        <w:t xml:space="preserve">geographic and technological landscape.  </w:t>
      </w:r>
    </w:p>
    <w:p w:rsidR="003A6E4B" w:rsidRPr="003A6E4B" w:rsidP="00066793" w14:paraId="2C50C9F0" w14:textId="0441CF71">
      <w:pPr>
        <w:pStyle w:val="ParaNum"/>
        <w:widowControl/>
      </w:pPr>
      <w:r>
        <w:t xml:space="preserve">The following report presents the Public Safety and Homeland Security Bureau’s (PSHSB) analysis of the survey responses </w:t>
      </w:r>
      <w:r w:rsidR="00102D5B">
        <w:t>and</w:t>
      </w:r>
      <w:r>
        <w:t xml:space="preserve"> material submitted by the nationwide wireless providers regarding their performance in the nationwide WEA test.  As detailed below, performance during t</w:t>
      </w:r>
      <w:r w:rsidR="00652151">
        <w:t xml:space="preserve">he 2021 nationwide test </w:t>
      </w:r>
      <w:r w:rsidR="00CF2B48">
        <w:t xml:space="preserve">demonstrates </w:t>
      </w:r>
      <w:r w:rsidR="00652151">
        <w:t>that</w:t>
      </w:r>
      <w:r>
        <w:t>, on the whole,</w:t>
      </w:r>
      <w:r w:rsidR="00652151">
        <w:t xml:space="preserve"> WEA </w:t>
      </w:r>
      <w:r w:rsidR="00C039A9">
        <w:t xml:space="preserve">generally </w:t>
      </w:r>
      <w:r w:rsidR="00652151">
        <w:t xml:space="preserve">is </w:t>
      </w:r>
      <w:r w:rsidR="00CF2B48">
        <w:t xml:space="preserve">performing </w:t>
      </w:r>
      <w:r w:rsidR="00652151">
        <w:t>reliabl</w:t>
      </w:r>
      <w:r w:rsidR="00CF2B48">
        <w:t>y</w:t>
      </w:r>
      <w:r w:rsidR="00C039A9">
        <w:t xml:space="preserve"> but there is room for improvement</w:t>
      </w:r>
      <w:r w:rsidR="00CF2B48">
        <w:t>.</w:t>
      </w:r>
      <w:r w:rsidR="00970622">
        <w:t xml:space="preserve"> </w:t>
      </w:r>
      <w:r w:rsidR="00CF2B48">
        <w:t xml:space="preserve"> </w:t>
      </w:r>
      <w:r w:rsidR="00F81BD3">
        <w:t>The</w:t>
      </w:r>
      <w:r w:rsidR="00C039A9">
        <w:t xml:space="preserve"> </w:t>
      </w:r>
      <w:r w:rsidR="00EB2E69">
        <w:t xml:space="preserve">completed </w:t>
      </w:r>
      <w:r w:rsidR="00C039A9">
        <w:t>survey responses indicate that the</w:t>
      </w:r>
      <w:r w:rsidR="00CF2B48">
        <w:t xml:space="preserve"> test message was received </w:t>
      </w:r>
      <w:r w:rsidR="001A014A">
        <w:t xml:space="preserve">by </w:t>
      </w:r>
      <w:r w:rsidR="00917F02">
        <w:t>approximately 90</w:t>
      </w:r>
      <w:r w:rsidR="00174C6E">
        <w:t>%</w:t>
      </w:r>
      <w:r w:rsidR="00CF2B48">
        <w:t xml:space="preserve"> of </w:t>
      </w:r>
      <w:r w:rsidR="001A014A">
        <w:t xml:space="preserve">respondents </w:t>
      </w:r>
      <w:r w:rsidR="00CF2B48">
        <w:t>that opted into the test with a compatible device</w:t>
      </w:r>
      <w:r w:rsidR="001A014A">
        <w:t xml:space="preserve">.  The majority of respondents </w:t>
      </w:r>
      <w:r w:rsidR="000B793E">
        <w:t>that received the test</w:t>
      </w:r>
      <w:r w:rsidR="00C039A9">
        <w:t xml:space="preserve"> alert</w:t>
      </w:r>
      <w:r w:rsidR="000B793E">
        <w:t xml:space="preserve"> r</w:t>
      </w:r>
      <w:r w:rsidR="001A014A">
        <w:t xml:space="preserve">eceived </w:t>
      </w:r>
      <w:r w:rsidR="00CD166D">
        <w:t xml:space="preserve">it </w:t>
      </w:r>
      <w:r w:rsidR="001A014A">
        <w:t>within two minutes</w:t>
      </w:r>
      <w:r w:rsidR="00CD166D">
        <w:t xml:space="preserve"> of transmission</w:t>
      </w:r>
      <w:r w:rsidR="00270F98">
        <w:t>.</w:t>
      </w:r>
      <w:r w:rsidR="00AB52F3">
        <w:t xml:space="preserve"> </w:t>
      </w:r>
      <w:r w:rsidR="002E6761">
        <w:t xml:space="preserve"> </w:t>
      </w:r>
      <w:r w:rsidR="00C477D1">
        <w:t>PSHSB f</w:t>
      </w:r>
      <w:r w:rsidR="00337F3E">
        <w:t>inds</w:t>
      </w:r>
      <w:r w:rsidR="00C477D1">
        <w:t xml:space="preserve"> </w:t>
      </w:r>
      <w:r w:rsidR="00817A53">
        <w:t>that</w:t>
      </w:r>
      <w:r w:rsidR="00AC14FF">
        <w:t xml:space="preserve"> </w:t>
      </w:r>
      <w:r w:rsidR="008C22D1">
        <w:t xml:space="preserve">WEA </w:t>
      </w:r>
      <w:r w:rsidR="00AC14FF">
        <w:t xml:space="preserve">reliability </w:t>
      </w:r>
      <w:r w:rsidR="00817A53">
        <w:t xml:space="preserve">during the test </w:t>
      </w:r>
      <w:r w:rsidR="008C22D1">
        <w:t>was largely consistent across</w:t>
      </w:r>
      <w:r w:rsidR="00AC14FF">
        <w:t xml:space="preserve"> </w:t>
      </w:r>
      <w:r w:rsidR="00102D5B">
        <w:t>Commercial Mobile Service (</w:t>
      </w:r>
      <w:r w:rsidR="00F16CA4">
        <w:t>CMS</w:t>
      </w:r>
      <w:r w:rsidR="00102D5B">
        <w:t>)</w:t>
      </w:r>
      <w:r w:rsidR="00F16CA4">
        <w:t xml:space="preserve"> </w:t>
      </w:r>
      <w:r w:rsidR="00AC14FF">
        <w:t xml:space="preserve">Provider, </w:t>
      </w:r>
      <w:r w:rsidR="00392A2B">
        <w:t>generation of wireless network technology</w:t>
      </w:r>
      <w:r w:rsidR="00E27A5B">
        <w:t xml:space="preserve"> (</w:t>
      </w:r>
      <w:r>
        <w:t xml:space="preserve">i.e., </w:t>
      </w:r>
      <w:r w:rsidR="00E27A5B">
        <w:t>4G</w:t>
      </w:r>
      <w:r>
        <w:t xml:space="preserve"> or</w:t>
      </w:r>
      <w:r w:rsidR="00E27A5B">
        <w:t xml:space="preserve"> 5G)</w:t>
      </w:r>
      <w:r w:rsidR="00392A2B">
        <w:t>, mobile device manufacturer</w:t>
      </w:r>
      <w:r w:rsidR="007A6CC6">
        <w:t xml:space="preserve">, device operating system, </w:t>
      </w:r>
      <w:r w:rsidR="008C22D1">
        <w:t xml:space="preserve">and </w:t>
      </w:r>
      <w:r w:rsidR="007A6CC6">
        <w:t xml:space="preserve">whether </w:t>
      </w:r>
      <w:r w:rsidR="00E8084B">
        <w:t>a user was indoors or outdoors</w:t>
      </w:r>
      <w:r w:rsidR="00817A53">
        <w:t>,</w:t>
      </w:r>
      <w:r w:rsidR="00E8084B">
        <w:t xml:space="preserve"> or </w:t>
      </w:r>
      <w:r w:rsidR="00817A53">
        <w:t xml:space="preserve">whether the </w:t>
      </w:r>
      <w:r w:rsidR="00E8084B">
        <w:t xml:space="preserve">mobile </w:t>
      </w:r>
      <w:r w:rsidR="007A6CC6">
        <w:t xml:space="preserve">device </w:t>
      </w:r>
      <w:r>
        <w:t xml:space="preserve">was already in use </w:t>
      </w:r>
      <w:r w:rsidR="007A6CC6">
        <w:t>at the time of the test</w:t>
      </w:r>
      <w:r w:rsidR="00E8084B">
        <w:t>.</w:t>
      </w:r>
      <w:r w:rsidR="0021759F">
        <w:t xml:space="preserve">  </w:t>
      </w:r>
      <w:r w:rsidR="00A5599F">
        <w:t xml:space="preserve">PSHSB also finds, however, that many mobile devices erroneously received a duplicate nationwide WEA test message, and that there may be opportunities to improve WEA’s reliability. </w:t>
      </w:r>
      <w:r w:rsidR="007407A3">
        <w:t xml:space="preserve"> </w:t>
      </w:r>
      <w:r w:rsidR="00387796">
        <w:t>Based on these findings</w:t>
      </w:r>
      <w:r w:rsidR="00ED30EC">
        <w:t>,</w:t>
      </w:r>
      <w:r w:rsidR="00387796">
        <w:t xml:space="preserve"> PSHSB </w:t>
      </w:r>
      <w:r w:rsidR="008C2608">
        <w:t>recommends actions t</w:t>
      </w:r>
      <w:r w:rsidR="00AB682F">
        <w:t>hat would</w:t>
      </w:r>
      <w:r w:rsidR="008C2608">
        <w:t xml:space="preserve"> continue to make</w:t>
      </w:r>
      <w:r w:rsidR="00387796">
        <w:t xml:space="preserve"> WEA more effective and </w:t>
      </w:r>
      <w:r w:rsidR="003845BF">
        <w:t xml:space="preserve">improve upon </w:t>
      </w:r>
      <w:r w:rsidR="008C2608">
        <w:t xml:space="preserve">the </w:t>
      </w:r>
      <w:r w:rsidR="004D2D2F">
        <w:t xml:space="preserve">nation’s </w:t>
      </w:r>
      <w:r w:rsidR="003845BF">
        <w:t>ability to evaluate WEA’s performance.</w:t>
      </w:r>
    </w:p>
    <w:p w:rsidR="00905684" w:rsidP="00066793" w14:paraId="17DC16E6" w14:textId="3905EA27">
      <w:pPr>
        <w:pStyle w:val="Heading1"/>
        <w:widowControl/>
      </w:pPr>
      <w:bookmarkStart w:id="9" w:name="_Toc83909773"/>
      <w:bookmarkStart w:id="10" w:name="_Toc83911800"/>
      <w:bookmarkStart w:id="11" w:name="_Toc84335305"/>
      <w:bookmarkStart w:id="12" w:name="_Toc84597860"/>
      <w:bookmarkStart w:id="13" w:name="_Toc84926081"/>
      <w:bookmarkStart w:id="14" w:name="_Toc84933015"/>
      <w:bookmarkStart w:id="15" w:name="_Toc85552910"/>
      <w:r>
        <w:t>Background</w:t>
      </w:r>
      <w:bookmarkEnd w:id="9"/>
      <w:bookmarkEnd w:id="10"/>
      <w:bookmarkEnd w:id="11"/>
      <w:bookmarkEnd w:id="12"/>
      <w:bookmarkEnd w:id="13"/>
      <w:bookmarkEnd w:id="14"/>
      <w:bookmarkEnd w:id="15"/>
    </w:p>
    <w:p w:rsidR="004316E3" w:rsidP="00066793" w14:paraId="4A5D12BE" w14:textId="179885C6">
      <w:pPr>
        <w:pStyle w:val="ParaNum"/>
        <w:widowControl/>
      </w:pPr>
      <w:r>
        <w:t xml:space="preserve">The 2006 </w:t>
      </w:r>
      <w:r w:rsidRPr="0004693D" w:rsidR="004F6527">
        <w:rPr>
          <w:rStyle w:val="markedcontent"/>
        </w:rPr>
        <w:t>Warning, Alert, and Response Network Act</w:t>
      </w:r>
      <w:r w:rsidR="004F6527">
        <w:t xml:space="preserve"> (</w:t>
      </w:r>
      <w:r>
        <w:t>WARN</w:t>
      </w:r>
      <w:r w:rsidR="004F6527">
        <w:t>)</w:t>
      </w:r>
      <w:r>
        <w:t xml:space="preserve"> Act directed the </w:t>
      </w:r>
      <w:r w:rsidR="00D267C9">
        <w:t>Commission</w:t>
      </w:r>
      <w:r>
        <w:t xml:space="preserve"> to establish technical requirements to enable </w:t>
      </w:r>
      <w:r w:rsidR="002D0C8B">
        <w:t>CMS</w:t>
      </w:r>
      <w:r w:rsidR="00136168">
        <w:t xml:space="preserve"> </w:t>
      </w:r>
      <w:r w:rsidR="002D0C8B">
        <w:t>Provider</w:t>
      </w:r>
      <w:r>
        <w:t>s to voluntarily offer emergency alerts and warnings to their subscribers.</w:t>
      </w:r>
      <w:r>
        <w:rPr>
          <w:rStyle w:val="FootnoteReference"/>
          <w:sz w:val="24"/>
          <w:szCs w:val="24"/>
        </w:rPr>
        <w:footnoteReference w:id="3"/>
      </w:r>
      <w:r>
        <w:t xml:space="preserve">  Accordingly, in 2008, the Commission adopted a regulatory framework for WEA</w:t>
      </w:r>
      <w:r w:rsidR="003A77F8">
        <w:t>.</w:t>
      </w:r>
      <w:r>
        <w:rPr>
          <w:rStyle w:val="FootnoteReference"/>
          <w:sz w:val="24"/>
          <w:szCs w:val="24"/>
        </w:rPr>
        <w:footnoteReference w:id="4"/>
      </w:r>
      <w:r>
        <w:t xml:space="preserve"> </w:t>
      </w:r>
      <w:r w:rsidR="00CE0F67">
        <w:t xml:space="preserve"> </w:t>
      </w:r>
      <w:r w:rsidR="003A77F8">
        <w:t>I</w:t>
      </w:r>
      <w:r>
        <w:t xml:space="preserve">n 2012, the Commission and FEMA </w:t>
      </w:r>
      <w:r w:rsidR="005C23B2">
        <w:t>jointly announced WEA’s deployment</w:t>
      </w:r>
      <w:r>
        <w:t>.</w:t>
      </w:r>
      <w:r>
        <w:rPr>
          <w:rStyle w:val="FootnoteReference"/>
        </w:rPr>
        <w:footnoteReference w:id="5"/>
      </w:r>
      <w:r>
        <w:t xml:space="preserve"> </w:t>
      </w:r>
      <w:r w:rsidR="00020294">
        <w:t xml:space="preserve"> Since its deployment</w:t>
      </w:r>
      <w:r w:rsidR="00A5599F">
        <w:t xml:space="preserve"> in April 2012</w:t>
      </w:r>
      <w:r w:rsidR="00020294">
        <w:t xml:space="preserve">, </w:t>
      </w:r>
      <w:r w:rsidR="006F4B83">
        <w:t xml:space="preserve">over </w:t>
      </w:r>
      <w:r w:rsidR="00020294">
        <w:t>55</w:t>
      </w:r>
      <w:r w:rsidR="006F4B83">
        <w:t>0</w:t>
      </w:r>
      <w:r w:rsidR="00020294">
        <w:t xml:space="preserve"> authorized alert originators have used WEA over 61,000 times.</w:t>
      </w:r>
    </w:p>
    <w:p w:rsidR="00A44E57" w:rsidP="00066793" w14:paraId="223A5070" w14:textId="3B4A5271">
      <w:pPr>
        <w:pStyle w:val="ParaNum"/>
        <w:widowControl/>
      </w:pPr>
      <w:r w:rsidRPr="00747CC5">
        <w:t>The IPAWS Modernization Act, 2015 requires the FEMA IPAWS Program Management Office to conduct, not less than once every three years, nationwide tests of the public alert and warning system</w:t>
      </w:r>
      <w:r>
        <w:t>.</w:t>
      </w:r>
      <w:r>
        <w:rPr>
          <w:rStyle w:val="FootnoteReference"/>
        </w:rPr>
        <w:footnoteReference w:id="6"/>
      </w:r>
      <w:r>
        <w:t xml:space="preserve">  In 2018, FEMA first performed a nationwide test of WEA, in conjunction with a nationwide test of the Emergency Alert System (EAS).</w:t>
      </w:r>
      <w:r>
        <w:rPr>
          <w:rStyle w:val="FootnoteReference"/>
        </w:rPr>
        <w:footnoteReference w:id="7"/>
      </w:r>
      <w:r>
        <w:t xml:space="preserve">  FEMA conducted the 2018 nationwide test using the Presidential level alert classification, which enabled it to transmit the test alert to all WEA-capable wireless devices nationwide.</w:t>
      </w:r>
      <w:r>
        <w:rPr>
          <w:rStyle w:val="FootnoteReference"/>
        </w:rPr>
        <w:footnoteReference w:id="8"/>
      </w:r>
      <w:r>
        <w:t xml:space="preserve">  PSHSB received anecdotal feedback directly from the public about the 2018 test through its Public Safety Support Center, and some WEA stakeholders voluntarily shared with the Commission and published survey data describing their experiences with the test.</w:t>
      </w:r>
      <w:r>
        <w:rPr>
          <w:rStyle w:val="FootnoteReference"/>
        </w:rPr>
        <w:footnoteReference w:id="9"/>
      </w:r>
      <w:r>
        <w:t xml:space="preserve">  In 2018, PSHSB reported that 61% of commenters in its Public Safety Support Center “reported no problems in receiving the WEA test message.”</w:t>
      </w:r>
      <w:r>
        <w:rPr>
          <w:rStyle w:val="FootnoteReference"/>
        </w:rPr>
        <w:footnoteReference w:id="10"/>
      </w:r>
      <w:r>
        <w:t xml:space="preserve">  Other sources surveying performance of the nationwide WEA test found that between 52.7% and 83% of respondents reported receiving the test.</w:t>
      </w:r>
      <w:r>
        <w:rPr>
          <w:rStyle w:val="FootnoteReference"/>
        </w:rPr>
        <w:footnoteReference w:id="11"/>
      </w:r>
      <w:r>
        <w:t xml:space="preserve">  PSHSB found that </w:t>
      </w:r>
      <w:r w:rsidRPr="00F77201">
        <w:t>the 2018 test “demonstrated that WEA is an effective alerting tool to rapidly disseminate emergency information to the public.”</w:t>
      </w:r>
      <w:r>
        <w:rPr>
          <w:rStyle w:val="FootnoteReference"/>
        </w:rPr>
        <w:footnoteReference w:id="12"/>
      </w:r>
      <w:r>
        <w:t xml:space="preserve">  For the 2021 nationwide test, FEMA elected to use the State/Local WEA Test classification, which requires users to affirmatively opt in to receive the test alert.  State/Local WEA Test Alerts allow state, local, Tribal, and territorial alert originators to test the WEA system for readiness and proficiency training while only displaying the tests on the mobile devices of users that affirmatively opt in to receive them.</w:t>
      </w:r>
      <w:r>
        <w:rPr>
          <w:rStyle w:val="FootnoteReference"/>
        </w:rPr>
        <w:footnoteReference w:id="13"/>
      </w:r>
      <w:r>
        <w:t xml:space="preserve">  Participating CMS Providers deliver State/Local WEA Test Alerts through their networks “in a manner that complies with the Commission’s Alert Message requirements.”</w:t>
      </w:r>
      <w:r w:rsidRPr="00A44E57">
        <w:rPr>
          <w:vertAlign w:val="superscript"/>
        </w:rPr>
        <w:t xml:space="preserve"> </w:t>
      </w:r>
      <w:r>
        <w:rPr>
          <w:vertAlign w:val="superscript"/>
        </w:rPr>
        <w:footnoteReference w:id="14"/>
      </w:r>
    </w:p>
    <w:p w:rsidR="004316E3" w:rsidP="00066793" w14:paraId="35476E38" w14:textId="7B9386B8">
      <w:pPr>
        <w:pStyle w:val="ParaNum"/>
        <w:widowControl/>
      </w:pPr>
      <w:r>
        <w:t xml:space="preserve">WEA </w:t>
      </w:r>
      <w:r w:rsidR="00B01E46">
        <w:t xml:space="preserve">enables </w:t>
      </w:r>
      <w:r>
        <w:t xml:space="preserve">authorized federal, state, local, </w:t>
      </w:r>
      <w:r w:rsidR="00DB263F">
        <w:t>Tribal</w:t>
      </w:r>
      <w:r>
        <w:t xml:space="preserve">, and territorial government entities </w:t>
      </w:r>
      <w:r w:rsidR="0010164F">
        <w:t xml:space="preserve">(alert originators) </w:t>
      </w:r>
      <w:r>
        <w:t xml:space="preserve">to geographically target alerts and warnings to </w:t>
      </w:r>
      <w:r w:rsidR="00B01E46">
        <w:t xml:space="preserve">members of the public that use </w:t>
      </w:r>
      <w:r>
        <w:t xml:space="preserve">WEA-capable mobile devices </w:t>
      </w:r>
      <w:r w:rsidR="008E096A">
        <w:t xml:space="preserve">and are subscribers </w:t>
      </w:r>
      <w:r>
        <w:t xml:space="preserve">of </w:t>
      </w:r>
      <w:r w:rsidR="00F853C1">
        <w:t xml:space="preserve">a </w:t>
      </w:r>
      <w:r>
        <w:t>Participating CMS Provider.</w:t>
      </w:r>
      <w:r>
        <w:rPr>
          <w:rStyle w:val="FootnoteReference"/>
        </w:rPr>
        <w:footnoteReference w:id="15"/>
      </w:r>
      <w:r>
        <w:t xml:space="preserve">  </w:t>
      </w:r>
      <w:r w:rsidR="0010164F">
        <w:t>A</w:t>
      </w:r>
      <w:r w:rsidR="00102D5B">
        <w:t>s background regarding how this messaging works from a technical perspective, a</w:t>
      </w:r>
      <w:r w:rsidR="0010164F">
        <w:t>lert originators initiate</w:t>
      </w:r>
      <w:r>
        <w:t xml:space="preserve"> WEA alerts by using FEMA-approved alert origination software to send their </w:t>
      </w:r>
      <w:r w:rsidR="00BD0EF9">
        <w:t xml:space="preserve">desired </w:t>
      </w:r>
      <w:r>
        <w:t xml:space="preserve">alert message to the FEMA-operated Integrated Public Alert and Warning System (IPAWS).  There, the alert is authenticated, validated, and delivered to </w:t>
      </w:r>
      <w:r>
        <w:t xml:space="preserve">IPAWS’ Alert Gateway for dissemination to Participating CMS Providers’ </w:t>
      </w:r>
      <w:r w:rsidR="00BD0EF9">
        <w:t xml:space="preserve">own </w:t>
      </w:r>
      <w:r>
        <w:t xml:space="preserve">Alert Gateways.  Participating CMS Providers </w:t>
      </w:r>
      <w:r w:rsidR="00BD0EF9">
        <w:t xml:space="preserve">then </w:t>
      </w:r>
      <w:r>
        <w:t xml:space="preserve">pass </w:t>
      </w:r>
      <w:r w:rsidR="00BD0EF9">
        <w:t xml:space="preserve">the </w:t>
      </w:r>
      <w:r>
        <w:t>alert message from their Alert Gateway</w:t>
      </w:r>
      <w:r w:rsidR="00BD0EF9">
        <w:t>s</w:t>
      </w:r>
      <w:r>
        <w:t xml:space="preserve"> to their co</w:t>
      </w:r>
      <w:r w:rsidR="00BD7E21">
        <w:t>-</w:t>
      </w:r>
      <w:r>
        <w:t xml:space="preserve">located cell broadcast centers, which determine </w:t>
      </w:r>
      <w:r w:rsidR="00325030">
        <w:t xml:space="preserve">which </w:t>
      </w:r>
      <w:r>
        <w:t xml:space="preserve">CMS network facilities will be used to transmit the alert to the public.  </w:t>
      </w:r>
      <w:bookmarkStart w:id="16" w:name="_Hlk86391814"/>
      <w:r w:rsidR="00102D5B">
        <w:t>The CMS mobile core network</w:t>
      </w:r>
      <w:r w:rsidR="00325030">
        <w:t xml:space="preserve"> </w:t>
      </w:r>
      <w:r w:rsidR="002B2CD2">
        <w:t xml:space="preserve">(consisting of radio network controllers in </w:t>
      </w:r>
      <w:r w:rsidR="00C665C6">
        <w:t xml:space="preserve">2G and </w:t>
      </w:r>
      <w:r w:rsidR="002B2CD2">
        <w:t xml:space="preserve">3G networks, mobility management entities (MMEs) in 4G networks, and access and mobility functions (AMFs) in 5G networks) </w:t>
      </w:r>
      <w:bookmarkEnd w:id="16"/>
      <w:r w:rsidR="00325030">
        <w:t xml:space="preserve">then </w:t>
      </w:r>
      <w:r>
        <w:t>pass</w:t>
      </w:r>
      <w:r w:rsidR="00102D5B">
        <w:t>es</w:t>
      </w:r>
      <w:r>
        <w:t xml:space="preserve"> the alert to a constellation of cell sites near the geographic area targeted for the alert, which </w:t>
      </w:r>
      <w:r w:rsidR="00325030">
        <w:t xml:space="preserve">finally </w:t>
      </w:r>
      <w:r>
        <w:t xml:space="preserve">transmit WEA alerts </w:t>
      </w:r>
      <w:r w:rsidR="00325030">
        <w:t xml:space="preserve">over cellular broadcast-based control channels </w:t>
      </w:r>
      <w:r>
        <w:t>to mobile devices connected to their networks.</w:t>
      </w:r>
      <w:r>
        <w:rPr>
          <w:rStyle w:val="FootnoteReference"/>
          <w:sz w:val="24"/>
          <w:szCs w:val="24"/>
        </w:rPr>
        <w:footnoteReference w:id="16"/>
      </w:r>
      <w:r>
        <w:t xml:space="preserve"> </w:t>
      </w:r>
    </w:p>
    <w:p w:rsidR="004316E3" w:rsidP="00066793" w14:paraId="25FE5653" w14:textId="16433882">
      <w:pPr>
        <w:pStyle w:val="ParaNum"/>
        <w:widowControl/>
      </w:pPr>
      <w:r>
        <w:t xml:space="preserve"> </w:t>
      </w:r>
      <w:r w:rsidR="00110ACB">
        <w:t xml:space="preserve">While CMS </w:t>
      </w:r>
      <w:r w:rsidR="007407A3">
        <w:t>P</w:t>
      </w:r>
      <w:r w:rsidR="00110ACB">
        <w:t xml:space="preserve">rovider participation in WEA is voluntary, those </w:t>
      </w:r>
      <w:r>
        <w:t xml:space="preserve">CMS </w:t>
      </w:r>
      <w:r w:rsidR="007407A3">
        <w:t>P</w:t>
      </w:r>
      <w:r>
        <w:t xml:space="preserve">roviders </w:t>
      </w:r>
      <w:r w:rsidR="00110ACB">
        <w:t xml:space="preserve">that elect to participate in WEA </w:t>
      </w:r>
      <w:r w:rsidR="00512F53">
        <w:t>must comply with the Commission’s rules governing the transmission and delivery of WEA messages.</w:t>
      </w:r>
      <w:r>
        <w:rPr>
          <w:rStyle w:val="FootnoteReference"/>
        </w:rPr>
        <w:footnoteReference w:id="17"/>
      </w:r>
      <w:r w:rsidR="00512F53">
        <w:t xml:space="preserve">  Among other requirements, the Commission has established geotargeting require</w:t>
      </w:r>
      <w:r w:rsidR="00171823">
        <w:t>m</w:t>
      </w:r>
      <w:r w:rsidR="00512F53">
        <w:t xml:space="preserve">ents to ensure that alerts are delivered only to those for whom the alert is relevant.  Under Section 10.450(a) of the Commission’s rules, </w:t>
      </w:r>
      <w:r w:rsidR="00171823">
        <w:t xml:space="preserve">Participating </w:t>
      </w:r>
      <w:r w:rsidR="00512F53">
        <w:t xml:space="preserve">CMS </w:t>
      </w:r>
      <w:r w:rsidR="00171823">
        <w:t>P</w:t>
      </w:r>
      <w:r w:rsidR="00512F53">
        <w:t>roviders must</w:t>
      </w:r>
      <w:r w:rsidR="00364C4F">
        <w:t xml:space="preserve"> “</w:t>
      </w:r>
      <w:r w:rsidRPr="00364C4F" w:rsidR="00364C4F">
        <w:t xml:space="preserve">deliver any Alert Message that is specified by a circle or polygon to an area that matches the specified circle or polygon. </w:t>
      </w:r>
      <w:r w:rsidR="00364C4F">
        <w:t xml:space="preserve"> </w:t>
      </w:r>
      <w:r w:rsidRPr="00364C4F" w:rsidR="00364C4F">
        <w:t>A Participating CMS Provider is considered to have matched the target area when they deliver an Alert Message to 100 percent of the target area with no more than 0.1 of a mile overshoot</w:t>
      </w:r>
      <w:r w:rsidR="00364C4F">
        <w:t>.”</w:t>
      </w:r>
      <w:r>
        <w:rPr>
          <w:rStyle w:val="FootnoteReference"/>
        </w:rPr>
        <w:footnoteReference w:id="18"/>
      </w:r>
      <w:r>
        <w:t xml:space="preserve">  According to CTIA, as of July 22, 2021, 34% of active smartphones support enhanced WEA geo-targeting, an increase of about 18</w:t>
      </w:r>
      <w:r w:rsidR="00471B2B">
        <w:t xml:space="preserve"> percentage points</w:t>
      </w:r>
      <w:r>
        <w:t xml:space="preserve"> from the prior year.</w:t>
      </w:r>
      <w:r>
        <w:rPr>
          <w:rStyle w:val="FootnoteReference"/>
        </w:rPr>
        <w:footnoteReference w:id="19"/>
      </w:r>
      <w:r>
        <w:t xml:space="preserve">  </w:t>
      </w:r>
      <w:r w:rsidR="0031169F">
        <w:t>To the extent that</w:t>
      </w:r>
      <w:r w:rsidRPr="004316E3">
        <w:t xml:space="preserve"> some of a Participating CMS Provider</w:t>
      </w:r>
      <w:r w:rsidR="00E652EC">
        <w:t>’</w:t>
      </w:r>
      <w:r w:rsidRPr="004316E3">
        <w:t xml:space="preserve">s network infrastructure is technically incapable of matching </w:t>
      </w:r>
      <w:r w:rsidR="00773A4F">
        <w:t xml:space="preserve">its WEA delivery to </w:t>
      </w:r>
      <w:r w:rsidRPr="004316E3">
        <w:t xml:space="preserve">the target area, then that </w:t>
      </w:r>
      <w:r w:rsidRPr="004316E3">
        <w:t xml:space="preserve">Participating CMS Provider must deliver the Alert Message to </w:t>
      </w:r>
      <w:r w:rsidR="00773A4F">
        <w:t>its</w:t>
      </w:r>
      <w:r w:rsidRPr="004316E3">
        <w:t xml:space="preserve"> best approximat</w:t>
      </w:r>
      <w:r w:rsidR="00773A4F">
        <w:t>ion of</w:t>
      </w:r>
      <w:r w:rsidRPr="004316E3">
        <w:t xml:space="preserve"> the target area.</w:t>
      </w:r>
      <w:r>
        <w:rPr>
          <w:rStyle w:val="FootnoteReference"/>
        </w:rPr>
        <w:footnoteReference w:id="20"/>
      </w:r>
      <w:r>
        <w:t xml:space="preserve">  CTIA projects that the majority of active smartphones will support enhanced WEA geo-targeting in 2022.</w:t>
      </w:r>
      <w:r>
        <w:rPr>
          <w:rStyle w:val="FootnoteReference"/>
        </w:rPr>
        <w:footnoteReference w:id="21"/>
      </w:r>
    </w:p>
    <w:p w:rsidR="004316E3" w:rsidP="00066793" w14:paraId="1A709D89" w14:textId="2BDB89C7">
      <w:pPr>
        <w:pStyle w:val="ParaNum"/>
        <w:widowControl/>
      </w:pPr>
      <w:r>
        <w:t>The Commission</w:t>
      </w:r>
      <w:r w:rsidR="00D267C9">
        <w:t>’s rules</w:t>
      </w:r>
      <w:r>
        <w:t xml:space="preserve"> also </w:t>
      </w:r>
      <w:r w:rsidR="00171823">
        <w:t xml:space="preserve">promote </w:t>
      </w:r>
      <w:r w:rsidR="00D267C9">
        <w:t>WEA’s accessibility</w:t>
      </w:r>
      <w:r w:rsidR="00773A4F">
        <w:t xml:space="preserve"> and availability</w:t>
      </w:r>
      <w:r>
        <w:t>.  WEA uses a unique audio attention signal and vibration cadence to make it accessible to all users, including individuals with disabilities and the elderly.</w:t>
      </w:r>
      <w:r>
        <w:rPr>
          <w:rStyle w:val="FootnoteReference"/>
        </w:rPr>
        <w:footnoteReference w:id="22"/>
      </w:r>
      <w:r w:rsidRPr="004316E3">
        <w:t xml:space="preserve"> </w:t>
      </w:r>
      <w:r w:rsidR="00773A4F">
        <w:t xml:space="preserve"> </w:t>
      </w:r>
      <w:r>
        <w:t>WEA-capable mobile devices must extract WEA alerts in the subscriber’s preferred language,</w:t>
      </w:r>
      <w:r>
        <w:rPr>
          <w:rStyle w:val="FootnoteReference"/>
        </w:rPr>
        <w:footnoteReference w:id="23"/>
      </w:r>
      <w:r>
        <w:t xml:space="preserve"> present the alert on the device consistent with subscriber alerting preferences,</w:t>
      </w:r>
      <w:r>
        <w:rPr>
          <w:rStyle w:val="FootnoteReference"/>
        </w:rPr>
        <w:footnoteReference w:id="24"/>
      </w:r>
      <w:r>
        <w:t xml:space="preserve"> detect and suppress duplicate alerts,</w:t>
      </w:r>
      <w:r>
        <w:rPr>
          <w:rStyle w:val="FootnoteReference"/>
        </w:rPr>
        <w:footnoteReference w:id="25"/>
      </w:r>
      <w:r>
        <w:t xml:space="preserve"> and preserve alerts in a consumer-accessible format and location for at least 24 hours or until deleted by the subscriber.</w:t>
      </w:r>
      <w:r>
        <w:rPr>
          <w:rStyle w:val="FootnoteReference"/>
        </w:rPr>
        <w:footnoteReference w:id="26"/>
      </w:r>
      <w:r w:rsidR="00E86C52">
        <w:t xml:space="preserve">  </w:t>
      </w:r>
    </w:p>
    <w:p w:rsidR="00905684" w:rsidP="00066793" w14:paraId="1B9F111A" w14:textId="68ECBD29">
      <w:pPr>
        <w:pStyle w:val="Heading1"/>
        <w:widowControl/>
      </w:pPr>
      <w:bookmarkStart w:id="17" w:name="_Toc83909774"/>
      <w:bookmarkStart w:id="18" w:name="_Toc83911801"/>
      <w:bookmarkStart w:id="19" w:name="_Toc84335306"/>
      <w:bookmarkStart w:id="20" w:name="_Toc84597861"/>
      <w:bookmarkStart w:id="21" w:name="_Toc84926082"/>
      <w:bookmarkStart w:id="22" w:name="_Toc84933016"/>
      <w:bookmarkStart w:id="23" w:name="_Toc85552911"/>
      <w:r>
        <w:t>T</w:t>
      </w:r>
      <w:r w:rsidR="0044232F">
        <w:t>h</w:t>
      </w:r>
      <w:r>
        <w:t>e 2021 Nationwide WEA Test</w:t>
      </w:r>
      <w:bookmarkEnd w:id="17"/>
      <w:bookmarkEnd w:id="18"/>
      <w:bookmarkEnd w:id="19"/>
      <w:bookmarkEnd w:id="20"/>
      <w:bookmarkEnd w:id="21"/>
      <w:bookmarkEnd w:id="22"/>
      <w:bookmarkEnd w:id="23"/>
    </w:p>
    <w:p w:rsidR="00905684" w:rsidP="00066793" w14:paraId="4CED1BE4" w14:textId="3B9B43AD">
      <w:pPr>
        <w:pStyle w:val="Heading2"/>
        <w:widowControl/>
      </w:pPr>
      <w:bookmarkStart w:id="24" w:name="_Toc83909775"/>
      <w:bookmarkStart w:id="25" w:name="_Toc83911802"/>
      <w:bookmarkStart w:id="26" w:name="_Toc84335307"/>
      <w:bookmarkStart w:id="27" w:name="_Toc84597862"/>
      <w:bookmarkStart w:id="28" w:name="_Toc84926083"/>
      <w:bookmarkStart w:id="29" w:name="_Toc84933017"/>
      <w:bookmarkStart w:id="30" w:name="_Toc85552912"/>
      <w:r>
        <w:t>Parameters of the 2021 Nationwide WEA Test</w:t>
      </w:r>
      <w:bookmarkEnd w:id="24"/>
      <w:bookmarkEnd w:id="25"/>
      <w:bookmarkEnd w:id="26"/>
      <w:bookmarkEnd w:id="27"/>
      <w:bookmarkEnd w:id="28"/>
      <w:bookmarkEnd w:id="29"/>
      <w:bookmarkEnd w:id="30"/>
    </w:p>
    <w:p w:rsidR="00820F17" w:rsidP="00066793" w14:paraId="5F997C72" w14:textId="69E10928">
      <w:pPr>
        <w:pStyle w:val="ParaNum"/>
        <w:widowControl/>
      </w:pPr>
      <w:r>
        <w:t>The 2021 nationwide test of</w:t>
      </w:r>
      <w:r w:rsidR="00D267C9">
        <w:t xml:space="preserve"> </w:t>
      </w:r>
      <w:r>
        <w:t>EAS and WEA</w:t>
      </w:r>
      <w:r w:rsidR="00D267C9">
        <w:t xml:space="preserve"> </w:t>
      </w:r>
      <w:r w:rsidR="005D78B9">
        <w:t xml:space="preserve">was initiated by FEMA </w:t>
      </w:r>
      <w:r>
        <w:t>on August 11, 2021, at 2:20 pm Eastern Daylight Time.</w:t>
      </w:r>
      <w:r>
        <w:rPr>
          <w:rStyle w:val="FootnoteReference"/>
        </w:rPr>
        <w:footnoteReference w:id="27"/>
      </w:r>
      <w:r>
        <w:t xml:space="preserve">   The test message displayed on the wireless handsets of those subscribers </w:t>
      </w:r>
      <w:r w:rsidR="002B2CD2">
        <w:t>who</w:t>
      </w:r>
      <w:r w:rsidR="00E202D9">
        <w:t xml:space="preserve"> </w:t>
      </w:r>
      <w:r>
        <w:t xml:space="preserve">opted in to receive the test read as follows: </w:t>
      </w:r>
    </w:p>
    <w:p w:rsidR="00820F17" w:rsidP="00066793" w14:paraId="1E4816D4" w14:textId="23701CE4">
      <w:pPr>
        <w:pStyle w:val="ParaNum"/>
        <w:widowControl/>
        <w:numPr>
          <w:ilvl w:val="0"/>
          <w:numId w:val="0"/>
        </w:numPr>
        <w:jc w:val="center"/>
      </w:pPr>
      <w:r>
        <w:t>“THIS IS A TEST of the National Wireless Emergency Alert System. No action is needed.”</w:t>
      </w:r>
      <w:r>
        <w:rPr>
          <w:rStyle w:val="FootnoteReference"/>
        </w:rPr>
        <w:footnoteReference w:id="28"/>
      </w:r>
    </w:p>
    <w:p w:rsidR="00E31B06" w:rsidP="00066793" w14:paraId="1E97F644" w14:textId="6D530182">
      <w:pPr>
        <w:pStyle w:val="ParaNum"/>
        <w:widowControl/>
        <w:numPr>
          <w:ilvl w:val="0"/>
          <w:numId w:val="0"/>
        </w:numPr>
      </w:pPr>
      <w:r>
        <w:t xml:space="preserve">FEMA initiated the nationwide WEA test in both English and Spanish using the State/Local </w:t>
      </w:r>
      <w:r w:rsidR="005D78B9">
        <w:t xml:space="preserve">WEA </w:t>
      </w:r>
      <w:r>
        <w:t xml:space="preserve">Test </w:t>
      </w:r>
      <w:r w:rsidR="00BB4E88">
        <w:t>Alert</w:t>
      </w:r>
      <w:r w:rsidR="00226EEC">
        <w:t xml:space="preserve"> </w:t>
      </w:r>
      <w:r>
        <w:t>category.</w:t>
      </w:r>
      <w:r>
        <w:rPr>
          <w:rStyle w:val="FootnoteReference"/>
        </w:rPr>
        <w:footnoteReference w:id="29"/>
      </w:r>
      <w:r>
        <w:t xml:space="preserve">  As a result, unlike the 2018 nationwide WEA test, which was conducted using a national alert that is required to be </w:t>
      </w:r>
      <w:r w:rsidR="005D78B9">
        <w:t>displayed on</w:t>
      </w:r>
      <w:r>
        <w:t xml:space="preserve"> all WEA-capable mobile devices, </w:t>
      </w:r>
      <w:r w:rsidR="00BD476F">
        <w:t xml:space="preserve">the 2021 nationwide WEA test message was displayed only on the devices of those members of </w:t>
      </w:r>
      <w:r>
        <w:t xml:space="preserve">the public </w:t>
      </w:r>
      <w:r w:rsidR="00BD476F">
        <w:t xml:space="preserve">who took affirmative steps to receive State/Local </w:t>
      </w:r>
      <w:r w:rsidR="007407A3">
        <w:t xml:space="preserve">WEA </w:t>
      </w:r>
      <w:r w:rsidR="00BD476F">
        <w:t>Test</w:t>
      </w:r>
      <w:r w:rsidR="00226EEC">
        <w:t xml:space="preserve"> </w:t>
      </w:r>
      <w:r w:rsidR="00BB4E88">
        <w:t>Alerts</w:t>
      </w:r>
      <w:r>
        <w:t>.</w:t>
      </w:r>
      <w:r>
        <w:rPr>
          <w:rStyle w:val="FootnoteReference"/>
        </w:rPr>
        <w:footnoteReference w:id="30"/>
      </w:r>
      <w:r w:rsidRPr="00647969">
        <w:t xml:space="preserve"> </w:t>
      </w:r>
      <w:r>
        <w:t xml:space="preserve"> </w:t>
      </w:r>
      <w:r w:rsidR="005B20A2">
        <w:t>FEMA initiated the nationwide WEA test using a Federal Information Processing Standard (FIPS) geocode to describe the nationwide target area.  As a result, the nationwide WEA test did not trigger enhanced WEA geo-targeting.</w:t>
      </w:r>
      <w:r>
        <w:rPr>
          <w:rStyle w:val="FootnoteReference"/>
        </w:rPr>
        <w:footnoteReference w:id="31"/>
      </w:r>
      <w:r w:rsidR="00AE0B1A">
        <w:t xml:space="preserve">  </w:t>
      </w:r>
      <w:r>
        <w:t>The test followed the same dissemination path through Participating CMS Providers’ networks to the public as outlined above for WEA alerts</w:t>
      </w:r>
      <w:r w:rsidR="00DB4C1A">
        <w:t xml:space="preserve">.  </w:t>
      </w:r>
    </w:p>
    <w:p w:rsidR="00537F4D" w:rsidP="00066793" w14:paraId="0995EFBB" w14:textId="249DD7F7">
      <w:pPr>
        <w:pStyle w:val="Heading2"/>
        <w:widowControl/>
      </w:pPr>
      <w:bookmarkStart w:id="31" w:name="_Toc83909776"/>
      <w:bookmarkStart w:id="32" w:name="_Toc83911803"/>
      <w:bookmarkStart w:id="33" w:name="_Toc84335308"/>
      <w:bookmarkStart w:id="34" w:name="_Toc84597863"/>
      <w:bookmarkStart w:id="35" w:name="_Toc84926084"/>
      <w:bookmarkStart w:id="36" w:name="_Toc84933018"/>
      <w:bookmarkStart w:id="37" w:name="_Toc85552913"/>
      <w:r>
        <w:t>Participa</w:t>
      </w:r>
      <w:r w:rsidR="0091629C">
        <w:t>tion</w:t>
      </w:r>
      <w:r>
        <w:t xml:space="preserve"> in the 2021 Nationwide WEA Test</w:t>
      </w:r>
      <w:bookmarkEnd w:id="31"/>
      <w:bookmarkEnd w:id="32"/>
      <w:bookmarkEnd w:id="33"/>
      <w:bookmarkEnd w:id="34"/>
      <w:bookmarkEnd w:id="35"/>
      <w:bookmarkEnd w:id="36"/>
      <w:bookmarkEnd w:id="37"/>
    </w:p>
    <w:p w:rsidR="00F03824" w:rsidP="00066793" w14:paraId="5672F4BF" w14:textId="232B309B">
      <w:pPr>
        <w:pStyle w:val="Heading3"/>
        <w:widowControl/>
      </w:pPr>
      <w:bookmarkStart w:id="38" w:name="_Toc83909777"/>
      <w:bookmarkStart w:id="39" w:name="_Toc83911804"/>
      <w:bookmarkStart w:id="40" w:name="_Toc84335309"/>
      <w:bookmarkStart w:id="41" w:name="_Toc84597864"/>
      <w:bookmarkStart w:id="42" w:name="_Toc84926085"/>
      <w:bookmarkStart w:id="43" w:name="_Toc84933019"/>
      <w:bookmarkStart w:id="44" w:name="_Toc85552914"/>
      <w:r>
        <w:t>CMS Providers</w:t>
      </w:r>
      <w:bookmarkEnd w:id="38"/>
      <w:bookmarkEnd w:id="39"/>
      <w:bookmarkEnd w:id="40"/>
      <w:bookmarkEnd w:id="41"/>
      <w:bookmarkEnd w:id="42"/>
      <w:bookmarkEnd w:id="43"/>
      <w:bookmarkEnd w:id="44"/>
    </w:p>
    <w:p w:rsidR="00BD476F" w:rsidP="00066793" w14:paraId="009C19EB" w14:textId="246DD237">
      <w:pPr>
        <w:pStyle w:val="ParaNum"/>
        <w:widowControl/>
      </w:pPr>
      <w:r>
        <w:t xml:space="preserve">FEMA </w:t>
      </w:r>
      <w:r w:rsidR="008E0C88">
        <w:t>initiated the 2021</w:t>
      </w:r>
      <w:r>
        <w:t xml:space="preserve"> nationwide WEA test </w:t>
      </w:r>
      <w:r w:rsidR="008E0C88">
        <w:t xml:space="preserve">by sending </w:t>
      </w:r>
      <w:r w:rsidR="00A22C59">
        <w:t>a State/Local WEA Test</w:t>
      </w:r>
      <w:r w:rsidR="00226EEC">
        <w:t xml:space="preserve"> </w:t>
      </w:r>
      <w:r w:rsidR="00BB4E88">
        <w:t>A</w:t>
      </w:r>
      <w:r w:rsidR="00226EEC">
        <w:t>lert</w:t>
      </w:r>
      <w:r w:rsidR="00A22C59">
        <w:t xml:space="preserve"> </w:t>
      </w:r>
      <w:r>
        <w:t xml:space="preserve">to all Participating CMS Providers connected to the IPAWS Gateway.  </w:t>
      </w:r>
      <w:r w:rsidR="00365055">
        <w:t xml:space="preserve">According to the Master WEA Registry, </w:t>
      </w:r>
      <w:r>
        <w:t xml:space="preserve">80 CMS Providers </w:t>
      </w:r>
      <w:r w:rsidR="00365055">
        <w:t>connect to IPAWS</w:t>
      </w:r>
      <w:r>
        <w:t xml:space="preserve">, </w:t>
      </w:r>
      <w:r w:rsidR="00C5679E">
        <w:t xml:space="preserve">participating </w:t>
      </w:r>
      <w:r w:rsidR="00BD59BB">
        <w:t xml:space="preserve">in WEA </w:t>
      </w:r>
      <w:r>
        <w:t>either “in whole” or “in part.”</w:t>
      </w:r>
      <w:r>
        <w:rPr>
          <w:rStyle w:val="FootnoteReference"/>
        </w:rPr>
        <w:footnoteReference w:id="32"/>
      </w:r>
      <w:r>
        <w:t xml:space="preserve">  </w:t>
      </w:r>
    </w:p>
    <w:p w:rsidR="00F03824" w:rsidP="00066793" w14:paraId="7FEA6682" w14:textId="45720B36">
      <w:pPr>
        <w:pStyle w:val="Heading3"/>
        <w:widowControl/>
      </w:pPr>
      <w:bookmarkStart w:id="45" w:name="_Toc83909778"/>
      <w:bookmarkStart w:id="46" w:name="_Toc83911805"/>
      <w:bookmarkStart w:id="47" w:name="_Toc84335310"/>
      <w:bookmarkStart w:id="48" w:name="_Toc84597865"/>
      <w:bookmarkStart w:id="49" w:name="_Toc84926086"/>
      <w:bookmarkStart w:id="50" w:name="_Toc84933020"/>
      <w:bookmarkStart w:id="51" w:name="_Toc85552915"/>
      <w:r>
        <w:t xml:space="preserve">Leveraging Partnerships with </w:t>
      </w:r>
      <w:r>
        <w:t>Emergency Management Agenc</w:t>
      </w:r>
      <w:r>
        <w:t>ies</w:t>
      </w:r>
      <w:r>
        <w:t xml:space="preserve"> </w:t>
      </w:r>
      <w:r>
        <w:t>to Gather Nationwide WEA Test Data</w:t>
      </w:r>
      <w:bookmarkEnd w:id="45"/>
      <w:bookmarkEnd w:id="46"/>
      <w:bookmarkEnd w:id="47"/>
      <w:bookmarkEnd w:id="48"/>
      <w:bookmarkEnd w:id="49"/>
      <w:bookmarkEnd w:id="50"/>
      <w:bookmarkEnd w:id="51"/>
    </w:p>
    <w:p w:rsidR="004316E3" w:rsidRPr="004316E3" w:rsidP="00066793" w14:paraId="031324A9" w14:textId="2856FD47">
      <w:pPr>
        <w:pStyle w:val="ParaNum"/>
        <w:widowControl/>
      </w:pPr>
      <w:r>
        <w:t xml:space="preserve">The </w:t>
      </w:r>
      <w:r w:rsidR="00226EEC">
        <w:t>FCC</w:t>
      </w:r>
      <w:r w:rsidRPr="004316E3" w:rsidR="00226EEC">
        <w:t xml:space="preserve"> </w:t>
      </w:r>
      <w:r>
        <w:t>partnered</w:t>
      </w:r>
      <w:r w:rsidRPr="004316E3">
        <w:t xml:space="preserve"> with </w:t>
      </w:r>
      <w:r>
        <w:t xml:space="preserve">11 federal, </w:t>
      </w:r>
      <w:r w:rsidRPr="004316E3">
        <w:t>state and local emergency management agencies</w:t>
      </w:r>
      <w:r>
        <w:t xml:space="preserve"> to gather information about the </w:t>
      </w:r>
      <w:r w:rsidR="00D62C00">
        <w:t xml:space="preserve">end user’s </w:t>
      </w:r>
      <w:r>
        <w:t xml:space="preserve">experience </w:t>
      </w:r>
      <w:r w:rsidR="00D62C00">
        <w:t xml:space="preserve">with </w:t>
      </w:r>
      <w:r>
        <w:t>the nationwide WEA test</w:t>
      </w:r>
      <w:r w:rsidR="002A620C">
        <w:t xml:space="preserve">: </w:t>
      </w:r>
      <w:r w:rsidRPr="004316E3">
        <w:t>FEMA</w:t>
      </w:r>
      <w:r w:rsidR="002A620C">
        <w:t>;</w:t>
      </w:r>
      <w:r w:rsidRPr="004316E3" w:rsidR="002A620C">
        <w:t xml:space="preserve"> </w:t>
      </w:r>
      <w:r w:rsidRPr="004316E3">
        <w:t>the National Weather Service</w:t>
      </w:r>
      <w:r w:rsidR="002B2CD2">
        <w:t>;</w:t>
      </w:r>
      <w:r w:rsidRPr="004316E3">
        <w:t xml:space="preserve"> the Alabama Emergency Management Agency</w:t>
      </w:r>
      <w:r w:rsidR="00B25EAE">
        <w:t>;</w:t>
      </w:r>
      <w:r w:rsidRPr="004316E3">
        <w:t xml:space="preserve"> Harris County (Texas) Office of Homeland Security &amp; Emergency Management</w:t>
      </w:r>
      <w:r w:rsidR="00B25EAE">
        <w:t>;</w:t>
      </w:r>
      <w:r w:rsidRPr="004316E3">
        <w:t xml:space="preserve"> City of Los Angeles (Calif</w:t>
      </w:r>
      <w:r w:rsidR="00846598">
        <w:t>ornia</w:t>
      </w:r>
      <w:r w:rsidRPr="004316E3">
        <w:t>) Emergency Management Department</w:t>
      </w:r>
      <w:r w:rsidR="00B25EAE">
        <w:t>;</w:t>
      </w:r>
      <w:r w:rsidRPr="004316E3">
        <w:t xml:space="preserve"> New York City (N</w:t>
      </w:r>
      <w:r w:rsidR="00846598">
        <w:t xml:space="preserve">ew </w:t>
      </w:r>
      <w:r w:rsidRPr="004316E3">
        <w:t>Y</w:t>
      </w:r>
      <w:r w:rsidR="00846598">
        <w:t>ork</w:t>
      </w:r>
      <w:r w:rsidRPr="004316E3">
        <w:t>) Emergency Management</w:t>
      </w:r>
      <w:r w:rsidR="00B25EAE">
        <w:t>;</w:t>
      </w:r>
      <w:r w:rsidRPr="004316E3">
        <w:t xml:space="preserve"> Mendocino County (Calif</w:t>
      </w:r>
      <w:r w:rsidR="00846598">
        <w:t>ornia</w:t>
      </w:r>
      <w:r w:rsidRPr="004316E3">
        <w:t>) Office of Emergency Services</w:t>
      </w:r>
      <w:r w:rsidR="00B25EAE">
        <w:t>;</w:t>
      </w:r>
      <w:r w:rsidRPr="004316E3">
        <w:t xml:space="preserve"> Ohio Emergency Management Agency</w:t>
      </w:r>
      <w:r w:rsidR="00B25EAE">
        <w:t>;</w:t>
      </w:r>
      <w:r w:rsidRPr="004316E3">
        <w:t xml:space="preserve"> Oklahoma Department of Emergency Management and Homeland Security</w:t>
      </w:r>
      <w:r w:rsidR="00B25EAE">
        <w:t>;</w:t>
      </w:r>
      <w:r w:rsidRPr="004316E3">
        <w:t xml:space="preserve"> City of Philadelphia (P</w:t>
      </w:r>
      <w:r w:rsidR="00846598">
        <w:t>ennsylvani</w:t>
      </w:r>
      <w:r w:rsidRPr="004316E3">
        <w:t>a) Office of Emergency Management</w:t>
      </w:r>
      <w:r w:rsidR="00B25EAE">
        <w:t>;</w:t>
      </w:r>
      <w:r>
        <w:t xml:space="preserve"> </w:t>
      </w:r>
      <w:r w:rsidRPr="004316E3">
        <w:t>and the Utah Department of Public Safety</w:t>
      </w:r>
      <w:r>
        <w:t>.</w:t>
      </w:r>
      <w:r>
        <w:rPr>
          <w:rStyle w:val="FootnoteReference"/>
        </w:rPr>
        <w:footnoteReference w:id="33"/>
      </w:r>
      <w:r>
        <w:t xml:space="preserve"> </w:t>
      </w:r>
      <w:r w:rsidR="00846598">
        <w:t xml:space="preserve"> </w:t>
      </w:r>
      <w:r>
        <w:t xml:space="preserve">This first-of-its-kind approach allowed </w:t>
      </w:r>
      <w:r w:rsidR="00226EEC">
        <w:t xml:space="preserve">the FCC </w:t>
      </w:r>
      <w:r w:rsidRPr="004316E3">
        <w:t>to gather data from</w:t>
      </w:r>
      <w:r w:rsidR="003A50D1">
        <w:t xml:space="preserve"> dedicated</w:t>
      </w:r>
      <w:r w:rsidRPr="004316E3">
        <w:t xml:space="preserve"> volunteer respondents </w:t>
      </w:r>
      <w:r>
        <w:t xml:space="preserve">across the country on performance factors that Participating CMS Providers </w:t>
      </w:r>
      <w:r w:rsidR="00A70647">
        <w:t xml:space="preserve">are not required to measure under the Commission’s </w:t>
      </w:r>
      <w:r w:rsidR="00226EEC">
        <w:t xml:space="preserve">current </w:t>
      </w:r>
      <w:r w:rsidR="00A70647">
        <w:t>rules</w:t>
      </w:r>
      <w:r>
        <w:t xml:space="preserve">, </w:t>
      </w:r>
      <w:r w:rsidR="00D62C00">
        <w:t xml:space="preserve">such as </w:t>
      </w:r>
      <w:r>
        <w:t>the rate of</w:t>
      </w:r>
      <w:r w:rsidRPr="004316E3">
        <w:t xml:space="preserve"> test receipt on mobile devices</w:t>
      </w:r>
      <w:r>
        <w:t xml:space="preserve">, how long it </w:t>
      </w:r>
      <w:r w:rsidR="00A70647">
        <w:t xml:space="preserve">takes </w:t>
      </w:r>
      <w:r>
        <w:t xml:space="preserve">for the test to reach mobile devices, and whether </w:t>
      </w:r>
      <w:r w:rsidR="00EE60C2">
        <w:t>the test</w:t>
      </w:r>
      <w:r>
        <w:t xml:space="preserve"> </w:t>
      </w:r>
      <w:r w:rsidR="00A70647">
        <w:t xml:space="preserve">is </w:t>
      </w:r>
      <w:r>
        <w:t xml:space="preserve">presented </w:t>
      </w:r>
      <w:r w:rsidR="00846598">
        <w:t>as designed</w:t>
      </w:r>
      <w:r>
        <w:t>.</w:t>
      </w:r>
      <w:r>
        <w:rPr>
          <w:rStyle w:val="FootnoteReference"/>
        </w:rPr>
        <w:footnoteReference w:id="34"/>
      </w:r>
      <w:r>
        <w:t xml:space="preserve">  </w:t>
      </w:r>
      <w:r w:rsidR="00226EEC">
        <w:t xml:space="preserve">The FCC </w:t>
      </w:r>
      <w:r>
        <w:t>and its partners asked respondents to identify themselves with a control group number assigned to each partner and to specify the following: whether they received the test and at what time</w:t>
      </w:r>
      <w:r w:rsidR="00A5363B">
        <w:t>;</w:t>
      </w:r>
      <w:r>
        <w:t xml:space="preserve"> the make, model, operating system, and wireless provider for their mobile device</w:t>
      </w:r>
      <w:r w:rsidR="008627B5">
        <w:t xml:space="preserve">; </w:t>
      </w:r>
      <w:r>
        <w:t>their location at the time that they received the test</w:t>
      </w:r>
      <w:r w:rsidR="008627B5">
        <w:t xml:space="preserve">; </w:t>
      </w:r>
      <w:r>
        <w:t>whether and what kind of cellular service their device had at the time they that received the test</w:t>
      </w:r>
      <w:r w:rsidR="008627B5">
        <w:t xml:space="preserve">; </w:t>
      </w:r>
      <w:r>
        <w:t>whether their device was in use at the time they received the test</w:t>
      </w:r>
      <w:r w:rsidR="008627B5">
        <w:t xml:space="preserve">; </w:t>
      </w:r>
      <w:r>
        <w:t>whether the test they received contained the correct test message</w:t>
      </w:r>
      <w:r w:rsidR="008627B5">
        <w:t xml:space="preserve">; </w:t>
      </w:r>
      <w:r>
        <w:t xml:space="preserve">and whether they received a duplicate </w:t>
      </w:r>
      <w:r w:rsidR="00EE60C2">
        <w:t>test message</w:t>
      </w:r>
      <w:r>
        <w:t>.</w:t>
      </w:r>
      <w:r>
        <w:rPr>
          <w:rStyle w:val="FootnoteReference"/>
        </w:rPr>
        <w:footnoteReference w:id="35"/>
      </w:r>
      <w:r w:rsidRPr="004316E3">
        <w:t xml:space="preserve"> </w:t>
      </w:r>
    </w:p>
    <w:p w:rsidR="00FD4AEF" w:rsidP="00066793" w14:paraId="56D5EE78" w14:textId="4B206721">
      <w:pPr>
        <w:pStyle w:val="ParaNum"/>
        <w:widowControl/>
      </w:pPr>
      <w:r>
        <w:t xml:space="preserve">PSHSB received 342 </w:t>
      </w:r>
      <w:r w:rsidRPr="002D7FD9">
        <w:t xml:space="preserve">responses for which the respondent fully completed the </w:t>
      </w:r>
      <w:r w:rsidR="00EE60C2">
        <w:t>Nationwide WEA Test Survey</w:t>
      </w:r>
      <w:r w:rsidRPr="002D7FD9">
        <w:t xml:space="preserve"> and used a </w:t>
      </w:r>
      <w:r w:rsidR="00F22BFF">
        <w:t>WEA-</w:t>
      </w:r>
      <w:r w:rsidRPr="002D7FD9">
        <w:t>compatible device</w:t>
      </w:r>
      <w:r w:rsidR="00F22BFF">
        <w:t xml:space="preserve"> capable of receiving State/Local </w:t>
      </w:r>
      <w:r w:rsidR="00BB4E88">
        <w:t>T</w:t>
      </w:r>
      <w:r w:rsidR="00F22BFF">
        <w:t>est</w:t>
      </w:r>
      <w:r w:rsidR="00BB4E88">
        <w:t xml:space="preserve"> Alerts</w:t>
      </w:r>
      <w:r w:rsidRPr="002D7FD9">
        <w:t xml:space="preserve">.  </w:t>
      </w:r>
      <w:r>
        <w:t xml:space="preserve">Many participants failed to include the control </w:t>
      </w:r>
      <w:r w:rsidR="00846E3B">
        <w:t xml:space="preserve">group </w:t>
      </w:r>
      <w:r>
        <w:t xml:space="preserve">number assigned to their sponsoring agency.  PSHSB noted a significant discrepancy among results from those that reported a control </w:t>
      </w:r>
      <w:r w:rsidR="00846E3B">
        <w:t xml:space="preserve">group </w:t>
      </w:r>
      <w:r>
        <w:t xml:space="preserve">number versus those that did not.  PSHSB believes that responses that failed to include a control </w:t>
      </w:r>
      <w:r w:rsidR="00846E3B">
        <w:t xml:space="preserve">group </w:t>
      </w:r>
      <w:r>
        <w:t xml:space="preserve">number may be unreliable, as </w:t>
      </w:r>
      <w:r w:rsidR="00226EEC">
        <w:t xml:space="preserve">a failure to include a control group number suggests that </w:t>
      </w:r>
      <w:r>
        <w:t xml:space="preserve">those respondents </w:t>
      </w:r>
      <w:r w:rsidR="00226EEC">
        <w:t xml:space="preserve">either </w:t>
      </w:r>
      <w:r>
        <w:t xml:space="preserve">did not have access to the </w:t>
      </w:r>
      <w:r w:rsidR="00EE60C2">
        <w:t>Nationwide WEA Test Survey’s</w:t>
      </w:r>
      <w:r>
        <w:t xml:space="preserve"> instructions or otherwise did not follow them</w:t>
      </w:r>
      <w:r w:rsidR="00226EEC">
        <w:t xml:space="preserve">.  </w:t>
      </w:r>
      <w:r w:rsidR="0090351B">
        <w:t>T</w:t>
      </w:r>
      <w:r w:rsidR="00226EEC">
        <w:t xml:space="preserve">hese </w:t>
      </w:r>
      <w:r w:rsidR="0090351B">
        <w:t>respondents also</w:t>
      </w:r>
      <w:r w:rsidR="00226EEC">
        <w:t xml:space="preserve"> </w:t>
      </w:r>
      <w:r>
        <w:t>may not have realized they needed to take affirmative measures to opt in to receive State/Local WEA Test</w:t>
      </w:r>
      <w:r w:rsidR="00BB4E88">
        <w:t xml:space="preserve"> Alerts</w:t>
      </w:r>
      <w:r>
        <w:t xml:space="preserve">, as explained in the instructions.  Further, some </w:t>
      </w:r>
      <w:r w:rsidR="00EE60C2">
        <w:t>Nationwide WEA Test Survey</w:t>
      </w:r>
      <w:r>
        <w:t xml:space="preserve"> respondents participated in the test using older mobile devices that</w:t>
      </w:r>
      <w:r w:rsidR="00FA4A9F">
        <w:t xml:space="preserve"> </w:t>
      </w:r>
      <w:r w:rsidR="00EE60C2">
        <w:t>may be</w:t>
      </w:r>
      <w:r>
        <w:t xml:space="preserve"> technically incapable of receiving the newer category of State/Local WEA Test </w:t>
      </w:r>
      <w:r w:rsidR="00BB4E88">
        <w:t xml:space="preserve">Alerts </w:t>
      </w:r>
      <w:r w:rsidR="00A70647">
        <w:t>although</w:t>
      </w:r>
      <w:r w:rsidR="00FA4A9F">
        <w:t xml:space="preserve"> still capable of receiving </w:t>
      </w:r>
      <w:r w:rsidR="00962E91">
        <w:t xml:space="preserve">other </w:t>
      </w:r>
      <w:r w:rsidR="00FA4A9F">
        <w:t>categories of WEA alerts (such as Imminent Threat</w:t>
      </w:r>
      <w:r w:rsidR="003D79F5">
        <w:t xml:space="preserve"> Alerts</w:t>
      </w:r>
      <w:r w:rsidR="00FA4A9F">
        <w:t xml:space="preserve">).  Such respondents may have </w:t>
      </w:r>
      <w:r w:rsidR="00FA4A9F">
        <w:t>been unaware their devices were not capable of receiving State/Local WEA Test</w:t>
      </w:r>
      <w:r w:rsidR="00BB4E88">
        <w:t xml:space="preserve"> Alerts</w:t>
      </w:r>
      <w:r w:rsidR="00FA4A9F">
        <w:t xml:space="preserve"> and thus could not receive the nationwide WEA test</w:t>
      </w:r>
      <w:r>
        <w:t xml:space="preserve">.  </w:t>
      </w:r>
    </w:p>
    <w:p w:rsidR="004316E3" w:rsidP="00066793" w14:paraId="72747279" w14:textId="35213E52">
      <w:pPr>
        <w:pStyle w:val="ParaNum"/>
        <w:widowControl/>
      </w:pPr>
      <w:r>
        <w:t>In light of the foregoing, the</w:t>
      </w:r>
      <w:r>
        <w:t xml:space="preserve"> analysis that follows</w:t>
      </w:r>
      <w:r w:rsidR="002A620C">
        <w:t xml:space="preserve"> </w:t>
      </w:r>
      <w:r>
        <w:t>focuses on the</w:t>
      </w:r>
      <w:r>
        <w:t xml:space="preserve"> 342 respondents</w:t>
      </w:r>
      <w:r w:rsidR="00FD4AEF">
        <w:t xml:space="preserve"> who fully completed the </w:t>
      </w:r>
      <w:r w:rsidR="00EE60C2">
        <w:t>Nationwide WEA Test Survey</w:t>
      </w:r>
      <w:r w:rsidR="00FD4AEF">
        <w:t xml:space="preserve"> and used a mobile device technically capable of receiving State/Local WEA </w:t>
      </w:r>
      <w:r w:rsidR="00EE60C2">
        <w:t>T</w:t>
      </w:r>
      <w:r w:rsidR="00FD4AEF">
        <w:t>est</w:t>
      </w:r>
      <w:r w:rsidR="00BB4E88">
        <w:t xml:space="preserve"> Alerts</w:t>
      </w:r>
      <w:r>
        <w:t xml:space="preserve">.  </w:t>
      </w:r>
      <w:r w:rsidR="00FD4AEF">
        <w:t>We refer to these respondents as the “</w:t>
      </w:r>
      <w:r w:rsidR="00EB2E69">
        <w:t>completed survey response”</w:t>
      </w:r>
      <w:r w:rsidR="005B01B6">
        <w:t xml:space="preserve"> </w:t>
      </w:r>
      <w:r w:rsidR="00FD4AEF">
        <w:t>group.</w:t>
      </w:r>
      <w:r>
        <w:rPr>
          <w:rStyle w:val="FootnoteReference"/>
        </w:rPr>
        <w:footnoteReference w:id="36"/>
      </w:r>
      <w:r w:rsidR="00FD4AEF">
        <w:t xml:space="preserve">  </w:t>
      </w:r>
      <w:r>
        <w:t xml:space="preserve">These </w:t>
      </w:r>
      <w:r w:rsidR="006364D2">
        <w:t xml:space="preserve">respondents </w:t>
      </w:r>
      <w:r>
        <w:t>are most likely to be representative of WEA’s actual performance during a real emergency</w:t>
      </w:r>
      <w:r w:rsidR="00FD4AEF">
        <w:t>, where consumers need not affirmatively opt in or use a newer handset model in order to receive a WEA message</w:t>
      </w:r>
      <w:r w:rsidR="0090351B">
        <w:t>, and accordingly the analysis below is confined to this data set</w:t>
      </w:r>
      <w:r w:rsidR="0073335D">
        <w:t>.</w:t>
      </w:r>
      <w:r>
        <w:rPr>
          <w:rStyle w:val="FootnoteReference"/>
        </w:rPr>
        <w:footnoteReference w:id="37"/>
      </w:r>
    </w:p>
    <w:p w:rsidR="003D79F5" w:rsidP="00066793" w14:paraId="25BFE605" w14:textId="10DB4164">
      <w:pPr>
        <w:pStyle w:val="Heading3"/>
        <w:widowControl/>
      </w:pPr>
      <w:bookmarkStart w:id="52" w:name="_Toc85552916"/>
      <w:r>
        <w:t>CMS Provider Responses</w:t>
      </w:r>
      <w:r w:rsidR="00B25EAE">
        <w:t xml:space="preserve"> to Questions</w:t>
      </w:r>
      <w:r>
        <w:t xml:space="preserve"> from PSHSB Bureau Chief</w:t>
      </w:r>
      <w:bookmarkEnd w:id="52"/>
    </w:p>
    <w:p w:rsidR="003D79F5" w:rsidP="00066793" w14:paraId="7E33D6AF" w14:textId="28C94767">
      <w:pPr>
        <w:pStyle w:val="ParaNum"/>
        <w:widowControl/>
      </w:pPr>
      <w:r w:rsidRPr="00787E4F">
        <w:t xml:space="preserve">PSHSB submitted questions to </w:t>
      </w:r>
      <w:r>
        <w:t>three</w:t>
      </w:r>
      <w:r w:rsidRPr="00787E4F">
        <w:t xml:space="preserve"> nationwide </w:t>
      </w:r>
      <w:r>
        <w:t>CMS</w:t>
      </w:r>
      <w:r w:rsidRPr="00787E4F">
        <w:t xml:space="preserve"> </w:t>
      </w:r>
      <w:r>
        <w:t>P</w:t>
      </w:r>
      <w:r w:rsidRPr="00787E4F">
        <w:t>roviders</w:t>
      </w:r>
      <w:r>
        <w:t xml:space="preserve"> </w:t>
      </w:r>
      <w:r w:rsidRPr="00B25EAE">
        <w:rPr>
          <w:bCs/>
        </w:rPr>
        <w:t>(</w:t>
      </w:r>
      <w:r>
        <w:t>AT&amp;T, Verizon, and T-Mobile)</w:t>
      </w:r>
      <w:r w:rsidRPr="00787E4F">
        <w:t xml:space="preserve"> eliciting information about their performance </w:t>
      </w:r>
      <w:r>
        <w:t>during</w:t>
      </w:r>
      <w:r w:rsidRPr="00787E4F">
        <w:t xml:space="preserve"> the nationwide WEA test.</w:t>
      </w:r>
      <w:r>
        <w:rPr>
          <w:rStyle w:val="FootnoteReference"/>
        </w:rPr>
        <w:footnoteReference w:id="38"/>
      </w:r>
      <w:r w:rsidRPr="00787E4F">
        <w:t xml:space="preserve"> </w:t>
      </w:r>
      <w:r>
        <w:t xml:space="preserve"> The Commission asked these nationwide CMS Providers whether they received the test, what latencies the nationwide WEA test encountered at each step through their networks, how they transmitted the nationwide WEA test to the public through their cell broadcast facilities, and for a description of any complications that they experienced with </w:t>
      </w:r>
      <w:r w:rsidR="00EE60C2">
        <w:t>test</w:t>
      </w:r>
      <w:r>
        <w:t xml:space="preserve"> processing or transmission.</w:t>
      </w:r>
      <w:r>
        <w:rPr>
          <w:rStyle w:val="FootnoteReference"/>
        </w:rPr>
        <w:footnoteReference w:id="39"/>
      </w:r>
      <w:r>
        <w:t xml:space="preserve">  Their responses are presented in the context of our analysis of test performance below.</w:t>
      </w:r>
      <w:r>
        <w:rPr>
          <w:rStyle w:val="FootnoteReference"/>
        </w:rPr>
        <w:footnoteReference w:id="40"/>
      </w:r>
      <w:r>
        <w:t xml:space="preserve">  </w:t>
      </w:r>
    </w:p>
    <w:p w:rsidR="00905684" w:rsidP="00066793" w14:paraId="3A048869" w14:textId="3E3E9040">
      <w:pPr>
        <w:pStyle w:val="Heading2"/>
        <w:widowControl/>
      </w:pPr>
      <w:bookmarkStart w:id="53" w:name="_Toc83909780"/>
      <w:bookmarkStart w:id="54" w:name="_Toc83911807"/>
      <w:bookmarkStart w:id="55" w:name="_Toc84335312"/>
      <w:bookmarkStart w:id="56" w:name="_Toc84597867"/>
      <w:bookmarkStart w:id="57" w:name="_Toc84926088"/>
      <w:bookmarkStart w:id="58" w:name="_Toc84933022"/>
      <w:bookmarkStart w:id="59" w:name="_Toc85552917"/>
      <w:r>
        <w:t>Test Performance</w:t>
      </w:r>
      <w:bookmarkEnd w:id="53"/>
      <w:bookmarkEnd w:id="54"/>
      <w:bookmarkEnd w:id="55"/>
      <w:bookmarkEnd w:id="56"/>
      <w:bookmarkEnd w:id="57"/>
      <w:bookmarkEnd w:id="58"/>
      <w:bookmarkEnd w:id="59"/>
    </w:p>
    <w:p w:rsidR="00537F4D" w:rsidP="00066793" w14:paraId="34F6EED6" w14:textId="0F2F2505">
      <w:pPr>
        <w:pStyle w:val="Heading3"/>
        <w:widowControl/>
      </w:pPr>
      <w:bookmarkStart w:id="60" w:name="_Toc83909781"/>
      <w:bookmarkStart w:id="61" w:name="_Toc83911808"/>
      <w:bookmarkStart w:id="62" w:name="_Toc84335313"/>
      <w:bookmarkStart w:id="63" w:name="_Toc84597868"/>
      <w:bookmarkStart w:id="64" w:name="_Toc84926089"/>
      <w:bookmarkStart w:id="65" w:name="_Toc84933023"/>
      <w:bookmarkStart w:id="66" w:name="_Toc85552918"/>
      <w:r>
        <w:t>Reliability</w:t>
      </w:r>
      <w:bookmarkEnd w:id="60"/>
      <w:bookmarkEnd w:id="61"/>
      <w:bookmarkEnd w:id="62"/>
      <w:bookmarkEnd w:id="63"/>
      <w:bookmarkEnd w:id="64"/>
      <w:bookmarkEnd w:id="65"/>
      <w:bookmarkEnd w:id="66"/>
    </w:p>
    <w:p w:rsidR="00537F4D" w:rsidP="00066793" w14:paraId="1EABF5AE" w14:textId="4693D941">
      <w:pPr>
        <w:pStyle w:val="Heading4"/>
        <w:widowControl/>
      </w:pPr>
      <w:bookmarkStart w:id="67" w:name="_Toc83909782"/>
      <w:bookmarkStart w:id="68" w:name="_Toc83911809"/>
      <w:bookmarkStart w:id="69" w:name="_Toc84335314"/>
      <w:bookmarkStart w:id="70" w:name="_Toc84597869"/>
      <w:bookmarkStart w:id="71" w:name="_Toc84926090"/>
      <w:bookmarkStart w:id="72" w:name="_Toc84933024"/>
      <w:bookmarkStart w:id="73" w:name="_Toc85552919"/>
      <w:r>
        <w:t>Overall</w:t>
      </w:r>
      <w:bookmarkEnd w:id="67"/>
      <w:bookmarkEnd w:id="68"/>
      <w:bookmarkEnd w:id="69"/>
      <w:bookmarkEnd w:id="70"/>
      <w:bookmarkEnd w:id="71"/>
      <w:bookmarkEnd w:id="72"/>
      <w:bookmarkEnd w:id="73"/>
    </w:p>
    <w:p w:rsidR="00BF229F" w:rsidRPr="00D918C0" w:rsidP="00066793" w14:paraId="46F57E55" w14:textId="5760A7C1">
      <w:pPr>
        <w:pStyle w:val="ParaNum"/>
        <w:widowControl/>
        <w:rPr>
          <w:i/>
          <w:iCs/>
        </w:rPr>
      </w:pPr>
      <w:r>
        <w:t>Based on the Nationwide WEA Test Survey data</w:t>
      </w:r>
      <w:r w:rsidR="00F77113">
        <w:t xml:space="preserve"> analysis</w:t>
      </w:r>
      <w:r>
        <w:t xml:space="preserve">, PSHSB finds that </w:t>
      </w:r>
      <w:r w:rsidR="00947469">
        <w:t>the nationwide WEA test was</w:t>
      </w:r>
      <w:r>
        <w:t xml:space="preserve"> delivered to approximately 90% of WEA-capable mobile devices.</w:t>
      </w:r>
      <w:r>
        <w:rPr>
          <w:rStyle w:val="FootnoteReference"/>
        </w:rPr>
        <w:footnoteReference w:id="41"/>
      </w:r>
      <w:r>
        <w:t xml:space="preserve">  </w:t>
      </w:r>
      <w:r w:rsidR="00B10F80">
        <w:t xml:space="preserve">This result should be representative of WEA’s reliability during a more typical state- or local-level activation because the State/Local WEA Test </w:t>
      </w:r>
      <w:r w:rsidR="00BB4E88">
        <w:t xml:space="preserve">Alert </w:t>
      </w:r>
      <w:r w:rsidR="00B10F80">
        <w:t>that FEMA used to conduct the nationwide WEA test is required to be delivered “in a manner that complies with the Commission’s Alert Message requirements.”</w:t>
      </w:r>
      <w:r>
        <w:rPr>
          <w:rStyle w:val="FootnoteReference"/>
        </w:rPr>
        <w:footnoteReference w:id="42"/>
      </w:r>
      <w:r w:rsidR="00B10F80">
        <w:t xml:space="preserve">  </w:t>
      </w:r>
      <w:r w:rsidR="00787E4F">
        <w:t xml:space="preserve">AT&amp;T, Verizon, and T-Mobile </w:t>
      </w:r>
      <w:r w:rsidR="004316E3">
        <w:t xml:space="preserve">each report </w:t>
      </w:r>
      <w:r w:rsidR="00787E4F">
        <w:t xml:space="preserve">that they received the nationwide WEA test and transmitted it to </w:t>
      </w:r>
      <w:r w:rsidR="00D802EF">
        <w:t>their subscribers in all geographic areas where they offer WEA coverage.</w:t>
      </w:r>
      <w:r>
        <w:rPr>
          <w:rStyle w:val="FootnoteReference"/>
        </w:rPr>
        <w:footnoteReference w:id="43"/>
      </w:r>
      <w:r w:rsidR="00C813C8">
        <w:t xml:space="preserve">  </w:t>
      </w:r>
      <w:r w:rsidRPr="00D918C0" w:rsidR="000D6B80">
        <w:rPr>
          <w:b/>
          <w:bCs/>
        </w:rPr>
        <w:t xml:space="preserve">Table </w:t>
      </w:r>
      <w:r w:rsidRPr="00D918C0" w:rsidR="00510910">
        <w:rPr>
          <w:b/>
          <w:bCs/>
        </w:rPr>
        <w:t>1</w:t>
      </w:r>
      <w:r w:rsidR="000D6B80">
        <w:t xml:space="preserve"> shows </w:t>
      </w:r>
      <w:r w:rsidRPr="00D918C0" w:rsidR="000D6B80">
        <w:rPr>
          <w:szCs w:val="22"/>
        </w:rPr>
        <w:t>respondents’</w:t>
      </w:r>
      <w:r w:rsidR="000D6B80">
        <w:t xml:space="preserve"> success rate for test receipt.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3281"/>
        <w:gridCol w:w="3104"/>
      </w:tblGrid>
      <w:tr w14:paraId="16800488" w14:textId="77777777" w:rsidTr="0090540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03"/>
          <w:jc w:val="center"/>
        </w:trPr>
        <w:tc>
          <w:tcPr>
            <w:tcW w:w="9350" w:type="dxa"/>
            <w:gridSpan w:val="3"/>
            <w:shd w:val="clear" w:color="auto" w:fill="E7E6E6" w:themeFill="background2"/>
          </w:tcPr>
          <w:p w:rsidR="00510910" w:rsidRPr="00406608" w:rsidP="00066793" w14:paraId="6BC27E08" w14:textId="7075194D">
            <w:pPr>
              <w:pStyle w:val="ParaNum"/>
              <w:widowControl/>
              <w:numPr>
                <w:ilvl w:val="0"/>
                <w:numId w:val="0"/>
              </w:numPr>
              <w:jc w:val="center"/>
              <w:rPr>
                <w:b/>
                <w:bCs/>
                <w:szCs w:val="22"/>
              </w:rPr>
            </w:pPr>
            <w:r w:rsidRPr="00406608">
              <w:rPr>
                <w:b/>
                <w:bCs/>
                <w:szCs w:val="22"/>
              </w:rPr>
              <w:t>Table 1</w:t>
            </w:r>
          </w:p>
          <w:p w:rsidR="00B9230D" w:rsidP="00066793" w14:paraId="010E23CC" w14:textId="45DE5961">
            <w:pPr>
              <w:pStyle w:val="ParaNum"/>
              <w:widowControl/>
              <w:numPr>
                <w:ilvl w:val="0"/>
                <w:numId w:val="0"/>
              </w:numPr>
              <w:jc w:val="center"/>
            </w:pPr>
            <w:r>
              <w:rPr>
                <w:szCs w:val="22"/>
              </w:rPr>
              <w:t xml:space="preserve">Overall </w:t>
            </w:r>
            <w:r w:rsidRPr="00406608" w:rsidR="00C97E48">
              <w:rPr>
                <w:szCs w:val="22"/>
              </w:rPr>
              <w:t>Test Reception Rates</w:t>
            </w:r>
          </w:p>
        </w:tc>
      </w:tr>
      <w:tr w14:paraId="03815363" w14:textId="77777777" w:rsidTr="008242E0">
        <w:tblPrEx>
          <w:tblW w:w="0" w:type="auto"/>
          <w:jc w:val="center"/>
          <w:tblLook w:val="04A0"/>
        </w:tblPrEx>
        <w:trPr>
          <w:jc w:val="center"/>
        </w:trPr>
        <w:tc>
          <w:tcPr>
            <w:tcW w:w="9350" w:type="dxa"/>
            <w:gridSpan w:val="3"/>
            <w:shd w:val="clear" w:color="auto" w:fill="4472C4" w:themeFill="accent1"/>
          </w:tcPr>
          <w:p w:rsidR="0019461B" w:rsidRPr="001715BC" w:rsidP="00066793" w14:paraId="4F296E82" w14:textId="07DBD9BC">
            <w:pPr>
              <w:pStyle w:val="ParaNum"/>
              <w:widowControl/>
              <w:numPr>
                <w:ilvl w:val="0"/>
                <w:numId w:val="0"/>
              </w:numPr>
              <w:jc w:val="center"/>
              <w:rPr>
                <w:i/>
                <w:iCs/>
              </w:rPr>
            </w:pPr>
            <w:r>
              <w:rPr>
                <w:b/>
                <w:bCs/>
              </w:rPr>
              <w:t>Completed Survey Response</w:t>
            </w:r>
            <w:r w:rsidRPr="001715BC">
              <w:rPr>
                <w:b/>
                <w:bCs/>
              </w:rPr>
              <w:t xml:space="preserve"> Results</w:t>
            </w:r>
          </w:p>
        </w:tc>
      </w:tr>
      <w:tr w14:paraId="57018F44" w14:textId="77777777" w:rsidTr="003C6EE0">
        <w:tblPrEx>
          <w:tblW w:w="0" w:type="auto"/>
          <w:jc w:val="center"/>
          <w:tblLook w:val="04A0"/>
        </w:tblPrEx>
        <w:trPr>
          <w:jc w:val="center"/>
        </w:trPr>
        <w:tc>
          <w:tcPr>
            <w:tcW w:w="2965" w:type="dxa"/>
            <w:shd w:val="clear" w:color="auto" w:fill="E7E6E6" w:themeFill="background2"/>
            <w:vAlign w:val="center"/>
          </w:tcPr>
          <w:p w:rsidR="0019461B" w:rsidRPr="001715BC" w:rsidP="00066793" w14:paraId="31FAF416" w14:textId="2AFED8E5">
            <w:pPr>
              <w:pStyle w:val="ParaNum"/>
              <w:widowControl/>
              <w:numPr>
                <w:ilvl w:val="0"/>
                <w:numId w:val="0"/>
              </w:numPr>
              <w:jc w:val="center"/>
              <w:rPr>
                <w:b/>
                <w:bCs/>
              </w:rPr>
            </w:pPr>
            <w:r w:rsidRPr="001715BC">
              <w:rPr>
                <w:b/>
                <w:bCs/>
              </w:rPr>
              <w:t>Test Received</w:t>
            </w:r>
          </w:p>
        </w:tc>
        <w:tc>
          <w:tcPr>
            <w:tcW w:w="3281" w:type="dxa"/>
            <w:shd w:val="clear" w:color="auto" w:fill="E7E6E6" w:themeFill="background2"/>
            <w:vAlign w:val="center"/>
          </w:tcPr>
          <w:p w:rsidR="0019461B" w:rsidRPr="001715BC" w:rsidP="00066793" w14:paraId="6473D089" w14:textId="6F0EF6E2">
            <w:pPr>
              <w:pStyle w:val="ParaNum"/>
              <w:widowControl/>
              <w:numPr>
                <w:ilvl w:val="0"/>
                <w:numId w:val="0"/>
              </w:numPr>
              <w:jc w:val="center"/>
              <w:rPr>
                <w:i/>
                <w:iCs/>
              </w:rPr>
            </w:pPr>
            <w:r w:rsidRPr="001715BC">
              <w:rPr>
                <w:b/>
                <w:bCs/>
              </w:rPr>
              <w:t>Test not Received</w:t>
            </w:r>
            <w:r w:rsidRPr="001715BC">
              <w:rPr>
                <w:b/>
                <w:bCs/>
              </w:rPr>
              <w:t xml:space="preserve"> </w:t>
            </w:r>
          </w:p>
        </w:tc>
        <w:tc>
          <w:tcPr>
            <w:tcW w:w="3104" w:type="dxa"/>
            <w:shd w:val="clear" w:color="auto" w:fill="E7E6E6" w:themeFill="background2"/>
            <w:vAlign w:val="center"/>
          </w:tcPr>
          <w:p w:rsidR="0019461B" w:rsidRPr="001715BC" w:rsidP="00066793" w14:paraId="7A457E0C" w14:textId="49E23C7D">
            <w:pPr>
              <w:pStyle w:val="ParaNum"/>
              <w:widowControl/>
              <w:numPr>
                <w:ilvl w:val="0"/>
                <w:numId w:val="0"/>
              </w:numPr>
              <w:shd w:val="clear" w:color="auto" w:fill="E7E6E6" w:themeFill="background2"/>
              <w:jc w:val="center"/>
              <w:rPr>
                <w:i/>
                <w:iCs/>
              </w:rPr>
            </w:pPr>
            <w:r w:rsidRPr="001715BC">
              <w:rPr>
                <w:b/>
                <w:bCs/>
              </w:rPr>
              <w:t>Total Response Count</w:t>
            </w:r>
          </w:p>
        </w:tc>
      </w:tr>
      <w:tr w14:paraId="72F0597E" w14:textId="77777777" w:rsidTr="003C6EE0">
        <w:tblPrEx>
          <w:tblW w:w="0" w:type="auto"/>
          <w:jc w:val="center"/>
          <w:tblLook w:val="04A0"/>
        </w:tblPrEx>
        <w:trPr>
          <w:jc w:val="center"/>
        </w:trPr>
        <w:tc>
          <w:tcPr>
            <w:tcW w:w="2965" w:type="dxa"/>
            <w:shd w:val="clear" w:color="auto" w:fill="auto"/>
            <w:vAlign w:val="bottom"/>
          </w:tcPr>
          <w:p w:rsidR="0019461B" w:rsidRPr="003C6EE0" w:rsidP="00066793" w14:paraId="049D9C9F" w14:textId="7319203B">
            <w:pPr>
              <w:pStyle w:val="ParaNum"/>
              <w:widowControl/>
              <w:numPr>
                <w:ilvl w:val="0"/>
                <w:numId w:val="0"/>
              </w:numPr>
              <w:jc w:val="center"/>
            </w:pPr>
            <w:r w:rsidRPr="003C6EE0">
              <w:t>89.8%</w:t>
            </w:r>
          </w:p>
        </w:tc>
        <w:tc>
          <w:tcPr>
            <w:tcW w:w="3281" w:type="dxa"/>
            <w:shd w:val="clear" w:color="auto" w:fill="auto"/>
            <w:vAlign w:val="bottom"/>
          </w:tcPr>
          <w:p w:rsidR="0019461B" w:rsidRPr="007316D1" w:rsidP="00066793" w14:paraId="4441F1F8" w14:textId="3853580E">
            <w:pPr>
              <w:pStyle w:val="ParaNum"/>
              <w:widowControl/>
              <w:numPr>
                <w:ilvl w:val="0"/>
                <w:numId w:val="0"/>
              </w:numPr>
              <w:jc w:val="center"/>
              <w:rPr>
                <w:i/>
                <w:iCs/>
              </w:rPr>
            </w:pPr>
            <w:r w:rsidRPr="003C6EE0">
              <w:t>10.2%</w:t>
            </w:r>
          </w:p>
        </w:tc>
        <w:tc>
          <w:tcPr>
            <w:tcW w:w="3104" w:type="dxa"/>
            <w:shd w:val="clear" w:color="auto" w:fill="auto"/>
            <w:vAlign w:val="bottom"/>
          </w:tcPr>
          <w:p w:rsidR="0019461B" w:rsidRPr="007316D1" w:rsidP="00066793" w14:paraId="7E4D34D2" w14:textId="39906F6D">
            <w:pPr>
              <w:pStyle w:val="ParaNum"/>
              <w:widowControl/>
              <w:numPr>
                <w:ilvl w:val="0"/>
                <w:numId w:val="0"/>
              </w:numPr>
              <w:jc w:val="center"/>
              <w:rPr>
                <w:i/>
                <w:iCs/>
              </w:rPr>
            </w:pPr>
            <w:r w:rsidRPr="003C6EE0">
              <w:t>342</w:t>
            </w:r>
          </w:p>
        </w:tc>
      </w:tr>
    </w:tbl>
    <w:p w:rsidR="00BF229F" w:rsidP="00066793" w14:paraId="07368951" w14:textId="77777777">
      <w:pPr>
        <w:pStyle w:val="ParaNum"/>
        <w:widowControl/>
        <w:numPr>
          <w:ilvl w:val="0"/>
          <w:numId w:val="0"/>
        </w:numPr>
        <w:ind w:left="720"/>
      </w:pPr>
    </w:p>
    <w:p w:rsidR="00B70BB3" w:rsidRPr="0016254A" w:rsidP="00066793" w14:paraId="0ABF1EC3" w14:textId="75E1411D">
      <w:pPr>
        <w:pStyle w:val="ParaNum"/>
        <w:widowControl/>
        <w:numPr>
          <w:ilvl w:val="0"/>
          <w:numId w:val="0"/>
        </w:numPr>
      </w:pPr>
      <w:r>
        <w:t xml:space="preserve">The data indicate that the nationwide WEA test was successfully transmitted: approximately 90% (89.8%) of respondents </w:t>
      </w:r>
      <w:r w:rsidR="00EB2E69">
        <w:t xml:space="preserve">who completed the survey </w:t>
      </w:r>
      <w:r>
        <w:t>received the nationwide WEA test.</w:t>
      </w:r>
      <w:r>
        <w:rPr>
          <w:rStyle w:val="FootnoteReference"/>
        </w:rPr>
        <w:footnoteReference w:id="44"/>
      </w:r>
      <w:r>
        <w:t xml:space="preserve">  </w:t>
      </w:r>
      <w:r w:rsidR="005B01B6">
        <w:t>While PSHSB cannot authoritatively state why 10.2% of mobile devices did not receive the nationwide WEA test, PSHSB examines potential reasons for the non-receipt of WEA alerts and recommend</w:t>
      </w:r>
      <w:r w:rsidR="002B2CD2">
        <w:t>s</w:t>
      </w:r>
      <w:r w:rsidR="005B01B6">
        <w:t xml:space="preserve"> appropriate measures to improve WEA’s reliability below in Section </w:t>
      </w:r>
      <w:r w:rsidR="001648CC">
        <w:t>IV</w:t>
      </w:r>
      <w:r w:rsidR="005B01B6">
        <w:t>.</w:t>
      </w:r>
    </w:p>
    <w:p w:rsidR="00967FDF" w:rsidP="00066793" w14:paraId="1E3BF87E" w14:textId="3F51B941">
      <w:pPr>
        <w:pStyle w:val="Heading4"/>
        <w:widowControl/>
      </w:pPr>
      <w:bookmarkStart w:id="75" w:name="_Toc83909783"/>
      <w:bookmarkStart w:id="76" w:name="_Toc83911810"/>
      <w:bookmarkStart w:id="77" w:name="_Toc84335315"/>
      <w:bookmarkStart w:id="78" w:name="_Toc84597870"/>
      <w:bookmarkStart w:id="79" w:name="_Toc84926091"/>
      <w:bookmarkStart w:id="80" w:name="_Toc84933025"/>
      <w:bookmarkStart w:id="81" w:name="_Toc85552920"/>
      <w:r>
        <w:t xml:space="preserve">By </w:t>
      </w:r>
      <w:r w:rsidR="00C63718">
        <w:t xml:space="preserve">Wireless </w:t>
      </w:r>
      <w:r>
        <w:t>Service Provider</w:t>
      </w:r>
      <w:bookmarkEnd w:id="75"/>
      <w:bookmarkEnd w:id="76"/>
      <w:bookmarkEnd w:id="77"/>
      <w:bookmarkEnd w:id="78"/>
      <w:bookmarkEnd w:id="79"/>
      <w:bookmarkEnd w:id="80"/>
      <w:bookmarkEnd w:id="81"/>
    </w:p>
    <w:p w:rsidR="00BF229F" w:rsidP="00066793" w14:paraId="57FE844C" w14:textId="2FD3E899">
      <w:pPr>
        <w:pStyle w:val="ParaNum"/>
        <w:widowControl/>
      </w:pPr>
      <w:r>
        <w:t>Based on the Nationwide WEA Test Survey data, PSHSB finds that AT&amp;T and Verizon offer a WEA service that is similarly reliable.</w:t>
      </w:r>
      <w:r>
        <w:rPr>
          <w:rStyle w:val="FootnoteReference"/>
        </w:rPr>
        <w:footnoteReference w:id="45"/>
      </w:r>
      <w:r>
        <w:t xml:space="preserve">  </w:t>
      </w:r>
      <w:r w:rsidRPr="00416E67">
        <w:t xml:space="preserve">T-Mobile’s WEA service appears to be similarly reliable, but there are not enough </w:t>
      </w:r>
      <w:r w:rsidR="00EB2E69">
        <w:t xml:space="preserve">completed survey </w:t>
      </w:r>
      <w:r w:rsidRPr="00416E67">
        <w:t xml:space="preserve">respondents </w:t>
      </w:r>
      <w:r w:rsidR="00EB2E69">
        <w:t>who</w:t>
      </w:r>
      <w:r w:rsidRPr="00416E67" w:rsidR="00EB2E69">
        <w:t xml:space="preserve"> </w:t>
      </w:r>
      <w:r w:rsidRPr="00416E67">
        <w:t xml:space="preserve">identify T-Mobile as their CMS Provider for PSHSB to make a statistically significant finding in this regard.  </w:t>
      </w:r>
      <w:r w:rsidR="0066735D">
        <w:t xml:space="preserve">The </w:t>
      </w:r>
      <w:r w:rsidR="00392E7D">
        <w:t>N</w:t>
      </w:r>
      <w:r w:rsidR="0066735D">
        <w:t xml:space="preserve">ationwide WEA </w:t>
      </w:r>
      <w:r w:rsidR="00392E7D">
        <w:t>T</w:t>
      </w:r>
      <w:r w:rsidR="0066735D">
        <w:t xml:space="preserve">est </w:t>
      </w:r>
      <w:r w:rsidR="00392E7D">
        <w:t>S</w:t>
      </w:r>
      <w:r w:rsidR="0066735D">
        <w:t xml:space="preserve">urvey asked respondents </w:t>
      </w:r>
      <w:r w:rsidR="00E93672">
        <w:t>to identify</w:t>
      </w:r>
      <w:r w:rsidR="00C63718">
        <w:t xml:space="preserve"> their wireless service provider</w:t>
      </w:r>
      <w:r w:rsidR="0066735D">
        <w:t xml:space="preserve">. </w:t>
      </w:r>
      <w:r w:rsidR="00FA4A9F">
        <w:t xml:space="preserve"> </w:t>
      </w:r>
      <w:r w:rsidRPr="00416E67" w:rsidR="0066735D">
        <w:rPr>
          <w:b/>
          <w:bCs/>
        </w:rPr>
        <w:t xml:space="preserve">Table </w:t>
      </w:r>
      <w:r w:rsidRPr="00416E67" w:rsidR="00406608">
        <w:rPr>
          <w:b/>
          <w:bCs/>
        </w:rPr>
        <w:t>2</w:t>
      </w:r>
      <w:r w:rsidR="0066735D">
        <w:t xml:space="preserve"> shows </w:t>
      </w:r>
      <w:r w:rsidR="00973D19">
        <w:t>how</w:t>
      </w:r>
      <w:r w:rsidR="0094223A">
        <w:t xml:space="preserve"> reliably</w:t>
      </w:r>
      <w:r w:rsidR="00973D19">
        <w:t xml:space="preserve"> the </w:t>
      </w:r>
      <w:r w:rsidR="001648CC">
        <w:t>AT&amp;T, T-Mobile, Verizon, and other wireless providers respectively</w:t>
      </w:r>
      <w:r w:rsidR="00973D19">
        <w:t xml:space="preserve"> </w:t>
      </w:r>
      <w:r w:rsidR="0094223A">
        <w:t xml:space="preserve">delivered the </w:t>
      </w:r>
      <w:r w:rsidR="00670B40">
        <w:t>nationwide WEA test</w:t>
      </w:r>
      <w:r w:rsidR="0066735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1"/>
        <w:gridCol w:w="2579"/>
        <w:gridCol w:w="2850"/>
        <w:gridCol w:w="15"/>
        <w:gridCol w:w="2295"/>
      </w:tblGrid>
      <w:tr w14:paraId="32D906EE" w14:textId="77777777" w:rsidTr="0019461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8860" w:type="dxa"/>
            <w:gridSpan w:val="5"/>
            <w:shd w:val="clear" w:color="auto" w:fill="E7E6E6" w:themeFill="background2"/>
          </w:tcPr>
          <w:p w:rsidR="00406608" w:rsidRPr="00406608" w:rsidP="00066793" w14:paraId="1F728E00" w14:textId="73FF01F3">
            <w:pPr>
              <w:pStyle w:val="ParaNum"/>
              <w:widowControl/>
              <w:numPr>
                <w:ilvl w:val="0"/>
                <w:numId w:val="0"/>
              </w:numPr>
              <w:jc w:val="center"/>
              <w:rPr>
                <w:b/>
                <w:bCs/>
              </w:rPr>
            </w:pPr>
            <w:r w:rsidRPr="00406608">
              <w:rPr>
                <w:b/>
                <w:bCs/>
              </w:rPr>
              <w:t>Table 2</w:t>
            </w:r>
          </w:p>
          <w:p w:rsidR="00B9230D" w:rsidP="00066793" w14:paraId="279B2F23" w14:textId="1F6276C1">
            <w:pPr>
              <w:pStyle w:val="ParaNum"/>
              <w:widowControl/>
              <w:numPr>
                <w:ilvl w:val="0"/>
                <w:numId w:val="0"/>
              </w:numPr>
              <w:jc w:val="center"/>
            </w:pPr>
            <w:r>
              <w:t>Test Reception Rates</w:t>
            </w:r>
          </w:p>
          <w:p w:rsidR="00B9230D" w:rsidP="00066793" w14:paraId="402DA9D4" w14:textId="628B645F">
            <w:pPr>
              <w:pStyle w:val="ParaNum"/>
              <w:widowControl/>
              <w:numPr>
                <w:ilvl w:val="0"/>
                <w:numId w:val="0"/>
              </w:numPr>
              <w:jc w:val="center"/>
            </w:pPr>
            <w:r>
              <w:t xml:space="preserve">By </w:t>
            </w:r>
            <w:r w:rsidR="004C55A3">
              <w:t>Wireless Service Provider</w:t>
            </w:r>
          </w:p>
        </w:tc>
      </w:tr>
      <w:tr w14:paraId="14D2B8F5" w14:textId="77777777" w:rsidTr="0019461B">
        <w:tblPrEx>
          <w:tblW w:w="0" w:type="auto"/>
          <w:jc w:val="center"/>
          <w:tblLook w:val="04A0"/>
        </w:tblPrEx>
        <w:trPr>
          <w:jc w:val="center"/>
        </w:trPr>
        <w:tc>
          <w:tcPr>
            <w:tcW w:w="8860" w:type="dxa"/>
            <w:gridSpan w:val="5"/>
            <w:shd w:val="clear" w:color="auto" w:fill="4472C4" w:themeFill="accent1"/>
          </w:tcPr>
          <w:p w:rsidR="0019461B" w:rsidRPr="00406608" w:rsidP="00066793" w14:paraId="7BBCCB5D" w14:textId="48060E90">
            <w:pPr>
              <w:pStyle w:val="ParaNum"/>
              <w:widowControl/>
              <w:numPr>
                <w:ilvl w:val="0"/>
                <w:numId w:val="0"/>
              </w:numPr>
              <w:jc w:val="center"/>
              <w:rPr>
                <w:i/>
                <w:iCs/>
              </w:rPr>
            </w:pPr>
            <w:r>
              <w:rPr>
                <w:b/>
                <w:bCs/>
              </w:rPr>
              <w:t>Completed Survey Response</w:t>
            </w:r>
            <w:r w:rsidRPr="00406608">
              <w:rPr>
                <w:b/>
                <w:bCs/>
              </w:rPr>
              <w:t xml:space="preserve"> Results</w:t>
            </w:r>
          </w:p>
        </w:tc>
      </w:tr>
      <w:tr w14:paraId="5179DB48" w14:textId="1EDE4608" w:rsidTr="003C6EE0">
        <w:tblPrEx>
          <w:tblW w:w="0" w:type="auto"/>
          <w:jc w:val="center"/>
          <w:tblLook w:val="04A0"/>
        </w:tblPrEx>
        <w:trPr>
          <w:jc w:val="center"/>
        </w:trPr>
        <w:tc>
          <w:tcPr>
            <w:tcW w:w="1121" w:type="dxa"/>
            <w:shd w:val="clear" w:color="auto" w:fill="E7E6E6" w:themeFill="background2"/>
          </w:tcPr>
          <w:p w:rsidR="0019461B" w:rsidRPr="00406608" w:rsidP="00066793" w14:paraId="67EEFA83" w14:textId="5B7CFEBF">
            <w:pPr>
              <w:pStyle w:val="ParaNum"/>
              <w:widowControl/>
              <w:numPr>
                <w:ilvl w:val="0"/>
                <w:numId w:val="0"/>
              </w:numPr>
              <w:rPr>
                <w:b/>
                <w:bCs/>
              </w:rPr>
            </w:pPr>
          </w:p>
        </w:tc>
        <w:tc>
          <w:tcPr>
            <w:tcW w:w="2579" w:type="dxa"/>
            <w:shd w:val="clear" w:color="auto" w:fill="E7E6E6" w:themeFill="background2"/>
            <w:vAlign w:val="center"/>
          </w:tcPr>
          <w:p w:rsidR="0019461B" w:rsidRPr="00406608" w:rsidP="00066793" w14:paraId="2B243FC3" w14:textId="0AEE331C">
            <w:pPr>
              <w:pStyle w:val="ParaNum"/>
              <w:widowControl/>
              <w:numPr>
                <w:ilvl w:val="0"/>
                <w:numId w:val="0"/>
              </w:numPr>
              <w:jc w:val="center"/>
              <w:rPr>
                <w:b/>
                <w:bCs/>
              </w:rPr>
            </w:pPr>
            <w:r w:rsidRPr="00406608">
              <w:rPr>
                <w:b/>
                <w:bCs/>
              </w:rPr>
              <w:t>Test Received</w:t>
            </w:r>
          </w:p>
        </w:tc>
        <w:tc>
          <w:tcPr>
            <w:tcW w:w="2850" w:type="dxa"/>
            <w:shd w:val="clear" w:color="auto" w:fill="E7E6E6" w:themeFill="background2"/>
            <w:vAlign w:val="center"/>
          </w:tcPr>
          <w:p w:rsidR="0019461B" w:rsidRPr="00406608" w:rsidP="00066793" w14:paraId="3D32821D" w14:textId="36C736B6">
            <w:pPr>
              <w:pStyle w:val="ParaNum"/>
              <w:widowControl/>
              <w:numPr>
                <w:ilvl w:val="0"/>
                <w:numId w:val="0"/>
              </w:numPr>
              <w:jc w:val="center"/>
              <w:rPr>
                <w:i/>
                <w:iCs/>
              </w:rPr>
            </w:pPr>
            <w:r w:rsidRPr="00406608">
              <w:rPr>
                <w:b/>
                <w:bCs/>
              </w:rPr>
              <w:t>Test not Received</w:t>
            </w:r>
          </w:p>
        </w:tc>
        <w:tc>
          <w:tcPr>
            <w:tcW w:w="2310" w:type="dxa"/>
            <w:gridSpan w:val="2"/>
            <w:shd w:val="clear" w:color="auto" w:fill="E7E6E6" w:themeFill="background2"/>
            <w:vAlign w:val="center"/>
          </w:tcPr>
          <w:p w:rsidR="0019461B" w:rsidRPr="00406608" w:rsidP="00066793" w14:paraId="50315C1E" w14:textId="19C62F62">
            <w:pPr>
              <w:pStyle w:val="ParaNum"/>
              <w:widowControl/>
              <w:numPr>
                <w:ilvl w:val="0"/>
                <w:numId w:val="0"/>
              </w:numPr>
              <w:jc w:val="center"/>
              <w:rPr>
                <w:i/>
                <w:iCs/>
              </w:rPr>
            </w:pPr>
            <w:r w:rsidRPr="00406608">
              <w:rPr>
                <w:b/>
                <w:bCs/>
              </w:rPr>
              <w:t>Total Response Count</w:t>
            </w:r>
          </w:p>
        </w:tc>
      </w:tr>
      <w:tr w14:paraId="28776B95" w14:textId="6ECC2FFA" w:rsidTr="003C6EE0">
        <w:tblPrEx>
          <w:tblW w:w="0" w:type="auto"/>
          <w:jc w:val="center"/>
          <w:tblLook w:val="04A0"/>
        </w:tblPrEx>
        <w:trPr>
          <w:jc w:val="center"/>
        </w:trPr>
        <w:tc>
          <w:tcPr>
            <w:tcW w:w="1121" w:type="dxa"/>
            <w:shd w:val="clear" w:color="auto" w:fill="auto"/>
            <w:vAlign w:val="center"/>
          </w:tcPr>
          <w:p w:rsidR="0019461B" w:rsidRPr="00406608" w:rsidP="00066793" w14:paraId="735F0657" w14:textId="34D8FE41">
            <w:pPr>
              <w:pStyle w:val="ParaNum"/>
              <w:widowControl/>
              <w:numPr>
                <w:ilvl w:val="0"/>
                <w:numId w:val="0"/>
              </w:numPr>
              <w:jc w:val="center"/>
              <w:rPr>
                <w:b/>
                <w:bCs/>
              </w:rPr>
            </w:pPr>
            <w:r w:rsidRPr="00406608">
              <w:rPr>
                <w:b/>
                <w:bCs/>
              </w:rPr>
              <w:t>AT&amp;T</w:t>
            </w:r>
          </w:p>
        </w:tc>
        <w:tc>
          <w:tcPr>
            <w:tcW w:w="2579" w:type="dxa"/>
            <w:shd w:val="clear" w:color="auto" w:fill="auto"/>
            <w:vAlign w:val="center"/>
          </w:tcPr>
          <w:p w:rsidR="0019461B" w:rsidRPr="003C6EE0" w:rsidP="00066793" w14:paraId="48CA58A5" w14:textId="2408432C">
            <w:pPr>
              <w:pStyle w:val="ParaNum"/>
              <w:widowControl/>
              <w:numPr>
                <w:ilvl w:val="0"/>
                <w:numId w:val="0"/>
              </w:numPr>
              <w:jc w:val="center"/>
            </w:pPr>
            <w:r w:rsidRPr="003C6EE0">
              <w:t>89.9%</w:t>
            </w:r>
          </w:p>
        </w:tc>
        <w:tc>
          <w:tcPr>
            <w:tcW w:w="2850" w:type="dxa"/>
            <w:shd w:val="clear" w:color="auto" w:fill="auto"/>
            <w:vAlign w:val="center"/>
          </w:tcPr>
          <w:p w:rsidR="0019461B" w:rsidRPr="007316D1" w:rsidP="00066793" w14:paraId="28D750CD" w14:textId="6FCD8824">
            <w:pPr>
              <w:pStyle w:val="ParaNum"/>
              <w:widowControl/>
              <w:numPr>
                <w:ilvl w:val="0"/>
                <w:numId w:val="0"/>
              </w:numPr>
              <w:jc w:val="center"/>
              <w:rPr>
                <w:i/>
                <w:iCs/>
              </w:rPr>
            </w:pPr>
            <w:r w:rsidRPr="003C6EE0">
              <w:t>10.1%</w:t>
            </w:r>
          </w:p>
        </w:tc>
        <w:tc>
          <w:tcPr>
            <w:tcW w:w="2310" w:type="dxa"/>
            <w:gridSpan w:val="2"/>
            <w:shd w:val="clear" w:color="auto" w:fill="auto"/>
            <w:vAlign w:val="center"/>
          </w:tcPr>
          <w:p w:rsidR="0019461B" w:rsidRPr="007316D1" w:rsidP="00066793" w14:paraId="2A596981" w14:textId="1D72BAB4">
            <w:pPr>
              <w:pStyle w:val="ParaNum"/>
              <w:widowControl/>
              <w:numPr>
                <w:ilvl w:val="0"/>
                <w:numId w:val="0"/>
              </w:numPr>
              <w:jc w:val="center"/>
              <w:rPr>
                <w:i/>
                <w:iCs/>
              </w:rPr>
            </w:pPr>
            <w:r w:rsidRPr="003C6EE0">
              <w:t>99</w:t>
            </w:r>
          </w:p>
        </w:tc>
      </w:tr>
      <w:tr w14:paraId="651412EB" w14:textId="77777777" w:rsidTr="003C6EE0">
        <w:tblPrEx>
          <w:tblW w:w="0" w:type="auto"/>
          <w:jc w:val="center"/>
          <w:tblLook w:val="04A0"/>
        </w:tblPrEx>
        <w:trPr>
          <w:jc w:val="center"/>
        </w:trPr>
        <w:tc>
          <w:tcPr>
            <w:tcW w:w="1121" w:type="dxa"/>
            <w:shd w:val="clear" w:color="auto" w:fill="auto"/>
            <w:vAlign w:val="center"/>
          </w:tcPr>
          <w:p w:rsidR="0019461B" w:rsidRPr="00406608" w:rsidP="00066793" w14:paraId="20F20D9F" w14:textId="7D29DFDE">
            <w:pPr>
              <w:pStyle w:val="ParaNum"/>
              <w:widowControl/>
              <w:numPr>
                <w:ilvl w:val="0"/>
                <w:numId w:val="0"/>
              </w:numPr>
              <w:jc w:val="center"/>
              <w:rPr>
                <w:b/>
                <w:bCs/>
              </w:rPr>
            </w:pPr>
            <w:r w:rsidRPr="00406608">
              <w:rPr>
                <w:b/>
                <w:bCs/>
              </w:rPr>
              <w:t>T-Mobile</w:t>
            </w:r>
          </w:p>
        </w:tc>
        <w:tc>
          <w:tcPr>
            <w:tcW w:w="2579" w:type="dxa"/>
            <w:shd w:val="clear" w:color="auto" w:fill="auto"/>
            <w:vAlign w:val="center"/>
          </w:tcPr>
          <w:p w:rsidR="0019461B" w:rsidRPr="003C6EE0" w:rsidP="00066793" w14:paraId="2C0F4789" w14:textId="78F7E91B">
            <w:pPr>
              <w:pStyle w:val="ParaNum"/>
              <w:widowControl/>
              <w:numPr>
                <w:ilvl w:val="0"/>
                <w:numId w:val="0"/>
              </w:numPr>
              <w:jc w:val="center"/>
            </w:pPr>
            <w:r w:rsidRPr="003C6EE0">
              <w:t>93.2%</w:t>
            </w:r>
          </w:p>
        </w:tc>
        <w:tc>
          <w:tcPr>
            <w:tcW w:w="2850" w:type="dxa"/>
            <w:shd w:val="clear" w:color="auto" w:fill="auto"/>
            <w:vAlign w:val="center"/>
          </w:tcPr>
          <w:p w:rsidR="0019461B" w:rsidRPr="007316D1" w:rsidP="00066793" w14:paraId="17F8B5B6" w14:textId="4DA3F9EF">
            <w:pPr>
              <w:pStyle w:val="ParaNum"/>
              <w:widowControl/>
              <w:numPr>
                <w:ilvl w:val="0"/>
                <w:numId w:val="0"/>
              </w:numPr>
              <w:jc w:val="center"/>
              <w:rPr>
                <w:i/>
                <w:iCs/>
              </w:rPr>
            </w:pPr>
            <w:r w:rsidRPr="003C6EE0">
              <w:t>6.8%</w:t>
            </w:r>
          </w:p>
        </w:tc>
        <w:tc>
          <w:tcPr>
            <w:tcW w:w="2310" w:type="dxa"/>
            <w:gridSpan w:val="2"/>
            <w:shd w:val="clear" w:color="auto" w:fill="auto"/>
            <w:vAlign w:val="center"/>
          </w:tcPr>
          <w:p w:rsidR="0019461B" w:rsidRPr="007316D1" w:rsidP="00066793" w14:paraId="66F877AD" w14:textId="6E812C88">
            <w:pPr>
              <w:pStyle w:val="ParaNum"/>
              <w:widowControl/>
              <w:numPr>
                <w:ilvl w:val="0"/>
                <w:numId w:val="0"/>
              </w:numPr>
              <w:jc w:val="center"/>
              <w:rPr>
                <w:i/>
                <w:iCs/>
              </w:rPr>
            </w:pPr>
            <w:r w:rsidRPr="003C6EE0">
              <w:t>44</w:t>
            </w:r>
          </w:p>
        </w:tc>
      </w:tr>
      <w:tr w14:paraId="258E62AD" w14:textId="77777777" w:rsidTr="003C6EE0">
        <w:tblPrEx>
          <w:tblW w:w="0" w:type="auto"/>
          <w:jc w:val="center"/>
          <w:tblLook w:val="04A0"/>
        </w:tblPrEx>
        <w:trPr>
          <w:jc w:val="center"/>
        </w:trPr>
        <w:tc>
          <w:tcPr>
            <w:tcW w:w="1121" w:type="dxa"/>
            <w:shd w:val="clear" w:color="auto" w:fill="auto"/>
            <w:vAlign w:val="center"/>
          </w:tcPr>
          <w:p w:rsidR="0019461B" w:rsidRPr="00406608" w:rsidP="00066793" w14:paraId="65F0F396" w14:textId="7B6ED8C1">
            <w:pPr>
              <w:pStyle w:val="ParaNum"/>
              <w:widowControl/>
              <w:numPr>
                <w:ilvl w:val="0"/>
                <w:numId w:val="0"/>
              </w:numPr>
              <w:jc w:val="center"/>
              <w:rPr>
                <w:b/>
                <w:bCs/>
              </w:rPr>
            </w:pPr>
            <w:r w:rsidRPr="00406608">
              <w:rPr>
                <w:b/>
                <w:bCs/>
              </w:rPr>
              <w:t>Verizon</w:t>
            </w:r>
          </w:p>
        </w:tc>
        <w:tc>
          <w:tcPr>
            <w:tcW w:w="2579" w:type="dxa"/>
            <w:shd w:val="clear" w:color="auto" w:fill="auto"/>
            <w:vAlign w:val="center"/>
          </w:tcPr>
          <w:p w:rsidR="0019461B" w:rsidRPr="003C6EE0" w:rsidP="00066793" w14:paraId="72304433" w14:textId="49597315">
            <w:pPr>
              <w:pStyle w:val="ParaNum"/>
              <w:widowControl/>
              <w:numPr>
                <w:ilvl w:val="0"/>
                <w:numId w:val="0"/>
              </w:numPr>
              <w:jc w:val="center"/>
            </w:pPr>
            <w:r w:rsidRPr="003C6EE0">
              <w:t>91.0%</w:t>
            </w:r>
          </w:p>
        </w:tc>
        <w:tc>
          <w:tcPr>
            <w:tcW w:w="2850" w:type="dxa"/>
            <w:shd w:val="clear" w:color="auto" w:fill="auto"/>
            <w:vAlign w:val="center"/>
          </w:tcPr>
          <w:p w:rsidR="0019461B" w:rsidRPr="007316D1" w:rsidP="00066793" w14:paraId="3BE71649" w14:textId="649D7D2D">
            <w:pPr>
              <w:pStyle w:val="ParaNum"/>
              <w:widowControl/>
              <w:numPr>
                <w:ilvl w:val="0"/>
                <w:numId w:val="0"/>
              </w:numPr>
              <w:jc w:val="center"/>
              <w:rPr>
                <w:i/>
                <w:iCs/>
              </w:rPr>
            </w:pPr>
            <w:r w:rsidRPr="003C6EE0">
              <w:t>9.0%</w:t>
            </w:r>
          </w:p>
        </w:tc>
        <w:tc>
          <w:tcPr>
            <w:tcW w:w="2310" w:type="dxa"/>
            <w:gridSpan w:val="2"/>
            <w:shd w:val="clear" w:color="auto" w:fill="auto"/>
            <w:vAlign w:val="center"/>
          </w:tcPr>
          <w:p w:rsidR="0019461B" w:rsidRPr="007316D1" w:rsidP="00066793" w14:paraId="09E4B207" w14:textId="2603B718">
            <w:pPr>
              <w:pStyle w:val="ParaNum"/>
              <w:widowControl/>
              <w:numPr>
                <w:ilvl w:val="0"/>
                <w:numId w:val="0"/>
              </w:numPr>
              <w:jc w:val="center"/>
              <w:rPr>
                <w:i/>
                <w:iCs/>
              </w:rPr>
            </w:pPr>
            <w:r w:rsidRPr="003C6EE0">
              <w:t>156</w:t>
            </w:r>
          </w:p>
        </w:tc>
      </w:tr>
      <w:tr w14:paraId="0A040C92" w14:textId="77777777" w:rsidTr="003C6EE0">
        <w:tblPrEx>
          <w:tblW w:w="0" w:type="auto"/>
          <w:jc w:val="center"/>
          <w:tblLook w:val="04A0"/>
        </w:tblPrEx>
        <w:trPr>
          <w:jc w:val="center"/>
        </w:trPr>
        <w:tc>
          <w:tcPr>
            <w:tcW w:w="1121" w:type="dxa"/>
            <w:shd w:val="clear" w:color="auto" w:fill="auto"/>
            <w:vAlign w:val="center"/>
          </w:tcPr>
          <w:p w:rsidR="0019461B" w:rsidRPr="00406608" w:rsidP="00066793" w14:paraId="3825BD45" w14:textId="06948BB7">
            <w:pPr>
              <w:pStyle w:val="ParaNum"/>
              <w:widowControl/>
              <w:numPr>
                <w:ilvl w:val="0"/>
                <w:numId w:val="0"/>
              </w:numPr>
              <w:jc w:val="center"/>
              <w:rPr>
                <w:b/>
                <w:bCs/>
              </w:rPr>
            </w:pPr>
            <w:r w:rsidRPr="00406608">
              <w:rPr>
                <w:b/>
                <w:bCs/>
              </w:rPr>
              <w:t>Other wireless providers</w:t>
            </w:r>
          </w:p>
        </w:tc>
        <w:tc>
          <w:tcPr>
            <w:tcW w:w="2579" w:type="dxa"/>
            <w:shd w:val="clear" w:color="auto" w:fill="auto"/>
            <w:vAlign w:val="center"/>
          </w:tcPr>
          <w:p w:rsidR="0019461B" w:rsidRPr="003C6EE0" w:rsidP="00066793" w14:paraId="5A285C78" w14:textId="002D22B6">
            <w:pPr>
              <w:pStyle w:val="ParaNum"/>
              <w:widowControl/>
              <w:numPr>
                <w:ilvl w:val="0"/>
                <w:numId w:val="0"/>
              </w:numPr>
              <w:jc w:val="center"/>
            </w:pPr>
            <w:r w:rsidRPr="003C6EE0">
              <w:t>81.4%</w:t>
            </w:r>
          </w:p>
        </w:tc>
        <w:tc>
          <w:tcPr>
            <w:tcW w:w="2850" w:type="dxa"/>
            <w:shd w:val="clear" w:color="auto" w:fill="auto"/>
            <w:vAlign w:val="center"/>
          </w:tcPr>
          <w:p w:rsidR="0019461B" w:rsidRPr="007316D1" w:rsidP="00066793" w14:paraId="720AC66E" w14:textId="1E114A2C">
            <w:pPr>
              <w:pStyle w:val="ParaNum"/>
              <w:widowControl/>
              <w:numPr>
                <w:ilvl w:val="0"/>
                <w:numId w:val="0"/>
              </w:numPr>
              <w:jc w:val="center"/>
              <w:rPr>
                <w:i/>
                <w:iCs/>
              </w:rPr>
            </w:pPr>
            <w:r w:rsidRPr="003C6EE0">
              <w:t>18.6%</w:t>
            </w:r>
          </w:p>
        </w:tc>
        <w:tc>
          <w:tcPr>
            <w:tcW w:w="2310" w:type="dxa"/>
            <w:gridSpan w:val="2"/>
            <w:shd w:val="clear" w:color="auto" w:fill="auto"/>
            <w:vAlign w:val="center"/>
          </w:tcPr>
          <w:p w:rsidR="0019461B" w:rsidRPr="007316D1" w:rsidP="00066793" w14:paraId="0ADAE15B" w14:textId="55E7D580">
            <w:pPr>
              <w:pStyle w:val="ParaNum"/>
              <w:widowControl/>
              <w:numPr>
                <w:ilvl w:val="0"/>
                <w:numId w:val="0"/>
              </w:numPr>
              <w:jc w:val="center"/>
              <w:rPr>
                <w:i/>
                <w:iCs/>
              </w:rPr>
            </w:pPr>
            <w:r w:rsidRPr="003C6EE0">
              <w:t>43</w:t>
            </w:r>
          </w:p>
        </w:tc>
      </w:tr>
      <w:tr w14:paraId="3F650E19" w14:textId="77777777" w:rsidTr="008242E0">
        <w:tblPrEx>
          <w:tblW w:w="0" w:type="auto"/>
          <w:jc w:val="center"/>
          <w:tblLook w:val="04A0"/>
        </w:tblPrEx>
        <w:trPr>
          <w:jc w:val="center"/>
        </w:trPr>
        <w:tc>
          <w:tcPr>
            <w:tcW w:w="1121" w:type="dxa"/>
            <w:shd w:val="clear" w:color="auto" w:fill="auto"/>
            <w:vAlign w:val="center"/>
          </w:tcPr>
          <w:p w:rsidR="0010663C" w:rsidRPr="00406608" w:rsidP="00066793" w14:paraId="4531DA78" w14:textId="6DE9F078">
            <w:pPr>
              <w:pStyle w:val="ParaNum"/>
              <w:widowControl/>
              <w:numPr>
                <w:ilvl w:val="0"/>
                <w:numId w:val="0"/>
              </w:numPr>
              <w:jc w:val="center"/>
              <w:rPr>
                <w:b/>
                <w:bCs/>
              </w:rPr>
            </w:pPr>
            <w:r w:rsidRPr="00406608">
              <w:rPr>
                <w:b/>
                <w:bCs/>
              </w:rPr>
              <w:t>Total</w:t>
            </w:r>
          </w:p>
        </w:tc>
        <w:tc>
          <w:tcPr>
            <w:tcW w:w="5444" w:type="dxa"/>
            <w:gridSpan w:val="3"/>
            <w:shd w:val="clear" w:color="auto" w:fill="auto"/>
            <w:vAlign w:val="center"/>
          </w:tcPr>
          <w:p w:rsidR="0010663C" w:rsidRPr="007316D1" w:rsidP="00066793" w14:paraId="7685DA80" w14:textId="2AB3FC0A">
            <w:pPr>
              <w:pStyle w:val="ParaNum"/>
              <w:widowControl/>
              <w:numPr>
                <w:ilvl w:val="0"/>
                <w:numId w:val="0"/>
              </w:numPr>
              <w:jc w:val="center"/>
              <w:rPr>
                <w:i/>
                <w:iCs/>
              </w:rPr>
            </w:pPr>
          </w:p>
        </w:tc>
        <w:tc>
          <w:tcPr>
            <w:tcW w:w="2295" w:type="dxa"/>
            <w:shd w:val="clear" w:color="auto" w:fill="auto"/>
            <w:vAlign w:val="center"/>
          </w:tcPr>
          <w:p w:rsidR="0010663C" w:rsidRPr="007316D1" w:rsidP="00066793" w14:paraId="7E027590" w14:textId="640B55C9">
            <w:pPr>
              <w:pStyle w:val="ParaNum"/>
              <w:widowControl/>
              <w:numPr>
                <w:ilvl w:val="0"/>
                <w:numId w:val="0"/>
              </w:numPr>
              <w:jc w:val="center"/>
              <w:rPr>
                <w:i/>
                <w:iCs/>
              </w:rPr>
            </w:pPr>
            <w:r w:rsidRPr="003C6EE0">
              <w:t>342</w:t>
            </w:r>
          </w:p>
        </w:tc>
      </w:tr>
    </w:tbl>
    <w:p w:rsidR="00BF229F" w:rsidP="00066793" w14:paraId="1BC8721E" w14:textId="77777777">
      <w:pPr>
        <w:pStyle w:val="ParaNum"/>
        <w:widowControl/>
        <w:numPr>
          <w:ilvl w:val="0"/>
          <w:numId w:val="0"/>
        </w:numPr>
        <w:ind w:left="720"/>
      </w:pPr>
    </w:p>
    <w:p w:rsidR="00BE5F67" w:rsidRPr="00BE5F67" w:rsidP="00066793" w14:paraId="27C2BA32" w14:textId="07B8CA21">
      <w:pPr>
        <w:pStyle w:val="ParaNum"/>
        <w:widowControl/>
        <w:numPr>
          <w:ilvl w:val="0"/>
          <w:numId w:val="0"/>
        </w:numPr>
      </w:pPr>
      <w:r>
        <w:t>Th</w:t>
      </w:r>
      <w:r w:rsidR="002B2CD2">
        <w:t>e</w:t>
      </w:r>
      <w:r>
        <w:t xml:space="preserve"> </w:t>
      </w:r>
      <w:r w:rsidR="00EB2E69">
        <w:t xml:space="preserve">completed survey </w:t>
      </w:r>
      <w:r>
        <w:t xml:space="preserve">data indicate that </w:t>
      </w:r>
      <w:r w:rsidR="006A4E31">
        <w:t xml:space="preserve">AT&amp;T, Verizon, and T-Mobile </w:t>
      </w:r>
      <w:r w:rsidR="000D6A0C">
        <w:t xml:space="preserve">respectively </w:t>
      </w:r>
      <w:r>
        <w:t xml:space="preserve">delivered the </w:t>
      </w:r>
      <w:r w:rsidR="00670B40">
        <w:t>nationwide WEA test</w:t>
      </w:r>
      <w:r>
        <w:t xml:space="preserve"> to 89.9%</w:t>
      </w:r>
      <w:r w:rsidR="006A4E31">
        <w:t>, 91</w:t>
      </w:r>
      <w:r w:rsidR="006B231C">
        <w:t>.0</w:t>
      </w:r>
      <w:r w:rsidR="006A4E31">
        <w:t>%, and</w:t>
      </w:r>
      <w:r>
        <w:t xml:space="preserve"> 93.2</w:t>
      </w:r>
      <w:r w:rsidR="000D6A0C">
        <w:t>%</w:t>
      </w:r>
      <w:r>
        <w:t xml:space="preserve"> of mobile devices.</w:t>
      </w:r>
      <w:r>
        <w:rPr>
          <w:rStyle w:val="FootnoteReference"/>
        </w:rPr>
        <w:footnoteReference w:id="46"/>
      </w:r>
      <w:r>
        <w:t xml:space="preserve"> </w:t>
      </w:r>
      <w:r w:rsidR="00477F87">
        <w:t xml:space="preserve"> </w:t>
      </w:r>
      <w:r w:rsidR="005B74D3">
        <w:t>Based upon PSHSB’s analysis of the data set, o</w:t>
      </w:r>
      <w:r w:rsidR="00AC748C">
        <w:t>ther wireless providers</w:t>
      </w:r>
      <w:r w:rsidR="0096166A">
        <w:t>, including CMS Providers other than AT&amp;T, T-Mobile, and Verizon, as well as Mobile Virtual Network Operators (MVNOs),</w:t>
      </w:r>
      <w:r>
        <w:rPr>
          <w:rStyle w:val="FootnoteReference"/>
        </w:rPr>
        <w:footnoteReference w:id="47"/>
      </w:r>
      <w:r w:rsidR="003C6AA3">
        <w:t xml:space="preserve"> </w:t>
      </w:r>
      <w:r w:rsidR="00AC748C">
        <w:t xml:space="preserve">appear to have delivered the </w:t>
      </w:r>
      <w:r w:rsidR="00B02DF8">
        <w:t xml:space="preserve">nationwide WEA test to </w:t>
      </w:r>
      <w:r w:rsidR="007A6258">
        <w:t xml:space="preserve">about </w:t>
      </w:r>
      <w:r w:rsidR="00B02DF8">
        <w:t xml:space="preserve">10% fewer mobile devices than </w:t>
      </w:r>
      <w:r w:rsidR="00B0177A">
        <w:t>the nationwide Participating CMS Providers</w:t>
      </w:r>
      <w:r w:rsidR="005B74D3">
        <w:t>.</w:t>
      </w:r>
      <w:r w:rsidR="0050751A">
        <w:t xml:space="preserve">  </w:t>
      </w:r>
      <w:r w:rsidR="00D725B7">
        <w:t xml:space="preserve"> </w:t>
      </w:r>
    </w:p>
    <w:p w:rsidR="00967FDF" w:rsidP="00066793" w14:paraId="30D2A250" w14:textId="7DA546D1">
      <w:pPr>
        <w:pStyle w:val="Heading4"/>
        <w:widowControl/>
      </w:pPr>
      <w:bookmarkStart w:id="82" w:name="_Toc83909784"/>
      <w:bookmarkStart w:id="83" w:name="_Toc83911811"/>
      <w:bookmarkStart w:id="84" w:name="_Toc84335316"/>
      <w:bookmarkStart w:id="85" w:name="_Toc84597871"/>
      <w:bookmarkStart w:id="86" w:name="_Toc84926092"/>
      <w:bookmarkStart w:id="87" w:name="_Toc84933026"/>
      <w:bookmarkStart w:id="88" w:name="_Toc85552921"/>
      <w:r>
        <w:t xml:space="preserve">By </w:t>
      </w:r>
      <w:r w:rsidR="00D53630">
        <w:t>CMS Provider</w:t>
      </w:r>
      <w:r w:rsidR="00783DE9">
        <w:t xml:space="preserve"> versus Mobile Virtual Network Operator</w:t>
      </w:r>
      <w:bookmarkEnd w:id="82"/>
      <w:bookmarkEnd w:id="83"/>
      <w:bookmarkEnd w:id="84"/>
      <w:bookmarkEnd w:id="85"/>
      <w:bookmarkEnd w:id="86"/>
      <w:bookmarkEnd w:id="87"/>
      <w:bookmarkEnd w:id="88"/>
    </w:p>
    <w:p w:rsidR="00605E7D" w:rsidP="00066793" w14:paraId="60CFE4D3" w14:textId="78242673">
      <w:pPr>
        <w:pStyle w:val="ParaNum"/>
        <w:widowControl/>
      </w:pPr>
      <w:r>
        <w:t xml:space="preserve">Based on the </w:t>
      </w:r>
      <w:r w:rsidR="00392E7D">
        <w:t>Nationwide WEA Test Survey</w:t>
      </w:r>
      <w:r w:rsidR="00416E67">
        <w:t xml:space="preserve"> data</w:t>
      </w:r>
      <w:r>
        <w:t xml:space="preserve">, </w:t>
      </w:r>
      <w:r w:rsidR="00E7475D">
        <w:t xml:space="preserve">PSHSB </w:t>
      </w:r>
      <w:r w:rsidR="00416E67">
        <w:t xml:space="preserve">finds </w:t>
      </w:r>
      <w:r w:rsidR="003441B9">
        <w:t xml:space="preserve">that some respondents received the nationwide WEA test while </w:t>
      </w:r>
      <w:r w:rsidR="009E1EF8">
        <w:t>subscribed to</w:t>
      </w:r>
      <w:r w:rsidR="003441B9">
        <w:t xml:space="preserve"> </w:t>
      </w:r>
      <w:r w:rsidR="00332C3A">
        <w:t>MVNOs</w:t>
      </w:r>
      <w:r w:rsidR="00CF1F24">
        <w:t>, rather than</w:t>
      </w:r>
      <w:r w:rsidR="00462740">
        <w:t xml:space="preserve"> </w:t>
      </w:r>
      <w:r w:rsidR="002D0C8B">
        <w:t>CMS Provider</w:t>
      </w:r>
      <w:r w:rsidR="00CF1F24">
        <w:t>s</w:t>
      </w:r>
      <w:r w:rsidR="00C22DD3">
        <w:t>’ wireless service</w:t>
      </w:r>
      <w:r w:rsidR="00951C84">
        <w:t>s</w:t>
      </w:r>
      <w:r w:rsidR="00040215">
        <w:t>.</w:t>
      </w:r>
      <w:r>
        <w:rPr>
          <w:rStyle w:val="FootnoteReference"/>
        </w:rPr>
        <w:footnoteReference w:id="48"/>
      </w:r>
      <w:r w:rsidR="00FE1023">
        <w:t xml:space="preserve"> </w:t>
      </w:r>
      <w:r w:rsidR="00040215">
        <w:t xml:space="preserve"> </w:t>
      </w:r>
      <w:r w:rsidR="00040215">
        <w:rPr>
          <w:b/>
          <w:bCs/>
        </w:rPr>
        <w:t xml:space="preserve">Table </w:t>
      </w:r>
      <w:r w:rsidR="00406608">
        <w:rPr>
          <w:b/>
          <w:bCs/>
        </w:rPr>
        <w:t>3</w:t>
      </w:r>
      <w:r w:rsidR="00040215">
        <w:t xml:space="preserve"> shows</w:t>
      </w:r>
      <w:r w:rsidR="008F527B">
        <w:t xml:space="preserve"> </w:t>
      </w:r>
      <w:r>
        <w:t>the number of respondents who</w:t>
      </w:r>
      <w:r w:rsidR="00462740">
        <w:t xml:space="preserve"> </w:t>
      </w:r>
      <w:r w:rsidR="008F527B">
        <w:t>reported receiving the nationwide WEA test</w:t>
      </w:r>
      <w:r>
        <w:t xml:space="preserve"> through an MVNO and what percentage of those respondents received the alert</w:t>
      </w:r>
      <w:r w:rsidR="006B72E9">
        <w:t xml:space="preserve">.  </w:t>
      </w:r>
      <w:r w:rsidR="006B72E9">
        <w:rPr>
          <w:b/>
          <w:bCs/>
        </w:rPr>
        <w:t xml:space="preserve">Table </w:t>
      </w:r>
      <w:r w:rsidR="00406608">
        <w:rPr>
          <w:b/>
          <w:bCs/>
        </w:rPr>
        <w:t>3</w:t>
      </w:r>
      <w:r w:rsidR="006B72E9">
        <w:rPr>
          <w:b/>
          <w:bCs/>
        </w:rPr>
        <w:t xml:space="preserve"> </w:t>
      </w:r>
      <w:r w:rsidR="006B72E9">
        <w:t>also shows</w:t>
      </w:r>
      <w:r w:rsidR="008F527B">
        <w:t xml:space="preserve"> </w:t>
      </w:r>
      <w:r w:rsidR="00040215">
        <w:t xml:space="preserve">how reliably </w:t>
      </w:r>
      <w:r w:rsidR="00297E69">
        <w:t>MVNOs</w:t>
      </w:r>
      <w:r w:rsidR="00040215">
        <w:t xml:space="preserve"> delivered the </w:t>
      </w:r>
      <w:r w:rsidR="00670B40">
        <w:t xml:space="preserve">nationwide WEA test relative to </w:t>
      </w:r>
      <w:r w:rsidR="002D0C8B">
        <w:t>CMS Provider</w:t>
      </w:r>
      <w:r w:rsidR="00670B40">
        <w:t>s</w:t>
      </w:r>
      <w:r w:rsidR="00040215">
        <w:t xml:space="preserve">.  </w:t>
      </w:r>
    </w:p>
    <w:p w:rsidR="00066793" w:rsidRPr="0016254A" w:rsidP="00066793" w14:paraId="4C3F088C" w14:textId="77777777">
      <w:pPr>
        <w:pStyle w:val="ParaNum"/>
        <w:widowControl/>
        <w:numPr>
          <w:ilvl w:val="0"/>
          <w:numId w:val="0"/>
        </w:numPr>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
        <w:gridCol w:w="2579"/>
        <w:gridCol w:w="2472"/>
        <w:gridCol w:w="17"/>
        <w:gridCol w:w="2290"/>
      </w:tblGrid>
      <w:tr w14:paraId="57A25848" w14:textId="77777777" w:rsidTr="00905400">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8405" w:type="dxa"/>
            <w:gridSpan w:val="5"/>
            <w:shd w:val="clear" w:color="auto" w:fill="E7E6E6" w:themeFill="background2"/>
          </w:tcPr>
          <w:p w:rsidR="00406608" w:rsidRPr="00406608" w:rsidP="00066793" w14:paraId="191060A0" w14:textId="394ABED8">
            <w:pPr>
              <w:pStyle w:val="ParaNum"/>
              <w:widowControl/>
              <w:numPr>
                <w:ilvl w:val="0"/>
                <w:numId w:val="0"/>
              </w:numPr>
              <w:jc w:val="center"/>
              <w:rPr>
                <w:b/>
                <w:bCs/>
              </w:rPr>
            </w:pPr>
            <w:r>
              <w:rPr>
                <w:b/>
                <w:bCs/>
              </w:rPr>
              <w:t>Table 3</w:t>
            </w:r>
          </w:p>
          <w:p w:rsidR="00446F4B" w:rsidP="00066793" w14:paraId="793D1101" w14:textId="72D2B901">
            <w:pPr>
              <w:pStyle w:val="ParaNum"/>
              <w:widowControl/>
              <w:numPr>
                <w:ilvl w:val="0"/>
                <w:numId w:val="0"/>
              </w:numPr>
              <w:jc w:val="center"/>
            </w:pPr>
            <w:r>
              <w:t>Test Reception Rates</w:t>
            </w:r>
          </w:p>
          <w:p w:rsidR="00446F4B" w:rsidP="00066793" w14:paraId="36C250CB" w14:textId="2416CAE7">
            <w:pPr>
              <w:pStyle w:val="ParaNum"/>
              <w:widowControl/>
              <w:numPr>
                <w:ilvl w:val="0"/>
                <w:numId w:val="0"/>
              </w:numPr>
              <w:jc w:val="center"/>
            </w:pPr>
            <w:r>
              <w:t xml:space="preserve">By </w:t>
            </w:r>
            <w:r w:rsidR="00D00701">
              <w:t>CMS</w:t>
            </w:r>
            <w:r w:rsidR="00D53630">
              <w:t xml:space="preserve"> Provider</w:t>
            </w:r>
            <w:r w:rsidR="00D00701">
              <w:t xml:space="preserve"> v MVNO</w:t>
            </w:r>
          </w:p>
        </w:tc>
      </w:tr>
      <w:tr w14:paraId="68935ED4" w14:textId="77777777" w:rsidTr="008242E0">
        <w:tblPrEx>
          <w:tblW w:w="0" w:type="auto"/>
          <w:jc w:val="center"/>
          <w:tblLook w:val="04A0"/>
        </w:tblPrEx>
        <w:trPr>
          <w:jc w:val="center"/>
        </w:trPr>
        <w:tc>
          <w:tcPr>
            <w:tcW w:w="8405" w:type="dxa"/>
            <w:gridSpan w:val="5"/>
            <w:shd w:val="clear" w:color="auto" w:fill="4472C4" w:themeFill="accent1"/>
          </w:tcPr>
          <w:p w:rsidR="0019461B" w:rsidRPr="00406608" w:rsidP="00066793" w14:paraId="484A61B6" w14:textId="5BB909DA">
            <w:pPr>
              <w:pStyle w:val="ParaNum"/>
              <w:widowControl/>
              <w:numPr>
                <w:ilvl w:val="0"/>
                <w:numId w:val="0"/>
              </w:numPr>
              <w:jc w:val="center"/>
              <w:rPr>
                <w:i/>
                <w:iCs/>
              </w:rPr>
            </w:pPr>
            <w:r>
              <w:rPr>
                <w:b/>
                <w:bCs/>
              </w:rPr>
              <w:t>Completed Survey Response</w:t>
            </w:r>
            <w:r w:rsidRPr="00406608">
              <w:rPr>
                <w:b/>
                <w:bCs/>
              </w:rPr>
              <w:t xml:space="preserve"> Results</w:t>
            </w:r>
          </w:p>
        </w:tc>
      </w:tr>
      <w:tr w14:paraId="013E01F9" w14:textId="77777777" w:rsidTr="003C6EE0">
        <w:tblPrEx>
          <w:tblW w:w="0" w:type="auto"/>
          <w:jc w:val="center"/>
          <w:tblLook w:val="04A0"/>
        </w:tblPrEx>
        <w:trPr>
          <w:jc w:val="center"/>
        </w:trPr>
        <w:tc>
          <w:tcPr>
            <w:tcW w:w="1047" w:type="dxa"/>
            <w:shd w:val="clear" w:color="auto" w:fill="E7E6E6" w:themeFill="background2"/>
          </w:tcPr>
          <w:p w:rsidR="0019461B" w:rsidRPr="00406608" w:rsidP="00066793" w14:paraId="78A9D171" w14:textId="7EE4FA48">
            <w:pPr>
              <w:pStyle w:val="ParaNum"/>
              <w:widowControl/>
              <w:numPr>
                <w:ilvl w:val="0"/>
                <w:numId w:val="0"/>
              </w:numPr>
              <w:jc w:val="center"/>
              <w:rPr>
                <w:b/>
                <w:bCs/>
              </w:rPr>
            </w:pPr>
          </w:p>
        </w:tc>
        <w:tc>
          <w:tcPr>
            <w:tcW w:w="2579" w:type="dxa"/>
            <w:shd w:val="clear" w:color="auto" w:fill="E7E6E6" w:themeFill="background2"/>
            <w:vAlign w:val="center"/>
          </w:tcPr>
          <w:p w:rsidR="0019461B" w:rsidRPr="00406608" w:rsidP="00066793" w14:paraId="6E10499A" w14:textId="1445414E">
            <w:pPr>
              <w:pStyle w:val="ParaNum"/>
              <w:widowControl/>
              <w:numPr>
                <w:ilvl w:val="0"/>
                <w:numId w:val="0"/>
              </w:numPr>
              <w:jc w:val="center"/>
              <w:rPr>
                <w:b/>
                <w:bCs/>
              </w:rPr>
            </w:pPr>
            <w:r w:rsidRPr="00406608">
              <w:rPr>
                <w:b/>
                <w:bCs/>
              </w:rPr>
              <w:t>Test Received</w:t>
            </w:r>
          </w:p>
        </w:tc>
        <w:tc>
          <w:tcPr>
            <w:tcW w:w="2472" w:type="dxa"/>
            <w:shd w:val="clear" w:color="auto" w:fill="E7E6E6" w:themeFill="background2"/>
            <w:vAlign w:val="center"/>
          </w:tcPr>
          <w:p w:rsidR="0019461B" w:rsidRPr="00406608" w:rsidP="00066793" w14:paraId="381C4C6A" w14:textId="16A620EB">
            <w:pPr>
              <w:pStyle w:val="ParaNum"/>
              <w:widowControl/>
              <w:numPr>
                <w:ilvl w:val="0"/>
                <w:numId w:val="0"/>
              </w:numPr>
              <w:jc w:val="center"/>
              <w:rPr>
                <w:i/>
                <w:iCs/>
              </w:rPr>
            </w:pPr>
            <w:r w:rsidRPr="00406608">
              <w:rPr>
                <w:b/>
                <w:bCs/>
              </w:rPr>
              <w:t>Test not Received</w:t>
            </w:r>
            <w:r w:rsidRPr="00406608">
              <w:rPr>
                <w:b/>
                <w:bCs/>
              </w:rPr>
              <w:t xml:space="preserve"> </w:t>
            </w:r>
          </w:p>
        </w:tc>
        <w:tc>
          <w:tcPr>
            <w:tcW w:w="2307" w:type="dxa"/>
            <w:gridSpan w:val="2"/>
            <w:shd w:val="clear" w:color="auto" w:fill="E7E6E6" w:themeFill="background2"/>
            <w:vAlign w:val="center"/>
          </w:tcPr>
          <w:p w:rsidR="0019461B" w:rsidRPr="00406608" w:rsidP="00066793" w14:paraId="5D8CE51A" w14:textId="2F33F59A">
            <w:pPr>
              <w:pStyle w:val="ParaNum"/>
              <w:widowControl/>
              <w:numPr>
                <w:ilvl w:val="0"/>
                <w:numId w:val="0"/>
              </w:numPr>
              <w:jc w:val="center"/>
              <w:rPr>
                <w:i/>
                <w:iCs/>
              </w:rPr>
            </w:pPr>
            <w:r w:rsidRPr="00406608">
              <w:rPr>
                <w:b/>
                <w:bCs/>
              </w:rPr>
              <w:t>Total Response Count</w:t>
            </w:r>
          </w:p>
        </w:tc>
      </w:tr>
      <w:tr w14:paraId="13DF5AD0" w14:textId="77777777" w:rsidTr="003C6EE0">
        <w:tblPrEx>
          <w:tblW w:w="0" w:type="auto"/>
          <w:jc w:val="center"/>
          <w:tblLook w:val="04A0"/>
        </w:tblPrEx>
        <w:trPr>
          <w:jc w:val="center"/>
        </w:trPr>
        <w:tc>
          <w:tcPr>
            <w:tcW w:w="1047" w:type="dxa"/>
            <w:shd w:val="clear" w:color="auto" w:fill="auto"/>
            <w:vAlign w:val="center"/>
          </w:tcPr>
          <w:p w:rsidR="0019461B" w:rsidRPr="00406608" w:rsidP="00066793" w14:paraId="42DE53AC" w14:textId="2CD0A14B">
            <w:pPr>
              <w:pStyle w:val="ParaNum"/>
              <w:widowControl/>
              <w:numPr>
                <w:ilvl w:val="0"/>
                <w:numId w:val="0"/>
              </w:numPr>
              <w:jc w:val="center"/>
              <w:rPr>
                <w:b/>
                <w:bCs/>
              </w:rPr>
            </w:pPr>
            <w:r w:rsidRPr="00406608">
              <w:rPr>
                <w:b/>
                <w:bCs/>
              </w:rPr>
              <w:t>MVNO</w:t>
            </w:r>
          </w:p>
        </w:tc>
        <w:tc>
          <w:tcPr>
            <w:tcW w:w="2579" w:type="dxa"/>
            <w:shd w:val="clear" w:color="auto" w:fill="auto"/>
            <w:vAlign w:val="center"/>
          </w:tcPr>
          <w:p w:rsidR="0019461B" w:rsidRPr="003C6EE0" w:rsidP="00066793" w14:paraId="42A0F058" w14:textId="703DFF55">
            <w:pPr>
              <w:pStyle w:val="ParaNum"/>
              <w:widowControl/>
              <w:numPr>
                <w:ilvl w:val="0"/>
                <w:numId w:val="0"/>
              </w:numPr>
              <w:jc w:val="center"/>
            </w:pPr>
            <w:r w:rsidRPr="003C6EE0">
              <w:t>82.1%</w:t>
            </w:r>
          </w:p>
        </w:tc>
        <w:tc>
          <w:tcPr>
            <w:tcW w:w="2472" w:type="dxa"/>
            <w:shd w:val="clear" w:color="auto" w:fill="auto"/>
            <w:vAlign w:val="center"/>
          </w:tcPr>
          <w:p w:rsidR="0019461B" w:rsidRPr="007316D1" w:rsidP="00066793" w14:paraId="0121FBC8" w14:textId="28B3B9BA">
            <w:pPr>
              <w:pStyle w:val="ParaNum"/>
              <w:widowControl/>
              <w:numPr>
                <w:ilvl w:val="0"/>
                <w:numId w:val="0"/>
              </w:numPr>
              <w:jc w:val="center"/>
              <w:rPr>
                <w:i/>
                <w:iCs/>
              </w:rPr>
            </w:pPr>
            <w:r w:rsidRPr="003C6EE0">
              <w:t>18.0%</w:t>
            </w:r>
            <w:r>
              <w:rPr>
                <w:rStyle w:val="FootnoteReference"/>
              </w:rPr>
              <w:footnoteReference w:id="49"/>
            </w:r>
          </w:p>
        </w:tc>
        <w:tc>
          <w:tcPr>
            <w:tcW w:w="2307" w:type="dxa"/>
            <w:gridSpan w:val="2"/>
            <w:shd w:val="clear" w:color="auto" w:fill="auto"/>
            <w:vAlign w:val="center"/>
          </w:tcPr>
          <w:p w:rsidR="0019461B" w:rsidRPr="007316D1" w:rsidP="00066793" w14:paraId="0F3F8BB5" w14:textId="003F04A6">
            <w:pPr>
              <w:pStyle w:val="ParaNum"/>
              <w:widowControl/>
              <w:numPr>
                <w:ilvl w:val="0"/>
                <w:numId w:val="0"/>
              </w:numPr>
              <w:jc w:val="center"/>
              <w:rPr>
                <w:i/>
                <w:iCs/>
              </w:rPr>
            </w:pPr>
            <w:r w:rsidRPr="003C6EE0">
              <w:t>39</w:t>
            </w:r>
          </w:p>
        </w:tc>
      </w:tr>
      <w:tr w14:paraId="20222CD6" w14:textId="77777777" w:rsidTr="003C6EE0">
        <w:tblPrEx>
          <w:tblW w:w="0" w:type="auto"/>
          <w:jc w:val="center"/>
          <w:tblLook w:val="04A0"/>
        </w:tblPrEx>
        <w:trPr>
          <w:jc w:val="center"/>
        </w:trPr>
        <w:tc>
          <w:tcPr>
            <w:tcW w:w="1047" w:type="dxa"/>
            <w:shd w:val="clear" w:color="auto" w:fill="auto"/>
            <w:vAlign w:val="center"/>
          </w:tcPr>
          <w:p w:rsidR="0019461B" w:rsidRPr="00406608" w:rsidP="00066793" w14:paraId="7AAB944B" w14:textId="034954F7">
            <w:pPr>
              <w:pStyle w:val="ParaNum"/>
              <w:widowControl/>
              <w:numPr>
                <w:ilvl w:val="0"/>
                <w:numId w:val="0"/>
              </w:numPr>
              <w:jc w:val="center"/>
              <w:rPr>
                <w:b/>
                <w:bCs/>
              </w:rPr>
            </w:pPr>
            <w:r w:rsidRPr="00406608">
              <w:rPr>
                <w:b/>
                <w:bCs/>
              </w:rPr>
              <w:t>CMS Provider</w:t>
            </w:r>
          </w:p>
        </w:tc>
        <w:tc>
          <w:tcPr>
            <w:tcW w:w="2579" w:type="dxa"/>
            <w:shd w:val="clear" w:color="auto" w:fill="auto"/>
            <w:vAlign w:val="center"/>
          </w:tcPr>
          <w:p w:rsidR="0019461B" w:rsidRPr="003C6EE0" w:rsidP="00066793" w14:paraId="760ACE01" w14:textId="3D28AB51">
            <w:pPr>
              <w:pStyle w:val="ParaNum"/>
              <w:widowControl/>
              <w:numPr>
                <w:ilvl w:val="0"/>
                <w:numId w:val="0"/>
              </w:numPr>
              <w:jc w:val="center"/>
            </w:pPr>
            <w:r w:rsidRPr="003C6EE0">
              <w:t>90.8%</w:t>
            </w:r>
          </w:p>
        </w:tc>
        <w:tc>
          <w:tcPr>
            <w:tcW w:w="2472" w:type="dxa"/>
            <w:shd w:val="clear" w:color="auto" w:fill="auto"/>
            <w:vAlign w:val="center"/>
          </w:tcPr>
          <w:p w:rsidR="0019461B" w:rsidRPr="007316D1" w:rsidP="00066793" w14:paraId="3B788B5C" w14:textId="63A97E5E">
            <w:pPr>
              <w:pStyle w:val="ParaNum"/>
              <w:widowControl/>
              <w:numPr>
                <w:ilvl w:val="0"/>
                <w:numId w:val="0"/>
              </w:numPr>
              <w:jc w:val="center"/>
              <w:rPr>
                <w:i/>
                <w:iCs/>
              </w:rPr>
            </w:pPr>
            <w:r w:rsidRPr="003C6EE0">
              <w:t>9.2%</w:t>
            </w:r>
          </w:p>
        </w:tc>
        <w:tc>
          <w:tcPr>
            <w:tcW w:w="2307" w:type="dxa"/>
            <w:gridSpan w:val="2"/>
            <w:shd w:val="clear" w:color="auto" w:fill="auto"/>
            <w:vAlign w:val="center"/>
          </w:tcPr>
          <w:p w:rsidR="0019461B" w:rsidRPr="007316D1" w:rsidP="00066793" w14:paraId="4BF564A0" w14:textId="7FFD25F1">
            <w:pPr>
              <w:pStyle w:val="ParaNum"/>
              <w:widowControl/>
              <w:numPr>
                <w:ilvl w:val="0"/>
                <w:numId w:val="0"/>
              </w:numPr>
              <w:jc w:val="center"/>
              <w:rPr>
                <w:i/>
                <w:iCs/>
              </w:rPr>
            </w:pPr>
            <w:r w:rsidRPr="003C6EE0">
              <w:t>303</w:t>
            </w:r>
          </w:p>
        </w:tc>
      </w:tr>
      <w:tr w14:paraId="5E220577" w14:textId="77777777" w:rsidTr="003C6EE0">
        <w:tblPrEx>
          <w:tblW w:w="0" w:type="auto"/>
          <w:jc w:val="center"/>
          <w:tblLook w:val="04A0"/>
        </w:tblPrEx>
        <w:trPr>
          <w:trHeight w:val="611"/>
          <w:jc w:val="center"/>
        </w:trPr>
        <w:tc>
          <w:tcPr>
            <w:tcW w:w="1047" w:type="dxa"/>
            <w:shd w:val="clear" w:color="auto" w:fill="auto"/>
            <w:vAlign w:val="center"/>
          </w:tcPr>
          <w:p w:rsidR="0010663C" w:rsidRPr="00406608" w:rsidP="00066793" w14:paraId="2B6F85FD" w14:textId="77777777">
            <w:pPr>
              <w:pStyle w:val="ParaNum"/>
              <w:widowControl/>
              <w:numPr>
                <w:ilvl w:val="0"/>
                <w:numId w:val="0"/>
              </w:numPr>
              <w:jc w:val="center"/>
              <w:rPr>
                <w:b/>
                <w:bCs/>
              </w:rPr>
            </w:pPr>
            <w:r w:rsidRPr="00406608">
              <w:rPr>
                <w:b/>
                <w:bCs/>
              </w:rPr>
              <w:t>Total</w:t>
            </w:r>
          </w:p>
        </w:tc>
        <w:tc>
          <w:tcPr>
            <w:tcW w:w="5068" w:type="dxa"/>
            <w:gridSpan w:val="3"/>
            <w:shd w:val="clear" w:color="auto" w:fill="auto"/>
            <w:vAlign w:val="center"/>
          </w:tcPr>
          <w:p w:rsidR="0010663C" w:rsidRPr="007316D1" w:rsidP="00066793" w14:paraId="036ADE81" w14:textId="1021D370">
            <w:pPr>
              <w:pStyle w:val="ParaNum"/>
              <w:widowControl/>
              <w:numPr>
                <w:ilvl w:val="0"/>
                <w:numId w:val="0"/>
              </w:numPr>
              <w:jc w:val="center"/>
              <w:rPr>
                <w:i/>
                <w:iCs/>
              </w:rPr>
            </w:pPr>
          </w:p>
        </w:tc>
        <w:tc>
          <w:tcPr>
            <w:tcW w:w="2290" w:type="dxa"/>
            <w:shd w:val="clear" w:color="auto" w:fill="auto"/>
            <w:vAlign w:val="center"/>
          </w:tcPr>
          <w:p w:rsidR="0010663C" w:rsidRPr="007316D1" w:rsidP="00066793" w14:paraId="58C6CFE2" w14:textId="0058FB5B">
            <w:pPr>
              <w:pStyle w:val="ParaNum"/>
              <w:widowControl/>
              <w:numPr>
                <w:ilvl w:val="0"/>
                <w:numId w:val="0"/>
              </w:numPr>
              <w:jc w:val="center"/>
              <w:rPr>
                <w:i/>
                <w:iCs/>
              </w:rPr>
            </w:pPr>
            <w:r w:rsidRPr="003C6EE0">
              <w:t>342</w:t>
            </w:r>
          </w:p>
        </w:tc>
      </w:tr>
    </w:tbl>
    <w:p w:rsidR="00DB7816" w:rsidP="00066793" w14:paraId="299ACE4B" w14:textId="77777777">
      <w:pPr>
        <w:pStyle w:val="ParaNum"/>
        <w:widowControl/>
        <w:numPr>
          <w:ilvl w:val="0"/>
          <w:numId w:val="0"/>
        </w:numPr>
        <w:ind w:firstLine="720"/>
      </w:pPr>
    </w:p>
    <w:p w:rsidR="00BF3DBB" w:rsidP="00066793" w14:paraId="06A493FA" w14:textId="70AF9125">
      <w:pPr>
        <w:pStyle w:val="ParaNum"/>
        <w:widowControl/>
        <w:numPr>
          <w:ilvl w:val="0"/>
          <w:numId w:val="0"/>
        </w:numPr>
      </w:pPr>
      <w:r>
        <w:t>Th</w:t>
      </w:r>
      <w:r w:rsidR="002B2CD2">
        <w:t>e</w:t>
      </w:r>
      <w:r>
        <w:t xml:space="preserve"> </w:t>
      </w:r>
      <w:r w:rsidR="00EB2E69">
        <w:t xml:space="preserve">completed survey </w:t>
      </w:r>
      <w:r>
        <w:t xml:space="preserve">data indicate that </w:t>
      </w:r>
      <w:r w:rsidR="00C74F67">
        <w:t xml:space="preserve">32 </w:t>
      </w:r>
      <w:r>
        <w:t xml:space="preserve">respondents </w:t>
      </w:r>
      <w:r w:rsidR="00E71BB6">
        <w:t xml:space="preserve">received the nationwide WEA test on a mobile device </w:t>
      </w:r>
      <w:r w:rsidR="009E1EF8">
        <w:t>subscribed to an MVNO</w:t>
      </w:r>
      <w:r>
        <w:t xml:space="preserve">.  </w:t>
      </w:r>
      <w:r w:rsidR="00091A3F">
        <w:t xml:space="preserve">The MVNO networks </w:t>
      </w:r>
      <w:r w:rsidR="006D20CA">
        <w:t xml:space="preserve">to which respondent mobile devices </w:t>
      </w:r>
      <w:r w:rsidR="00F53141">
        <w:t>report being</w:t>
      </w:r>
      <w:r w:rsidR="006D20CA">
        <w:t xml:space="preserve"> connected at the time they received the nationwide WEA test</w:t>
      </w:r>
      <w:r w:rsidR="00091A3F">
        <w:t xml:space="preserve"> include C</w:t>
      </w:r>
      <w:r w:rsidR="0086578A">
        <w:t>ricket Wireless</w:t>
      </w:r>
      <w:r w:rsidR="00091A3F">
        <w:t xml:space="preserve">, </w:t>
      </w:r>
      <w:r w:rsidR="0086578A">
        <w:t xml:space="preserve">First Net, H20 Wireless, Pure Talk, Straight Talk, </w:t>
      </w:r>
      <w:r w:rsidR="00091A3F">
        <w:t xml:space="preserve">Boost Mobile, </w:t>
      </w:r>
      <w:r w:rsidR="0086578A">
        <w:t xml:space="preserve">Consumer Cellular, Google Fi, Lycamobile, </w:t>
      </w:r>
      <w:r w:rsidR="00091A3F">
        <w:t>MetroPCS</w:t>
      </w:r>
      <w:r w:rsidR="0086578A">
        <w:t>, Patriot Mobile, Pioneer Cellular, Q Link Wireless, Republic Wireless, Simple Mobile, Ting, Wal-Mart Family Mobile, Cred</w:t>
      </w:r>
      <w:r w:rsidR="00457729">
        <w:t>o, Nemont, Page Plus, Spectrum, Total, TracFone, and Visible</w:t>
      </w:r>
      <w:r w:rsidR="006D20CA">
        <w:t xml:space="preserve">. </w:t>
      </w:r>
      <w:r w:rsidR="00091A3F">
        <w:t xml:space="preserve"> </w:t>
      </w:r>
      <w:r w:rsidR="0095252E">
        <w:t>O</w:t>
      </w:r>
      <w:r w:rsidR="00276205">
        <w:t>nly one MVNO, Google’s Project Fi, has formally elected to participate in WEA.</w:t>
      </w:r>
      <w:r>
        <w:rPr>
          <w:rStyle w:val="FootnoteReference"/>
        </w:rPr>
        <w:footnoteReference w:id="50"/>
      </w:r>
      <w:r w:rsidRPr="00332C3A" w:rsidR="00276205">
        <w:rPr>
          <w:b/>
          <w:bCs/>
        </w:rPr>
        <w:t xml:space="preserve"> </w:t>
      </w:r>
      <w:r w:rsidR="00276205">
        <w:rPr>
          <w:b/>
          <w:bCs/>
        </w:rPr>
        <w:t xml:space="preserve"> </w:t>
      </w:r>
      <w:r w:rsidR="00276205">
        <w:t>Based on th</w:t>
      </w:r>
      <w:r w:rsidR="002B2CD2">
        <w:t>e</w:t>
      </w:r>
      <w:r w:rsidR="00276205">
        <w:t>s</w:t>
      </w:r>
      <w:r w:rsidR="002B2CD2">
        <w:t>e</w:t>
      </w:r>
      <w:r w:rsidR="00276205">
        <w:t xml:space="preserve"> data, PSHSB finds that </w:t>
      </w:r>
      <w:r w:rsidRPr="00951C84" w:rsidR="00276205">
        <w:t xml:space="preserve">many </w:t>
      </w:r>
      <w:r w:rsidR="00276205">
        <w:t xml:space="preserve">more </w:t>
      </w:r>
      <w:r w:rsidRPr="00951C84" w:rsidR="00276205">
        <w:t>MVNOs are sending WEAs than have formally elected to participate in WEA</w:t>
      </w:r>
      <w:r w:rsidR="00276205">
        <w:t xml:space="preserve">. </w:t>
      </w:r>
      <w:r w:rsidRPr="00951C84" w:rsidR="00276205">
        <w:t xml:space="preserve"> </w:t>
      </w:r>
    </w:p>
    <w:p w:rsidR="00446F4B" w:rsidRPr="00446F4B" w:rsidP="00066793" w14:paraId="1D7C9D3F" w14:textId="102B9653">
      <w:pPr>
        <w:pStyle w:val="ParaNum"/>
        <w:widowControl/>
      </w:pPr>
      <w:r>
        <w:t xml:space="preserve">Based upon analysis of this data set, </w:t>
      </w:r>
      <w:r w:rsidR="00970C81">
        <w:t xml:space="preserve">MVNOs appear to have </w:t>
      </w:r>
      <w:r w:rsidR="00D53630">
        <w:t xml:space="preserve">delivered the nationwide WEA test to about 10% fewer mobile devices than </w:t>
      </w:r>
      <w:r w:rsidR="002D0C8B">
        <w:t>CMS Provider</w:t>
      </w:r>
      <w:r w:rsidR="00D53630">
        <w:t>s</w:t>
      </w:r>
      <w:r w:rsidR="00123DF4">
        <w:t>.</w:t>
      </w:r>
    </w:p>
    <w:p w:rsidR="00005C52" w:rsidP="00066793" w14:paraId="4097B7C6" w14:textId="336726AF">
      <w:pPr>
        <w:pStyle w:val="Heading4"/>
        <w:widowControl/>
      </w:pPr>
      <w:bookmarkStart w:id="89" w:name="_Toc83909785"/>
      <w:bookmarkStart w:id="90" w:name="_Toc83911812"/>
      <w:bookmarkStart w:id="91" w:name="_Toc84335317"/>
      <w:bookmarkStart w:id="92" w:name="_Toc84597872"/>
      <w:bookmarkStart w:id="93" w:name="_Toc84926093"/>
      <w:bookmarkStart w:id="94" w:name="_Toc84933027"/>
      <w:bookmarkStart w:id="95" w:name="_Toc85552922"/>
      <w:r>
        <w:t xml:space="preserve">By </w:t>
      </w:r>
      <w:r w:rsidR="005F4569">
        <w:t>Generation of Wireless Network Technology</w:t>
      </w:r>
      <w:bookmarkEnd w:id="89"/>
      <w:bookmarkEnd w:id="90"/>
      <w:bookmarkEnd w:id="91"/>
      <w:bookmarkEnd w:id="92"/>
      <w:bookmarkEnd w:id="93"/>
      <w:bookmarkEnd w:id="94"/>
      <w:bookmarkEnd w:id="95"/>
    </w:p>
    <w:p w:rsidR="004E385C" w:rsidP="00066793" w14:paraId="5878F8F0" w14:textId="2937CD8F">
      <w:pPr>
        <w:pStyle w:val="ParaNum"/>
        <w:widowControl/>
      </w:pPr>
      <w:r>
        <w:t>Based on the Nationwide WEA Test Survey data, PSHSB finds that there is no statistically significant difference between the reliability with which 4G and 5G wireless network technologies deliver WEA alerts.</w:t>
      </w:r>
      <w:r>
        <w:rPr>
          <w:rStyle w:val="FootnoteReference"/>
        </w:rPr>
        <w:footnoteReference w:id="51"/>
      </w:r>
      <w:r>
        <w:t xml:space="preserve">  </w:t>
      </w:r>
      <w:r w:rsidR="00005C52">
        <w:t xml:space="preserve">The </w:t>
      </w:r>
      <w:r>
        <w:t>N</w:t>
      </w:r>
      <w:r w:rsidR="00005C52">
        <w:t xml:space="preserve">ationwide WEA </w:t>
      </w:r>
      <w:r>
        <w:t>T</w:t>
      </w:r>
      <w:r w:rsidR="00005C52">
        <w:t xml:space="preserve">est </w:t>
      </w:r>
      <w:r>
        <w:t>S</w:t>
      </w:r>
      <w:r w:rsidR="00005C52">
        <w:t>urvey</w:t>
      </w:r>
      <w:r w:rsidR="005F4569">
        <w:t xml:space="preserve"> asked respondents to identify the generation of wireless network technology to which their device was connected at the time </w:t>
      </w:r>
      <w:r w:rsidR="003E7F59">
        <w:t>FEMA sent</w:t>
      </w:r>
      <w:r w:rsidR="005F4569">
        <w:t xml:space="preserve"> the nationwide WEA test. </w:t>
      </w:r>
      <w:r w:rsidR="00572FED">
        <w:t xml:space="preserve"> </w:t>
      </w:r>
      <w:r w:rsidRPr="007316D1" w:rsidR="00005C52">
        <w:rPr>
          <w:b/>
          <w:bCs/>
        </w:rPr>
        <w:t xml:space="preserve">Table </w:t>
      </w:r>
      <w:r w:rsidRPr="007316D1" w:rsidR="00406608">
        <w:rPr>
          <w:b/>
          <w:bCs/>
        </w:rPr>
        <w:t>4</w:t>
      </w:r>
      <w:r w:rsidR="00005C52">
        <w:t xml:space="preserve"> shows how reliably WEA performed over these </w:t>
      </w:r>
      <w:r w:rsidR="005F4569">
        <w:t>wireless network technologies</w:t>
      </w:r>
      <w:r w:rsidR="00005C52">
        <w:t>.</w:t>
      </w:r>
    </w:p>
    <w:p w:rsidR="00066793" w:rsidP="00066793" w14:paraId="5CD5B399" w14:textId="0D57EDD2">
      <w:pPr>
        <w:pStyle w:val="ParaNum"/>
        <w:widowControl/>
        <w:numPr>
          <w:ilvl w:val="0"/>
          <w:numId w:val="0"/>
        </w:numPr>
        <w:ind w:firstLine="720"/>
      </w:pPr>
    </w:p>
    <w:p w:rsidR="00066793" w:rsidP="00066793" w14:paraId="014B40B9" w14:textId="3EFEABDC">
      <w:pPr>
        <w:pStyle w:val="ParaNum"/>
        <w:widowControl/>
        <w:numPr>
          <w:ilvl w:val="0"/>
          <w:numId w:val="0"/>
        </w:numPr>
        <w:ind w:firstLine="720"/>
      </w:pPr>
    </w:p>
    <w:p w:rsidR="00066793" w:rsidP="00066793" w14:paraId="4B13E8AB" w14:textId="55D1D3F1">
      <w:pPr>
        <w:pStyle w:val="ParaNum"/>
        <w:widowControl/>
        <w:numPr>
          <w:ilvl w:val="0"/>
          <w:numId w:val="0"/>
        </w:numPr>
        <w:ind w:firstLine="720"/>
      </w:pPr>
    </w:p>
    <w:p w:rsidR="00066793" w:rsidP="00066793" w14:paraId="6DBCAD00" w14:textId="7A45BAC7">
      <w:pPr>
        <w:pStyle w:val="ParaNum"/>
        <w:widowControl/>
        <w:numPr>
          <w:ilvl w:val="0"/>
          <w:numId w:val="0"/>
        </w:numPr>
        <w:ind w:firstLine="720"/>
      </w:pPr>
    </w:p>
    <w:p w:rsidR="00066793" w:rsidP="00066793" w14:paraId="601B6624" w14:textId="162A6B0B">
      <w:pPr>
        <w:pStyle w:val="ParaNum"/>
        <w:widowControl/>
        <w:numPr>
          <w:ilvl w:val="0"/>
          <w:numId w:val="0"/>
        </w:numPr>
        <w:ind w:firstLine="720"/>
      </w:pPr>
    </w:p>
    <w:p w:rsidR="00066793" w:rsidP="00066793" w14:paraId="7459310D" w14:textId="1CBBB86F">
      <w:pPr>
        <w:pStyle w:val="ParaNum"/>
        <w:widowControl/>
        <w:numPr>
          <w:ilvl w:val="0"/>
          <w:numId w:val="0"/>
        </w:numPr>
        <w:ind w:firstLine="720"/>
      </w:pPr>
    </w:p>
    <w:p w:rsidR="00066793" w:rsidP="00066793" w14:paraId="689F45C6" w14:textId="77777777">
      <w:pPr>
        <w:pStyle w:val="ParaNum"/>
        <w:widowControl/>
        <w:numPr>
          <w:ilvl w:val="0"/>
          <w:numId w:val="0"/>
        </w:numPr>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2579"/>
        <w:gridCol w:w="2850"/>
        <w:gridCol w:w="2310"/>
      </w:tblGrid>
      <w:tr w14:paraId="7F0211A0" w14:textId="77777777" w:rsidTr="0010663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8753" w:type="dxa"/>
            <w:gridSpan w:val="4"/>
            <w:shd w:val="clear" w:color="auto" w:fill="E7E6E6" w:themeFill="background2"/>
          </w:tcPr>
          <w:p w:rsidR="00406608" w:rsidRPr="00406608" w:rsidP="00066793" w14:paraId="1CD9A7D3" w14:textId="754FDE55">
            <w:pPr>
              <w:pStyle w:val="ParaNum"/>
              <w:widowControl/>
              <w:numPr>
                <w:ilvl w:val="0"/>
                <w:numId w:val="0"/>
              </w:numPr>
              <w:jc w:val="center"/>
              <w:rPr>
                <w:b/>
                <w:bCs/>
              </w:rPr>
            </w:pPr>
            <w:r>
              <w:rPr>
                <w:b/>
                <w:bCs/>
              </w:rPr>
              <w:t>Table 4</w:t>
            </w:r>
          </w:p>
          <w:p w:rsidR="00005C52" w:rsidP="00066793" w14:paraId="41623B7C" w14:textId="5EE546CA">
            <w:pPr>
              <w:pStyle w:val="ParaNum"/>
              <w:widowControl/>
              <w:numPr>
                <w:ilvl w:val="0"/>
                <w:numId w:val="0"/>
              </w:numPr>
              <w:jc w:val="center"/>
            </w:pPr>
            <w:r>
              <w:t>Test Reception Rates</w:t>
            </w:r>
          </w:p>
          <w:p w:rsidR="00005C52" w:rsidP="00066793" w14:paraId="7090D32B" w14:textId="10066A49">
            <w:pPr>
              <w:pStyle w:val="ParaNum"/>
              <w:widowControl/>
              <w:numPr>
                <w:ilvl w:val="0"/>
                <w:numId w:val="0"/>
              </w:numPr>
              <w:jc w:val="center"/>
            </w:pPr>
            <w:r>
              <w:t xml:space="preserve">By </w:t>
            </w:r>
            <w:r w:rsidR="005F4569">
              <w:t>Generation of Wireless Network Technology</w:t>
            </w:r>
          </w:p>
        </w:tc>
      </w:tr>
      <w:tr w14:paraId="0030C605" w14:textId="77777777" w:rsidTr="0010663C">
        <w:tblPrEx>
          <w:tblW w:w="0" w:type="auto"/>
          <w:jc w:val="center"/>
          <w:tblLook w:val="04A0"/>
        </w:tblPrEx>
        <w:trPr>
          <w:jc w:val="center"/>
        </w:trPr>
        <w:tc>
          <w:tcPr>
            <w:tcW w:w="8753" w:type="dxa"/>
            <w:gridSpan w:val="4"/>
            <w:shd w:val="clear" w:color="auto" w:fill="4472C4" w:themeFill="accent1"/>
          </w:tcPr>
          <w:p w:rsidR="0010663C" w:rsidRPr="00406608" w:rsidP="00066793" w14:paraId="64D5FBFB" w14:textId="3A61923A">
            <w:pPr>
              <w:pStyle w:val="ParaNum"/>
              <w:widowControl/>
              <w:numPr>
                <w:ilvl w:val="0"/>
                <w:numId w:val="0"/>
              </w:numPr>
              <w:jc w:val="center"/>
              <w:rPr>
                <w:i/>
                <w:iCs/>
              </w:rPr>
            </w:pPr>
            <w:r>
              <w:rPr>
                <w:b/>
                <w:bCs/>
              </w:rPr>
              <w:t>Completed Survey Response</w:t>
            </w:r>
            <w:r w:rsidRPr="00406608">
              <w:rPr>
                <w:b/>
                <w:bCs/>
              </w:rPr>
              <w:t xml:space="preserve"> Results</w:t>
            </w:r>
          </w:p>
        </w:tc>
      </w:tr>
      <w:tr w14:paraId="010C5851" w14:textId="77777777" w:rsidTr="008242E0">
        <w:tblPrEx>
          <w:tblW w:w="0" w:type="auto"/>
          <w:jc w:val="center"/>
          <w:tblLook w:val="04A0"/>
        </w:tblPrEx>
        <w:trPr>
          <w:jc w:val="center"/>
        </w:trPr>
        <w:tc>
          <w:tcPr>
            <w:tcW w:w="1014" w:type="dxa"/>
            <w:shd w:val="clear" w:color="auto" w:fill="E7E6E6" w:themeFill="background2"/>
          </w:tcPr>
          <w:p w:rsidR="0010663C" w:rsidRPr="00406608" w:rsidP="00066793" w14:paraId="6A296EA1" w14:textId="77777777">
            <w:pPr>
              <w:pStyle w:val="ParaNum"/>
              <w:widowControl/>
              <w:numPr>
                <w:ilvl w:val="0"/>
                <w:numId w:val="0"/>
              </w:numPr>
              <w:jc w:val="center"/>
              <w:rPr>
                <w:b/>
                <w:bCs/>
              </w:rPr>
            </w:pPr>
          </w:p>
        </w:tc>
        <w:tc>
          <w:tcPr>
            <w:tcW w:w="2579" w:type="dxa"/>
            <w:shd w:val="clear" w:color="auto" w:fill="E7E6E6" w:themeFill="background2"/>
            <w:vAlign w:val="center"/>
          </w:tcPr>
          <w:p w:rsidR="0010663C" w:rsidRPr="00406608" w:rsidP="00066793" w14:paraId="7810FEAF" w14:textId="6F499E51">
            <w:pPr>
              <w:pStyle w:val="ParaNum"/>
              <w:widowControl/>
              <w:numPr>
                <w:ilvl w:val="0"/>
                <w:numId w:val="0"/>
              </w:numPr>
              <w:jc w:val="center"/>
              <w:rPr>
                <w:b/>
                <w:bCs/>
              </w:rPr>
            </w:pPr>
            <w:r w:rsidRPr="00406608">
              <w:rPr>
                <w:b/>
                <w:bCs/>
              </w:rPr>
              <w:t>Test Received</w:t>
            </w:r>
          </w:p>
        </w:tc>
        <w:tc>
          <w:tcPr>
            <w:tcW w:w="2850" w:type="dxa"/>
            <w:shd w:val="clear" w:color="auto" w:fill="E7E6E6" w:themeFill="background2"/>
            <w:vAlign w:val="center"/>
          </w:tcPr>
          <w:p w:rsidR="0010663C" w:rsidRPr="00406608" w:rsidP="00066793" w14:paraId="19C714C5" w14:textId="7B72942D">
            <w:pPr>
              <w:pStyle w:val="ParaNum"/>
              <w:widowControl/>
              <w:numPr>
                <w:ilvl w:val="0"/>
                <w:numId w:val="0"/>
              </w:numPr>
              <w:jc w:val="center"/>
              <w:rPr>
                <w:i/>
                <w:iCs/>
              </w:rPr>
            </w:pPr>
            <w:r w:rsidRPr="00406608">
              <w:rPr>
                <w:b/>
                <w:bCs/>
              </w:rPr>
              <w:t>Test not Received</w:t>
            </w:r>
          </w:p>
        </w:tc>
        <w:tc>
          <w:tcPr>
            <w:tcW w:w="2310" w:type="dxa"/>
            <w:shd w:val="clear" w:color="auto" w:fill="E7E6E6" w:themeFill="background2"/>
            <w:vAlign w:val="center"/>
          </w:tcPr>
          <w:p w:rsidR="0010663C" w:rsidRPr="00406608" w:rsidP="00066793" w14:paraId="627D6EB1" w14:textId="2C0E60F9">
            <w:pPr>
              <w:pStyle w:val="ParaNum"/>
              <w:widowControl/>
              <w:numPr>
                <w:ilvl w:val="0"/>
                <w:numId w:val="0"/>
              </w:numPr>
              <w:jc w:val="center"/>
              <w:rPr>
                <w:i/>
                <w:iCs/>
              </w:rPr>
            </w:pPr>
            <w:r w:rsidRPr="00406608">
              <w:rPr>
                <w:b/>
                <w:bCs/>
              </w:rPr>
              <w:t>Total Response Count</w:t>
            </w:r>
            <w:r w:rsidRPr="00406608">
              <w:rPr>
                <w:i/>
                <w:iCs/>
              </w:rPr>
              <w:t xml:space="preserve"> </w:t>
            </w:r>
          </w:p>
        </w:tc>
      </w:tr>
      <w:tr w14:paraId="55A355E3" w14:textId="77777777" w:rsidTr="003C6EE0">
        <w:tblPrEx>
          <w:tblW w:w="0" w:type="auto"/>
          <w:jc w:val="center"/>
          <w:tblLook w:val="04A0"/>
        </w:tblPrEx>
        <w:trPr>
          <w:jc w:val="center"/>
        </w:trPr>
        <w:tc>
          <w:tcPr>
            <w:tcW w:w="1014" w:type="dxa"/>
            <w:shd w:val="clear" w:color="auto" w:fill="auto"/>
            <w:vAlign w:val="center"/>
          </w:tcPr>
          <w:p w:rsidR="0010663C" w:rsidRPr="00406608" w:rsidP="00066793" w14:paraId="51A4D100" w14:textId="77777777">
            <w:pPr>
              <w:pStyle w:val="ParaNum"/>
              <w:widowControl/>
              <w:numPr>
                <w:ilvl w:val="0"/>
                <w:numId w:val="0"/>
              </w:numPr>
              <w:jc w:val="center"/>
              <w:rPr>
                <w:b/>
                <w:bCs/>
              </w:rPr>
            </w:pPr>
            <w:r w:rsidRPr="00406608">
              <w:rPr>
                <w:b/>
                <w:bCs/>
              </w:rPr>
              <w:t>3G</w:t>
            </w:r>
          </w:p>
        </w:tc>
        <w:tc>
          <w:tcPr>
            <w:tcW w:w="2579" w:type="dxa"/>
            <w:shd w:val="clear" w:color="auto" w:fill="auto"/>
            <w:vAlign w:val="center"/>
          </w:tcPr>
          <w:p w:rsidR="0010663C" w:rsidRPr="003C6EE0" w:rsidP="00066793" w14:paraId="0E082BA7" w14:textId="63E05F23">
            <w:pPr>
              <w:pStyle w:val="ParaNum"/>
              <w:widowControl/>
              <w:numPr>
                <w:ilvl w:val="0"/>
                <w:numId w:val="0"/>
              </w:numPr>
              <w:jc w:val="center"/>
            </w:pPr>
            <w:r w:rsidRPr="003C6EE0">
              <w:t>33.3%</w:t>
            </w:r>
          </w:p>
        </w:tc>
        <w:tc>
          <w:tcPr>
            <w:tcW w:w="2850" w:type="dxa"/>
            <w:shd w:val="clear" w:color="auto" w:fill="auto"/>
            <w:vAlign w:val="center"/>
          </w:tcPr>
          <w:p w:rsidR="0010663C" w:rsidRPr="007316D1" w:rsidP="00066793" w14:paraId="312D01E4" w14:textId="09F9AF90">
            <w:pPr>
              <w:pStyle w:val="ParaNum"/>
              <w:widowControl/>
              <w:numPr>
                <w:ilvl w:val="0"/>
                <w:numId w:val="0"/>
              </w:numPr>
              <w:jc w:val="center"/>
              <w:rPr>
                <w:i/>
                <w:iCs/>
              </w:rPr>
            </w:pPr>
            <w:r w:rsidRPr="003C6EE0">
              <w:t>66.7%</w:t>
            </w:r>
          </w:p>
        </w:tc>
        <w:tc>
          <w:tcPr>
            <w:tcW w:w="2310" w:type="dxa"/>
            <w:shd w:val="clear" w:color="auto" w:fill="auto"/>
            <w:vAlign w:val="center"/>
          </w:tcPr>
          <w:p w:rsidR="0010663C" w:rsidRPr="007316D1" w:rsidP="00066793" w14:paraId="0B6FA897" w14:textId="0A66740E">
            <w:pPr>
              <w:pStyle w:val="ParaNum"/>
              <w:widowControl/>
              <w:numPr>
                <w:ilvl w:val="0"/>
                <w:numId w:val="0"/>
              </w:numPr>
              <w:jc w:val="center"/>
              <w:rPr>
                <w:i/>
                <w:iCs/>
              </w:rPr>
            </w:pPr>
            <w:r w:rsidRPr="003C6EE0">
              <w:t>6</w:t>
            </w:r>
          </w:p>
        </w:tc>
      </w:tr>
      <w:tr w14:paraId="1D6D9E2D" w14:textId="77777777" w:rsidTr="003C6EE0">
        <w:tblPrEx>
          <w:tblW w:w="0" w:type="auto"/>
          <w:jc w:val="center"/>
          <w:tblLook w:val="04A0"/>
        </w:tblPrEx>
        <w:trPr>
          <w:jc w:val="center"/>
        </w:trPr>
        <w:tc>
          <w:tcPr>
            <w:tcW w:w="1014" w:type="dxa"/>
            <w:shd w:val="clear" w:color="auto" w:fill="auto"/>
            <w:vAlign w:val="center"/>
          </w:tcPr>
          <w:p w:rsidR="0010663C" w:rsidRPr="00406608" w:rsidP="00066793" w14:paraId="7622C5AB" w14:textId="77777777">
            <w:pPr>
              <w:pStyle w:val="ParaNum"/>
              <w:widowControl/>
              <w:numPr>
                <w:ilvl w:val="0"/>
                <w:numId w:val="0"/>
              </w:numPr>
              <w:jc w:val="center"/>
              <w:rPr>
                <w:b/>
                <w:bCs/>
              </w:rPr>
            </w:pPr>
            <w:r w:rsidRPr="00406608">
              <w:rPr>
                <w:b/>
                <w:bCs/>
              </w:rPr>
              <w:t>4G</w:t>
            </w:r>
          </w:p>
        </w:tc>
        <w:tc>
          <w:tcPr>
            <w:tcW w:w="2579" w:type="dxa"/>
            <w:shd w:val="clear" w:color="auto" w:fill="auto"/>
            <w:vAlign w:val="center"/>
          </w:tcPr>
          <w:p w:rsidR="0010663C" w:rsidRPr="003C6EE0" w:rsidP="00066793" w14:paraId="1CEC7FE6" w14:textId="19CD6C6B">
            <w:pPr>
              <w:pStyle w:val="ParaNum"/>
              <w:widowControl/>
              <w:numPr>
                <w:ilvl w:val="0"/>
                <w:numId w:val="0"/>
              </w:numPr>
              <w:jc w:val="center"/>
            </w:pPr>
            <w:r w:rsidRPr="003C6EE0">
              <w:t>91.6%</w:t>
            </w:r>
          </w:p>
        </w:tc>
        <w:tc>
          <w:tcPr>
            <w:tcW w:w="2850" w:type="dxa"/>
            <w:shd w:val="clear" w:color="auto" w:fill="auto"/>
            <w:vAlign w:val="center"/>
          </w:tcPr>
          <w:p w:rsidR="0010663C" w:rsidRPr="007316D1" w:rsidP="00066793" w14:paraId="1018CBA3" w14:textId="594C659B">
            <w:pPr>
              <w:pStyle w:val="ParaNum"/>
              <w:widowControl/>
              <w:numPr>
                <w:ilvl w:val="0"/>
                <w:numId w:val="0"/>
              </w:numPr>
              <w:jc w:val="center"/>
              <w:rPr>
                <w:i/>
                <w:iCs/>
              </w:rPr>
            </w:pPr>
            <w:r w:rsidRPr="003C6EE0">
              <w:t>8.4%</w:t>
            </w:r>
          </w:p>
        </w:tc>
        <w:tc>
          <w:tcPr>
            <w:tcW w:w="2310" w:type="dxa"/>
            <w:shd w:val="clear" w:color="auto" w:fill="auto"/>
            <w:vAlign w:val="center"/>
          </w:tcPr>
          <w:p w:rsidR="0010663C" w:rsidRPr="007316D1" w:rsidP="00066793" w14:paraId="60B1BB5C" w14:textId="783E1ADC">
            <w:pPr>
              <w:pStyle w:val="ParaNum"/>
              <w:widowControl/>
              <w:numPr>
                <w:ilvl w:val="0"/>
                <w:numId w:val="0"/>
              </w:numPr>
              <w:jc w:val="center"/>
              <w:rPr>
                <w:i/>
                <w:iCs/>
              </w:rPr>
            </w:pPr>
            <w:r w:rsidRPr="003C6EE0">
              <w:t>178</w:t>
            </w:r>
          </w:p>
        </w:tc>
      </w:tr>
      <w:tr w14:paraId="7B5A026A" w14:textId="77777777" w:rsidTr="003C6EE0">
        <w:tblPrEx>
          <w:tblW w:w="0" w:type="auto"/>
          <w:jc w:val="center"/>
          <w:tblLook w:val="04A0"/>
        </w:tblPrEx>
        <w:trPr>
          <w:jc w:val="center"/>
        </w:trPr>
        <w:tc>
          <w:tcPr>
            <w:tcW w:w="1014" w:type="dxa"/>
            <w:shd w:val="clear" w:color="auto" w:fill="auto"/>
            <w:vAlign w:val="center"/>
          </w:tcPr>
          <w:p w:rsidR="0010663C" w:rsidRPr="00406608" w:rsidP="00066793" w14:paraId="1159F174" w14:textId="77777777">
            <w:pPr>
              <w:pStyle w:val="ParaNum"/>
              <w:widowControl/>
              <w:numPr>
                <w:ilvl w:val="0"/>
                <w:numId w:val="0"/>
              </w:numPr>
              <w:jc w:val="center"/>
              <w:rPr>
                <w:b/>
                <w:bCs/>
              </w:rPr>
            </w:pPr>
            <w:r w:rsidRPr="00406608">
              <w:rPr>
                <w:b/>
                <w:bCs/>
              </w:rPr>
              <w:t>5G</w:t>
            </w:r>
          </w:p>
        </w:tc>
        <w:tc>
          <w:tcPr>
            <w:tcW w:w="2579" w:type="dxa"/>
            <w:shd w:val="clear" w:color="auto" w:fill="auto"/>
            <w:vAlign w:val="center"/>
          </w:tcPr>
          <w:p w:rsidR="0010663C" w:rsidRPr="003C6EE0" w:rsidP="00066793" w14:paraId="41343F26" w14:textId="0B051A10">
            <w:pPr>
              <w:pStyle w:val="ParaNum"/>
              <w:widowControl/>
              <w:numPr>
                <w:ilvl w:val="0"/>
                <w:numId w:val="0"/>
              </w:numPr>
              <w:jc w:val="center"/>
            </w:pPr>
            <w:r w:rsidRPr="003C6EE0">
              <w:t>90.7%</w:t>
            </w:r>
          </w:p>
        </w:tc>
        <w:tc>
          <w:tcPr>
            <w:tcW w:w="2850" w:type="dxa"/>
            <w:shd w:val="clear" w:color="auto" w:fill="auto"/>
            <w:vAlign w:val="center"/>
          </w:tcPr>
          <w:p w:rsidR="0010663C" w:rsidRPr="007316D1" w:rsidP="00066793" w14:paraId="77431F27" w14:textId="1DE56E7F">
            <w:pPr>
              <w:pStyle w:val="ParaNum"/>
              <w:widowControl/>
              <w:numPr>
                <w:ilvl w:val="0"/>
                <w:numId w:val="0"/>
              </w:numPr>
              <w:jc w:val="center"/>
              <w:rPr>
                <w:i/>
                <w:iCs/>
              </w:rPr>
            </w:pPr>
            <w:r w:rsidRPr="003C6EE0">
              <w:t>9.3%</w:t>
            </w:r>
          </w:p>
        </w:tc>
        <w:tc>
          <w:tcPr>
            <w:tcW w:w="2310" w:type="dxa"/>
            <w:shd w:val="clear" w:color="auto" w:fill="auto"/>
            <w:vAlign w:val="center"/>
          </w:tcPr>
          <w:p w:rsidR="0010663C" w:rsidRPr="007316D1" w:rsidP="00066793" w14:paraId="0F4C40AE" w14:textId="52AADA4F">
            <w:pPr>
              <w:pStyle w:val="ParaNum"/>
              <w:widowControl/>
              <w:numPr>
                <w:ilvl w:val="0"/>
                <w:numId w:val="0"/>
              </w:numPr>
              <w:jc w:val="center"/>
              <w:rPr>
                <w:i/>
                <w:iCs/>
              </w:rPr>
            </w:pPr>
            <w:r w:rsidRPr="003C6EE0">
              <w:t>97</w:t>
            </w:r>
          </w:p>
        </w:tc>
      </w:tr>
      <w:tr w14:paraId="28E30ECB" w14:textId="77777777" w:rsidTr="003C6EE0">
        <w:tblPrEx>
          <w:tblW w:w="0" w:type="auto"/>
          <w:jc w:val="center"/>
          <w:tblLook w:val="04A0"/>
        </w:tblPrEx>
        <w:trPr>
          <w:jc w:val="center"/>
        </w:trPr>
        <w:tc>
          <w:tcPr>
            <w:tcW w:w="1014" w:type="dxa"/>
            <w:shd w:val="clear" w:color="auto" w:fill="auto"/>
            <w:vAlign w:val="center"/>
          </w:tcPr>
          <w:p w:rsidR="0010663C" w:rsidRPr="00406608" w:rsidP="00066793" w14:paraId="471B86FB" w14:textId="77777777">
            <w:pPr>
              <w:pStyle w:val="ParaNum"/>
              <w:widowControl/>
              <w:numPr>
                <w:ilvl w:val="0"/>
                <w:numId w:val="0"/>
              </w:numPr>
              <w:jc w:val="center"/>
              <w:rPr>
                <w:b/>
                <w:bCs/>
              </w:rPr>
            </w:pPr>
            <w:r w:rsidRPr="00406608">
              <w:rPr>
                <w:b/>
                <w:bCs/>
              </w:rPr>
              <w:t>Total</w:t>
            </w:r>
          </w:p>
        </w:tc>
        <w:tc>
          <w:tcPr>
            <w:tcW w:w="5429" w:type="dxa"/>
            <w:gridSpan w:val="2"/>
            <w:shd w:val="clear" w:color="auto" w:fill="auto"/>
            <w:vAlign w:val="center"/>
          </w:tcPr>
          <w:p w:rsidR="0010663C" w:rsidRPr="007316D1" w:rsidP="00066793" w14:paraId="4CC4D07A" w14:textId="7F85D845">
            <w:pPr>
              <w:pStyle w:val="ParaNum"/>
              <w:widowControl/>
              <w:numPr>
                <w:ilvl w:val="0"/>
                <w:numId w:val="0"/>
              </w:numPr>
              <w:jc w:val="center"/>
              <w:rPr>
                <w:i/>
                <w:iCs/>
              </w:rPr>
            </w:pPr>
          </w:p>
        </w:tc>
        <w:tc>
          <w:tcPr>
            <w:tcW w:w="2310" w:type="dxa"/>
            <w:shd w:val="clear" w:color="auto" w:fill="auto"/>
            <w:vAlign w:val="center"/>
          </w:tcPr>
          <w:p w:rsidR="0010663C" w:rsidRPr="007316D1" w:rsidP="00066793" w14:paraId="5A4BCC22" w14:textId="033AEFB5">
            <w:pPr>
              <w:pStyle w:val="ParaNum"/>
              <w:widowControl/>
              <w:numPr>
                <w:ilvl w:val="0"/>
                <w:numId w:val="0"/>
              </w:numPr>
              <w:jc w:val="center"/>
              <w:rPr>
                <w:i/>
                <w:iCs/>
              </w:rPr>
            </w:pPr>
            <w:r w:rsidRPr="003C6EE0">
              <w:t>281</w:t>
            </w:r>
          </w:p>
        </w:tc>
      </w:tr>
    </w:tbl>
    <w:p w:rsidR="00005C52" w:rsidP="00066793" w14:paraId="29BB3E71" w14:textId="77777777">
      <w:pPr>
        <w:pStyle w:val="ParaNum"/>
        <w:widowControl/>
        <w:numPr>
          <w:ilvl w:val="0"/>
          <w:numId w:val="0"/>
        </w:numPr>
        <w:ind w:left="720"/>
      </w:pPr>
    </w:p>
    <w:p w:rsidR="00005C52" w:rsidRPr="0063666B" w:rsidP="00066793" w14:paraId="0F572D7A" w14:textId="63E8FDC6">
      <w:pPr>
        <w:pStyle w:val="ParaNum"/>
        <w:widowControl/>
        <w:numPr>
          <w:ilvl w:val="0"/>
          <w:numId w:val="0"/>
        </w:numPr>
      </w:pPr>
      <w:r>
        <w:t>Th</w:t>
      </w:r>
      <w:r w:rsidR="002B2CD2">
        <w:t>e</w:t>
      </w:r>
      <w:r>
        <w:t xml:space="preserve"> </w:t>
      </w:r>
      <w:r w:rsidR="00307F05">
        <w:t xml:space="preserve">completed survey </w:t>
      </w:r>
      <w:r>
        <w:t xml:space="preserve">data indicate that Participating CMS Provider support WEA using </w:t>
      </w:r>
      <w:r w:rsidR="00E02E89">
        <w:t xml:space="preserve">all </w:t>
      </w:r>
      <w:r>
        <w:t>wireless network technologies</w:t>
      </w:r>
      <w:r w:rsidR="00E02E89">
        <w:t xml:space="preserve"> (2G, 3G, 4G, and 5G)</w:t>
      </w:r>
      <w:r>
        <w:t>.</w:t>
      </w:r>
      <w:r>
        <w:rPr>
          <w:rStyle w:val="FootnoteReference"/>
        </w:rPr>
        <w:footnoteReference w:id="52"/>
      </w:r>
      <w:r>
        <w:t xml:space="preserve">  </w:t>
      </w:r>
      <w:r w:rsidR="00572FED">
        <w:t>It also</w:t>
      </w:r>
      <w:r>
        <w:t xml:space="preserve"> indicates that 9</w:t>
      </w:r>
      <w:r w:rsidR="009113B5">
        <w:t>1</w:t>
      </w:r>
      <w:r>
        <w:t>.</w:t>
      </w:r>
      <w:r w:rsidR="009113B5">
        <w:t>6</w:t>
      </w:r>
      <w:r>
        <w:t>% of mobile devices that were connected to a 4G network received the nationwide WEA test as compared to 9</w:t>
      </w:r>
      <w:r w:rsidR="009113B5">
        <w:t>0</w:t>
      </w:r>
      <w:r>
        <w:t>.</w:t>
      </w:r>
      <w:r w:rsidR="009113B5">
        <w:t>7</w:t>
      </w:r>
      <w:r>
        <w:t xml:space="preserve">% of mobile devices in the </w:t>
      </w:r>
      <w:r w:rsidR="00F77113">
        <w:t>data set</w:t>
      </w:r>
      <w:r>
        <w:t xml:space="preserve"> that were connected to a 5G network.  </w:t>
      </w:r>
      <w:r w:rsidR="004F7FCB">
        <w:t>T</w:t>
      </w:r>
      <w:r>
        <w:t xml:space="preserve">he number of </w:t>
      </w:r>
      <w:r w:rsidR="00307F05">
        <w:t xml:space="preserve">completed survey </w:t>
      </w:r>
      <w:r>
        <w:t xml:space="preserve">respondents </w:t>
      </w:r>
      <w:r w:rsidR="00307F05">
        <w:t>who</w:t>
      </w:r>
      <w:r w:rsidR="004F7FCB">
        <w:t xml:space="preserve"> </w:t>
      </w:r>
      <w:r w:rsidR="005B74D3">
        <w:t xml:space="preserve">report having been </w:t>
      </w:r>
      <w:r>
        <w:t>connected to a 3G network at the time FEMA sent the nationwide WEA test</w:t>
      </w:r>
      <w:r w:rsidR="005F6237">
        <w:t>, however,</w:t>
      </w:r>
      <w:r>
        <w:t xml:space="preserve"> is not sufficient to make a statistically significant finding</w:t>
      </w:r>
      <w:r w:rsidR="004F7FCB">
        <w:t xml:space="preserve"> </w:t>
      </w:r>
      <w:r w:rsidR="00BF7690">
        <w:t>in this regard</w:t>
      </w:r>
      <w:r>
        <w:t xml:space="preserve">.  </w:t>
      </w:r>
    </w:p>
    <w:p w:rsidR="00DE049F" w:rsidP="00066793" w14:paraId="74560F8C" w14:textId="40B06674">
      <w:pPr>
        <w:pStyle w:val="Heading4"/>
        <w:widowControl/>
      </w:pPr>
      <w:bookmarkStart w:id="96" w:name="_Toc83909789"/>
      <w:bookmarkStart w:id="97" w:name="_Toc83911814"/>
      <w:bookmarkStart w:id="98" w:name="_Toc84335318"/>
      <w:bookmarkStart w:id="99" w:name="_Toc84933028"/>
      <w:bookmarkStart w:id="100" w:name="_Toc85552923"/>
      <w:bookmarkStart w:id="101" w:name="_Toc84926094"/>
      <w:bookmarkStart w:id="102" w:name="_Toc83909790"/>
      <w:bookmarkStart w:id="103" w:name="_Toc83911815"/>
      <w:bookmarkStart w:id="104" w:name="_Toc84335319"/>
      <w:bookmarkStart w:id="105" w:name="_Toc84597874"/>
      <w:r>
        <w:t xml:space="preserve">By Mobile Device WEA </w:t>
      </w:r>
      <w:bookmarkEnd w:id="96"/>
      <w:bookmarkEnd w:id="97"/>
      <w:bookmarkEnd w:id="98"/>
      <w:bookmarkEnd w:id="99"/>
      <w:r w:rsidR="00392E7D">
        <w:t>Capabilities</w:t>
      </w:r>
      <w:bookmarkEnd w:id="100"/>
      <w:r w:rsidRPr="0091629C" w:rsidR="00392E7D">
        <w:t xml:space="preserve"> </w:t>
      </w:r>
    </w:p>
    <w:p w:rsidR="00DE049F" w:rsidP="00066793" w14:paraId="249F6B37" w14:textId="4144B9C3">
      <w:pPr>
        <w:pStyle w:val="ParaNum"/>
        <w:widowControl/>
      </w:pPr>
      <w:bookmarkStart w:id="106" w:name="_Hlk84258390"/>
      <w:r w:rsidRPr="00E63C58">
        <w:t xml:space="preserve">The </w:t>
      </w:r>
      <w:r w:rsidR="00416E67">
        <w:t>N</w:t>
      </w:r>
      <w:r w:rsidRPr="00E63C58">
        <w:t xml:space="preserve">ationwide WEA </w:t>
      </w:r>
      <w:r w:rsidR="00416E67">
        <w:t>T</w:t>
      </w:r>
      <w:r w:rsidRPr="00E63C58">
        <w:t xml:space="preserve">est </w:t>
      </w:r>
      <w:r w:rsidR="00416E67">
        <w:t>S</w:t>
      </w:r>
      <w:r w:rsidRPr="00E63C58">
        <w:t xml:space="preserve">urvey asked respondents </w:t>
      </w:r>
      <w:r>
        <w:t>what</w:t>
      </w:r>
      <w:r w:rsidR="00392E7D">
        <w:t xml:space="preserve"> wireless provider and</w:t>
      </w:r>
      <w:r>
        <w:t xml:space="preserve"> mobile device </w:t>
      </w:r>
      <w:r w:rsidR="00392E7D">
        <w:t xml:space="preserve">make and model </w:t>
      </w:r>
      <w:r>
        <w:t>they used to participate in the nationwide WEA test</w:t>
      </w:r>
      <w:r w:rsidRPr="00E63C58">
        <w:t xml:space="preserve">. </w:t>
      </w:r>
      <w:r>
        <w:t xml:space="preserve"> </w:t>
      </w:r>
      <w:r w:rsidR="00276205">
        <w:t xml:space="preserve">PSHSB used </w:t>
      </w:r>
      <w:r w:rsidR="00392E7D">
        <w:t xml:space="preserve">this information in conjunction with </w:t>
      </w:r>
      <w:r w:rsidR="00276205">
        <w:t xml:space="preserve">publicly available information provided by CMS Providers </w:t>
      </w:r>
      <w:bookmarkEnd w:id="106"/>
      <w:r>
        <w:t xml:space="preserve">to determine </w:t>
      </w:r>
      <w:r w:rsidR="00276205">
        <w:t>which WEA capabilities</w:t>
      </w:r>
      <w:r>
        <w:t xml:space="preserve"> those mobile devices support.</w:t>
      </w:r>
      <w:r>
        <w:rPr>
          <w:rStyle w:val="FootnoteReference"/>
        </w:rPr>
        <w:footnoteReference w:id="53"/>
      </w:r>
      <w:r>
        <w:t xml:space="preserve">  </w:t>
      </w:r>
      <w:r w:rsidR="00392E7D">
        <w:t xml:space="preserve">A subset of mobile devices that CMS Providers </w:t>
      </w:r>
      <w:r w:rsidR="00AF5F44">
        <w:t xml:space="preserve">offer as “WEA-capable” support the </w:t>
      </w:r>
      <w:r>
        <w:t xml:space="preserve">WEA requirements that the Commission adopted </w:t>
      </w:r>
      <w:r w:rsidR="00AF5F44">
        <w:t>in</w:t>
      </w:r>
      <w:r>
        <w:t xml:space="preserve"> 2016, including support for up to 360 characters of alphanumeric text, embedded references, Spanish-language alerts, and, critically, the State/Local WEA Test </w:t>
      </w:r>
      <w:r w:rsidR="00BB4E88">
        <w:t xml:space="preserve">Alert </w:t>
      </w:r>
      <w:r>
        <w:t xml:space="preserve">used for this nationwide WEA test.  </w:t>
      </w:r>
      <w:r w:rsidR="00AF5F44">
        <w:t xml:space="preserve">A smaller subset of those devices also </w:t>
      </w:r>
      <w:r>
        <w:t>support for enhanced WEA geo-targeting.</w:t>
      </w:r>
      <w:r w:rsidR="006C0071">
        <w:t xml:space="preserve"> </w:t>
      </w:r>
      <w:r>
        <w:t xml:space="preserve"> </w:t>
      </w:r>
      <w:r w:rsidRPr="00E63C58">
        <w:rPr>
          <w:b/>
          <w:bCs/>
        </w:rPr>
        <w:t xml:space="preserve">Table </w:t>
      </w:r>
      <w:r w:rsidR="003E2B0F">
        <w:rPr>
          <w:b/>
          <w:bCs/>
        </w:rPr>
        <w:t>5</w:t>
      </w:r>
      <w:r w:rsidRPr="00E63C58">
        <w:t xml:space="preserve"> shows </w:t>
      </w:r>
      <w:r>
        <w:t xml:space="preserve">the rate at which respondents received the nationwide WEA test by CMS Provider-identified WEA </w:t>
      </w:r>
      <w:r w:rsidR="00AF5F44">
        <w:t>capabilities</w:t>
      </w:r>
      <w:r w:rsidRPr="00E63C58">
        <w:t xml:space="preserve">.  </w:t>
      </w:r>
    </w:p>
    <w:p w:rsidR="00066793" w:rsidP="00066793" w14:paraId="049738D9" w14:textId="386C897D">
      <w:pPr>
        <w:pStyle w:val="ParaNum"/>
        <w:widowControl/>
        <w:numPr>
          <w:ilvl w:val="0"/>
          <w:numId w:val="0"/>
        </w:numPr>
        <w:ind w:firstLine="720"/>
      </w:pPr>
    </w:p>
    <w:p w:rsidR="00066793" w:rsidP="00066793" w14:paraId="36E36424" w14:textId="4C8589DA">
      <w:pPr>
        <w:pStyle w:val="ParaNum"/>
        <w:widowControl/>
        <w:numPr>
          <w:ilvl w:val="0"/>
          <w:numId w:val="0"/>
        </w:numPr>
        <w:ind w:firstLine="720"/>
      </w:pPr>
    </w:p>
    <w:p w:rsidR="00066793" w:rsidP="00066793" w14:paraId="3A0642B1" w14:textId="1D39599E">
      <w:pPr>
        <w:pStyle w:val="ParaNum"/>
        <w:widowControl/>
        <w:numPr>
          <w:ilvl w:val="0"/>
          <w:numId w:val="0"/>
        </w:numPr>
        <w:ind w:firstLine="720"/>
      </w:pPr>
    </w:p>
    <w:p w:rsidR="00066793" w:rsidP="00066793" w14:paraId="3C2FC9A8" w14:textId="105801E8">
      <w:pPr>
        <w:pStyle w:val="ParaNum"/>
        <w:widowControl/>
        <w:numPr>
          <w:ilvl w:val="0"/>
          <w:numId w:val="0"/>
        </w:numPr>
        <w:ind w:firstLine="720"/>
      </w:pPr>
    </w:p>
    <w:p w:rsidR="00066793" w:rsidP="00066793" w14:paraId="1B4DECE3" w14:textId="17857E82">
      <w:pPr>
        <w:pStyle w:val="ParaNum"/>
        <w:widowControl/>
        <w:numPr>
          <w:ilvl w:val="0"/>
          <w:numId w:val="0"/>
        </w:numPr>
        <w:ind w:firstLine="720"/>
      </w:pPr>
    </w:p>
    <w:p w:rsidR="00066793" w:rsidP="00066793" w14:paraId="775303FC" w14:textId="46CCD4AE">
      <w:pPr>
        <w:pStyle w:val="ParaNum"/>
        <w:widowControl/>
        <w:numPr>
          <w:ilvl w:val="0"/>
          <w:numId w:val="0"/>
        </w:numPr>
        <w:ind w:firstLine="720"/>
      </w:pPr>
    </w:p>
    <w:p w:rsidR="00066793" w:rsidP="00066793" w14:paraId="3B07F40C" w14:textId="77777777">
      <w:pPr>
        <w:pStyle w:val="ParaNum"/>
        <w:widowControl/>
        <w:numPr>
          <w:ilvl w:val="0"/>
          <w:numId w:val="0"/>
        </w:numPr>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1"/>
        <w:gridCol w:w="2579"/>
        <w:gridCol w:w="2850"/>
        <w:gridCol w:w="2310"/>
      </w:tblGrid>
      <w:tr w14:paraId="7D31F1F0" w14:textId="77777777" w:rsidTr="00605E7D">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080" w:type="dxa"/>
            <w:gridSpan w:val="4"/>
            <w:shd w:val="clear" w:color="auto" w:fill="E7E6E6" w:themeFill="background2"/>
          </w:tcPr>
          <w:p w:rsidR="003E2B0F" w:rsidRPr="003E2B0F" w:rsidP="00066793" w14:paraId="7BBB9039" w14:textId="797D02D3">
            <w:pPr>
              <w:pStyle w:val="ParaNum"/>
              <w:widowControl/>
              <w:numPr>
                <w:ilvl w:val="0"/>
                <w:numId w:val="0"/>
              </w:numPr>
              <w:jc w:val="center"/>
              <w:rPr>
                <w:b/>
                <w:bCs/>
              </w:rPr>
            </w:pPr>
            <w:r>
              <w:rPr>
                <w:b/>
                <w:bCs/>
              </w:rPr>
              <w:t>Table 5</w:t>
            </w:r>
          </w:p>
          <w:p w:rsidR="00DE049F" w:rsidP="00066793" w14:paraId="5AC2EF76" w14:textId="2CF630D1">
            <w:pPr>
              <w:pStyle w:val="ParaNum"/>
              <w:widowControl/>
              <w:numPr>
                <w:ilvl w:val="0"/>
                <w:numId w:val="0"/>
              </w:numPr>
              <w:jc w:val="center"/>
            </w:pPr>
            <w:r>
              <w:t>Test Reception Rates</w:t>
            </w:r>
          </w:p>
          <w:p w:rsidR="00DE049F" w:rsidP="00066793" w14:paraId="0369641A" w14:textId="77777777">
            <w:pPr>
              <w:pStyle w:val="ParaNum"/>
              <w:widowControl/>
              <w:numPr>
                <w:ilvl w:val="0"/>
                <w:numId w:val="0"/>
              </w:numPr>
              <w:jc w:val="center"/>
            </w:pPr>
            <w:r>
              <w:t>By CMS Provider-identified Mobile Device Version</w:t>
            </w:r>
          </w:p>
        </w:tc>
      </w:tr>
      <w:tr w14:paraId="7CBF19AA" w14:textId="77777777" w:rsidTr="00605E7D">
        <w:tblPrEx>
          <w:tblW w:w="0" w:type="auto"/>
          <w:jc w:val="center"/>
          <w:tblLook w:val="04A0"/>
        </w:tblPrEx>
        <w:trPr>
          <w:jc w:val="center"/>
        </w:trPr>
        <w:tc>
          <w:tcPr>
            <w:tcW w:w="9080" w:type="dxa"/>
            <w:gridSpan w:val="4"/>
            <w:shd w:val="clear" w:color="auto" w:fill="4472C4" w:themeFill="accent1"/>
          </w:tcPr>
          <w:p w:rsidR="0010663C" w:rsidRPr="003E2B0F" w:rsidP="00066793" w14:paraId="3A7384EC" w14:textId="4C8FDEA2">
            <w:pPr>
              <w:pStyle w:val="ParaNum"/>
              <w:widowControl/>
              <w:numPr>
                <w:ilvl w:val="0"/>
                <w:numId w:val="0"/>
              </w:numPr>
              <w:jc w:val="center"/>
              <w:rPr>
                <w:i/>
                <w:iCs/>
              </w:rPr>
            </w:pPr>
            <w:r>
              <w:rPr>
                <w:b/>
                <w:bCs/>
              </w:rPr>
              <w:t>Completed Survey Response</w:t>
            </w:r>
            <w:r w:rsidRPr="003E2B0F">
              <w:rPr>
                <w:b/>
                <w:bCs/>
              </w:rPr>
              <w:t xml:space="preserve"> Results</w:t>
            </w:r>
          </w:p>
        </w:tc>
      </w:tr>
      <w:tr w14:paraId="2A401B96" w14:textId="77777777" w:rsidTr="00605E7D">
        <w:tblPrEx>
          <w:tblW w:w="0" w:type="auto"/>
          <w:jc w:val="center"/>
          <w:tblLook w:val="04A0"/>
        </w:tblPrEx>
        <w:trPr>
          <w:jc w:val="center"/>
        </w:trPr>
        <w:tc>
          <w:tcPr>
            <w:tcW w:w="1341" w:type="dxa"/>
            <w:shd w:val="clear" w:color="auto" w:fill="E7E6E6" w:themeFill="background2"/>
            <w:vAlign w:val="center"/>
          </w:tcPr>
          <w:p w:rsidR="0010663C" w:rsidP="00066793" w14:paraId="4A48855E" w14:textId="77777777">
            <w:pPr>
              <w:pStyle w:val="ParaNum"/>
              <w:widowControl/>
              <w:numPr>
                <w:ilvl w:val="0"/>
                <w:numId w:val="0"/>
              </w:numPr>
              <w:jc w:val="center"/>
            </w:pPr>
          </w:p>
        </w:tc>
        <w:tc>
          <w:tcPr>
            <w:tcW w:w="2579" w:type="dxa"/>
            <w:shd w:val="clear" w:color="auto" w:fill="E7E6E6" w:themeFill="background2"/>
            <w:vAlign w:val="center"/>
          </w:tcPr>
          <w:p w:rsidR="0010663C" w:rsidRPr="003E2B0F" w:rsidP="00066793" w14:paraId="0EB057E4" w14:textId="34B2A4BD">
            <w:pPr>
              <w:pStyle w:val="ParaNum"/>
              <w:widowControl/>
              <w:numPr>
                <w:ilvl w:val="0"/>
                <w:numId w:val="0"/>
              </w:numPr>
              <w:jc w:val="center"/>
              <w:rPr>
                <w:b/>
                <w:bCs/>
              </w:rPr>
            </w:pPr>
            <w:r w:rsidRPr="003E2B0F">
              <w:rPr>
                <w:b/>
                <w:bCs/>
              </w:rPr>
              <w:t>Test Received</w:t>
            </w:r>
          </w:p>
        </w:tc>
        <w:tc>
          <w:tcPr>
            <w:tcW w:w="2850" w:type="dxa"/>
            <w:shd w:val="clear" w:color="auto" w:fill="E7E6E6" w:themeFill="background2"/>
            <w:vAlign w:val="center"/>
          </w:tcPr>
          <w:p w:rsidR="0010663C" w:rsidRPr="003E2B0F" w:rsidP="00066793" w14:paraId="13B6A082" w14:textId="456AF98E">
            <w:pPr>
              <w:pStyle w:val="ParaNum"/>
              <w:widowControl/>
              <w:numPr>
                <w:ilvl w:val="0"/>
                <w:numId w:val="0"/>
              </w:numPr>
              <w:jc w:val="center"/>
              <w:rPr>
                <w:i/>
                <w:iCs/>
              </w:rPr>
            </w:pPr>
            <w:r w:rsidRPr="003E2B0F">
              <w:rPr>
                <w:b/>
                <w:bCs/>
              </w:rPr>
              <w:t>Test not Received</w:t>
            </w:r>
          </w:p>
        </w:tc>
        <w:tc>
          <w:tcPr>
            <w:tcW w:w="2310" w:type="dxa"/>
            <w:shd w:val="clear" w:color="auto" w:fill="E7E6E6" w:themeFill="background2"/>
            <w:vAlign w:val="center"/>
          </w:tcPr>
          <w:p w:rsidR="0010663C" w:rsidRPr="003E2B0F" w:rsidP="00066793" w14:paraId="6CE50D67" w14:textId="21BB7D5B">
            <w:pPr>
              <w:pStyle w:val="ParaNum"/>
              <w:widowControl/>
              <w:numPr>
                <w:ilvl w:val="0"/>
                <w:numId w:val="0"/>
              </w:numPr>
              <w:jc w:val="center"/>
              <w:rPr>
                <w:i/>
                <w:iCs/>
              </w:rPr>
            </w:pPr>
            <w:r w:rsidRPr="003E2B0F">
              <w:rPr>
                <w:b/>
                <w:bCs/>
              </w:rPr>
              <w:t>Total Response Count</w:t>
            </w:r>
          </w:p>
        </w:tc>
      </w:tr>
      <w:tr w14:paraId="3EDCF486" w14:textId="77777777" w:rsidTr="00605E7D">
        <w:tblPrEx>
          <w:tblW w:w="0" w:type="auto"/>
          <w:jc w:val="center"/>
          <w:tblLook w:val="04A0"/>
        </w:tblPrEx>
        <w:trPr>
          <w:jc w:val="center"/>
        </w:trPr>
        <w:tc>
          <w:tcPr>
            <w:tcW w:w="1341" w:type="dxa"/>
            <w:shd w:val="clear" w:color="auto" w:fill="auto"/>
            <w:vAlign w:val="center"/>
          </w:tcPr>
          <w:p w:rsidR="0010663C" w:rsidRPr="003C6EE0" w:rsidP="00066793" w14:paraId="786F0402" w14:textId="0FE0A2E2">
            <w:pPr>
              <w:pStyle w:val="ParaNum"/>
              <w:widowControl/>
              <w:numPr>
                <w:ilvl w:val="0"/>
                <w:numId w:val="0"/>
              </w:numPr>
              <w:jc w:val="center"/>
              <w:rPr>
                <w:b/>
                <w:bCs/>
              </w:rPr>
            </w:pPr>
            <w:r w:rsidRPr="003C6EE0">
              <w:rPr>
                <w:b/>
                <w:bCs/>
              </w:rPr>
              <w:t>2016 WEA Capabilities</w:t>
            </w:r>
          </w:p>
        </w:tc>
        <w:tc>
          <w:tcPr>
            <w:tcW w:w="2579" w:type="dxa"/>
            <w:shd w:val="clear" w:color="auto" w:fill="auto"/>
            <w:vAlign w:val="center"/>
          </w:tcPr>
          <w:p w:rsidR="0010663C" w:rsidRPr="003C6EE0" w:rsidP="00066793" w14:paraId="689F2550" w14:textId="06B57F4A">
            <w:pPr>
              <w:pStyle w:val="ParaNum"/>
              <w:widowControl/>
              <w:numPr>
                <w:ilvl w:val="0"/>
                <w:numId w:val="0"/>
              </w:numPr>
              <w:jc w:val="center"/>
            </w:pPr>
            <w:r w:rsidRPr="003C6EE0">
              <w:t>88.4%</w:t>
            </w:r>
          </w:p>
        </w:tc>
        <w:tc>
          <w:tcPr>
            <w:tcW w:w="2850" w:type="dxa"/>
            <w:shd w:val="clear" w:color="auto" w:fill="auto"/>
            <w:vAlign w:val="center"/>
          </w:tcPr>
          <w:p w:rsidR="0010663C" w:rsidRPr="007316D1" w:rsidP="00066793" w14:paraId="64C7B1DA" w14:textId="15D24A95">
            <w:pPr>
              <w:pStyle w:val="ParaNum"/>
              <w:widowControl/>
              <w:numPr>
                <w:ilvl w:val="0"/>
                <w:numId w:val="0"/>
              </w:numPr>
              <w:jc w:val="center"/>
              <w:rPr>
                <w:i/>
                <w:iCs/>
              </w:rPr>
            </w:pPr>
            <w:r w:rsidRPr="003C6EE0">
              <w:t>11.6%</w:t>
            </w:r>
          </w:p>
        </w:tc>
        <w:tc>
          <w:tcPr>
            <w:tcW w:w="2310" w:type="dxa"/>
            <w:shd w:val="clear" w:color="auto" w:fill="auto"/>
            <w:vAlign w:val="center"/>
          </w:tcPr>
          <w:p w:rsidR="0010663C" w:rsidRPr="007316D1" w:rsidP="00066793" w14:paraId="5AA9CAFB" w14:textId="5BA82AED">
            <w:pPr>
              <w:pStyle w:val="ParaNum"/>
              <w:widowControl/>
              <w:numPr>
                <w:ilvl w:val="0"/>
                <w:numId w:val="0"/>
              </w:numPr>
              <w:jc w:val="center"/>
              <w:rPr>
                <w:i/>
                <w:iCs/>
              </w:rPr>
            </w:pPr>
            <w:r w:rsidRPr="003C6EE0">
              <w:t>301</w:t>
            </w:r>
          </w:p>
        </w:tc>
      </w:tr>
      <w:tr w14:paraId="725AD9B3" w14:textId="77777777" w:rsidTr="00605E7D">
        <w:tblPrEx>
          <w:tblW w:w="0" w:type="auto"/>
          <w:jc w:val="center"/>
          <w:tblLook w:val="04A0"/>
        </w:tblPrEx>
        <w:trPr>
          <w:trHeight w:val="70"/>
          <w:jc w:val="center"/>
        </w:trPr>
        <w:tc>
          <w:tcPr>
            <w:tcW w:w="1341" w:type="dxa"/>
            <w:shd w:val="clear" w:color="auto" w:fill="auto"/>
            <w:vAlign w:val="center"/>
          </w:tcPr>
          <w:p w:rsidR="0010663C" w:rsidRPr="003C6EE0" w:rsidP="00066793" w14:paraId="3D9D7D64" w14:textId="6DAE3D10">
            <w:pPr>
              <w:pStyle w:val="ParaNum"/>
              <w:widowControl/>
              <w:numPr>
                <w:ilvl w:val="0"/>
                <w:numId w:val="0"/>
              </w:numPr>
              <w:jc w:val="center"/>
              <w:rPr>
                <w:b/>
                <w:bCs/>
              </w:rPr>
            </w:pPr>
            <w:r w:rsidRPr="003C6EE0">
              <w:rPr>
                <w:b/>
                <w:bCs/>
              </w:rPr>
              <w:t>Full WEA Capabilities</w:t>
            </w:r>
          </w:p>
        </w:tc>
        <w:tc>
          <w:tcPr>
            <w:tcW w:w="2579" w:type="dxa"/>
            <w:shd w:val="clear" w:color="auto" w:fill="auto"/>
            <w:vAlign w:val="center"/>
          </w:tcPr>
          <w:p w:rsidR="0010663C" w:rsidRPr="003C6EE0" w:rsidP="00066793" w14:paraId="7C632321" w14:textId="1FDA71FF">
            <w:pPr>
              <w:pStyle w:val="ParaNum"/>
              <w:widowControl/>
              <w:numPr>
                <w:ilvl w:val="0"/>
                <w:numId w:val="0"/>
              </w:numPr>
              <w:jc w:val="center"/>
            </w:pPr>
            <w:r w:rsidRPr="003C6EE0">
              <w:t>100%</w:t>
            </w:r>
          </w:p>
        </w:tc>
        <w:tc>
          <w:tcPr>
            <w:tcW w:w="2850" w:type="dxa"/>
            <w:shd w:val="clear" w:color="auto" w:fill="auto"/>
            <w:vAlign w:val="center"/>
          </w:tcPr>
          <w:p w:rsidR="0010663C" w:rsidRPr="007316D1" w:rsidP="00066793" w14:paraId="11DF3260" w14:textId="11CBB370">
            <w:pPr>
              <w:pStyle w:val="ParaNum"/>
              <w:widowControl/>
              <w:numPr>
                <w:ilvl w:val="0"/>
                <w:numId w:val="0"/>
              </w:numPr>
              <w:jc w:val="center"/>
              <w:rPr>
                <w:i/>
                <w:iCs/>
              </w:rPr>
            </w:pPr>
            <w:r w:rsidRPr="003C6EE0">
              <w:t>0.0%</w:t>
            </w:r>
          </w:p>
        </w:tc>
        <w:tc>
          <w:tcPr>
            <w:tcW w:w="2310" w:type="dxa"/>
            <w:shd w:val="clear" w:color="auto" w:fill="auto"/>
            <w:vAlign w:val="center"/>
          </w:tcPr>
          <w:p w:rsidR="0010663C" w:rsidRPr="007316D1" w:rsidP="00066793" w14:paraId="1A0CA677" w14:textId="305674B7">
            <w:pPr>
              <w:pStyle w:val="ParaNum"/>
              <w:widowControl/>
              <w:numPr>
                <w:ilvl w:val="0"/>
                <w:numId w:val="0"/>
              </w:numPr>
              <w:jc w:val="center"/>
              <w:rPr>
                <w:i/>
                <w:iCs/>
              </w:rPr>
            </w:pPr>
            <w:r w:rsidRPr="003C6EE0">
              <w:t>41</w:t>
            </w:r>
          </w:p>
        </w:tc>
      </w:tr>
      <w:tr w14:paraId="72276AA8" w14:textId="77777777" w:rsidTr="00605E7D">
        <w:tblPrEx>
          <w:tblW w:w="0" w:type="auto"/>
          <w:jc w:val="center"/>
          <w:tblLook w:val="04A0"/>
        </w:tblPrEx>
        <w:trPr>
          <w:jc w:val="center"/>
        </w:trPr>
        <w:tc>
          <w:tcPr>
            <w:tcW w:w="1341" w:type="dxa"/>
            <w:shd w:val="clear" w:color="auto" w:fill="auto"/>
            <w:vAlign w:val="center"/>
          </w:tcPr>
          <w:p w:rsidR="0010663C" w:rsidRPr="003C6EE0" w:rsidP="00066793" w14:paraId="225EAA41" w14:textId="77777777">
            <w:pPr>
              <w:pStyle w:val="ParaNum"/>
              <w:widowControl/>
              <w:numPr>
                <w:ilvl w:val="0"/>
                <w:numId w:val="0"/>
              </w:numPr>
              <w:jc w:val="center"/>
              <w:rPr>
                <w:b/>
                <w:bCs/>
              </w:rPr>
            </w:pPr>
            <w:r w:rsidRPr="003C6EE0">
              <w:rPr>
                <w:b/>
                <w:bCs/>
              </w:rPr>
              <w:t>Total</w:t>
            </w:r>
          </w:p>
        </w:tc>
        <w:tc>
          <w:tcPr>
            <w:tcW w:w="5429" w:type="dxa"/>
            <w:gridSpan w:val="2"/>
            <w:shd w:val="clear" w:color="auto" w:fill="auto"/>
            <w:vAlign w:val="center"/>
          </w:tcPr>
          <w:p w:rsidR="0010663C" w:rsidRPr="007316D1" w:rsidP="00066793" w14:paraId="2BBABB3D" w14:textId="7FC861ED">
            <w:pPr>
              <w:pStyle w:val="ParaNum"/>
              <w:widowControl/>
              <w:numPr>
                <w:ilvl w:val="0"/>
                <w:numId w:val="0"/>
              </w:numPr>
              <w:jc w:val="center"/>
              <w:rPr>
                <w:i/>
                <w:iCs/>
              </w:rPr>
            </w:pPr>
          </w:p>
        </w:tc>
        <w:tc>
          <w:tcPr>
            <w:tcW w:w="2310" w:type="dxa"/>
            <w:shd w:val="clear" w:color="auto" w:fill="auto"/>
            <w:vAlign w:val="center"/>
          </w:tcPr>
          <w:p w:rsidR="0010663C" w:rsidRPr="007316D1" w:rsidP="00066793" w14:paraId="681E6C23" w14:textId="4F0E3DA7">
            <w:pPr>
              <w:pStyle w:val="ParaNum"/>
              <w:widowControl/>
              <w:numPr>
                <w:ilvl w:val="0"/>
                <w:numId w:val="0"/>
              </w:numPr>
              <w:jc w:val="center"/>
              <w:rPr>
                <w:i/>
                <w:iCs/>
              </w:rPr>
            </w:pPr>
            <w:r w:rsidRPr="003C6EE0">
              <w:t>342</w:t>
            </w:r>
          </w:p>
        </w:tc>
      </w:tr>
    </w:tbl>
    <w:p w:rsidR="00DE049F" w:rsidP="00066793" w14:paraId="6D33971B" w14:textId="77777777">
      <w:pPr>
        <w:pStyle w:val="ParaNum"/>
        <w:widowControl/>
        <w:numPr>
          <w:ilvl w:val="0"/>
          <w:numId w:val="0"/>
        </w:numPr>
        <w:ind w:left="720"/>
      </w:pPr>
    </w:p>
    <w:p w:rsidR="00DE049F" w:rsidRPr="00D711C1" w:rsidP="00066793" w14:paraId="6F38CC2F" w14:textId="783541FE">
      <w:pPr>
        <w:pStyle w:val="ParaNum"/>
        <w:widowControl/>
        <w:numPr>
          <w:ilvl w:val="0"/>
          <w:numId w:val="0"/>
        </w:numPr>
      </w:pPr>
      <w:r>
        <w:t xml:space="preserve">The </w:t>
      </w:r>
      <w:r w:rsidR="00307F05">
        <w:t>completed survey</w:t>
      </w:r>
      <w:r w:rsidR="005B74D3">
        <w:t xml:space="preserve"> </w:t>
      </w:r>
      <w:r>
        <w:t xml:space="preserve">data indicate that 88.4% of mobile devices </w:t>
      </w:r>
      <w:r w:rsidR="00AF5F44">
        <w:t xml:space="preserve">with </w:t>
      </w:r>
      <w:r w:rsidR="00146EDC">
        <w:t>2016</w:t>
      </w:r>
      <w:r w:rsidR="00AF5F44">
        <w:t xml:space="preserve"> WEA capabilities</w:t>
      </w:r>
      <w:r>
        <w:t xml:space="preserve"> received the nationwide WEA test and that 100% of mobile devices </w:t>
      </w:r>
      <w:r w:rsidR="00AF5F44">
        <w:t>with full WEA capabilities</w:t>
      </w:r>
      <w:r>
        <w:t xml:space="preserve"> received the nationwide WEA test.</w:t>
      </w:r>
      <w:r>
        <w:rPr>
          <w:rStyle w:val="FootnoteReference"/>
        </w:rPr>
        <w:footnoteReference w:id="54"/>
      </w:r>
      <w:r>
        <w:t xml:space="preserve">  </w:t>
      </w:r>
      <w:r w:rsidR="005B74D3">
        <w:t>Based on the analysis of this data set, m</w:t>
      </w:r>
      <w:r w:rsidR="006C0071">
        <w:t xml:space="preserve">obile devices </w:t>
      </w:r>
      <w:r w:rsidR="00AF5F44">
        <w:t>with full WEA capabilities</w:t>
      </w:r>
      <w:r w:rsidRPr="006C0071" w:rsidR="006C0071">
        <w:t xml:space="preserve"> appear to have delivered the nationwide WEA test </w:t>
      </w:r>
      <w:r w:rsidR="006C0071">
        <w:t>more reliably</w:t>
      </w:r>
      <w:r w:rsidRPr="006C0071" w:rsidR="006C0071">
        <w:t xml:space="preserve"> than </w:t>
      </w:r>
      <w:r w:rsidR="006C0071">
        <w:t xml:space="preserve">mobile devices </w:t>
      </w:r>
      <w:r w:rsidR="00AF5F44">
        <w:t xml:space="preserve">with </w:t>
      </w:r>
      <w:r w:rsidR="00146EDC">
        <w:t>2016</w:t>
      </w:r>
      <w:r w:rsidR="00AF5F44">
        <w:t xml:space="preserve"> WEA capabilities</w:t>
      </w:r>
      <w:r w:rsidR="006C0071">
        <w:t xml:space="preserve">.  </w:t>
      </w:r>
      <w:r w:rsidR="00FD513A">
        <w:t xml:space="preserve">PSHSB will continue to evaluate the reliability of various WEA-capable mobile devices and assess whether less capable devices, including the oldest WEA-capable devices, have a significantly lower rate of WEA alert reception.  </w:t>
      </w:r>
    </w:p>
    <w:p w:rsidR="00967FDF" w:rsidP="00066793" w14:paraId="70AA532F" w14:textId="4C703C4D">
      <w:pPr>
        <w:pStyle w:val="Heading4"/>
        <w:widowControl/>
      </w:pPr>
      <w:bookmarkStart w:id="107" w:name="_Toc84933029"/>
      <w:bookmarkStart w:id="108" w:name="_Toc85552924"/>
      <w:r>
        <w:t xml:space="preserve">By </w:t>
      </w:r>
      <w:r w:rsidR="000039DA">
        <w:t xml:space="preserve">Mobile </w:t>
      </w:r>
      <w:r>
        <w:t>Device Manufacturer</w:t>
      </w:r>
      <w:bookmarkEnd w:id="101"/>
      <w:bookmarkEnd w:id="102"/>
      <w:bookmarkEnd w:id="103"/>
      <w:bookmarkEnd w:id="104"/>
      <w:bookmarkEnd w:id="105"/>
      <w:bookmarkEnd w:id="107"/>
      <w:bookmarkEnd w:id="108"/>
    </w:p>
    <w:p w:rsidR="000039DA" w:rsidP="00066793" w14:paraId="2D65FC1F" w14:textId="6A0751B3">
      <w:pPr>
        <w:pStyle w:val="ParaNum"/>
        <w:widowControl/>
      </w:pPr>
      <w:r>
        <w:t>Based on the Nationwide WEA Test Survey data, PSHSB finds no statistical difference between the performance of WEA among different brands of mobile device.</w:t>
      </w:r>
      <w:r>
        <w:rPr>
          <w:rStyle w:val="FootnoteReference"/>
        </w:rPr>
        <w:footnoteReference w:id="55"/>
      </w:r>
      <w:r>
        <w:t xml:space="preserve">  </w:t>
      </w:r>
      <w:r w:rsidRPr="000039DA">
        <w:t xml:space="preserve">The </w:t>
      </w:r>
      <w:r>
        <w:t>N</w:t>
      </w:r>
      <w:r w:rsidRPr="000039DA">
        <w:t xml:space="preserve">ationwide WEA </w:t>
      </w:r>
      <w:r>
        <w:t>T</w:t>
      </w:r>
      <w:r w:rsidRPr="000039DA">
        <w:t xml:space="preserve">est </w:t>
      </w:r>
      <w:r>
        <w:t>S</w:t>
      </w:r>
      <w:r w:rsidRPr="000039DA">
        <w:t xml:space="preserve">urvey asked respondents to identify their </w:t>
      </w:r>
      <w:r>
        <w:t>mobile device manufacturer</w:t>
      </w:r>
      <w:r w:rsidRPr="000039DA">
        <w:t xml:space="preserve">. </w:t>
      </w:r>
      <w:r w:rsidR="00572FED">
        <w:t xml:space="preserve"> </w:t>
      </w:r>
      <w:r w:rsidRPr="000039DA">
        <w:rPr>
          <w:b/>
          <w:bCs/>
        </w:rPr>
        <w:t xml:space="preserve">Table </w:t>
      </w:r>
      <w:r w:rsidR="006C0071">
        <w:rPr>
          <w:b/>
          <w:bCs/>
        </w:rPr>
        <w:t>6</w:t>
      </w:r>
      <w:r w:rsidRPr="000039DA">
        <w:t xml:space="preserve"> shows how reliably </w:t>
      </w:r>
      <w:r w:rsidR="00995D5E">
        <w:t xml:space="preserve">different brands of mobile device </w:t>
      </w:r>
      <w:r w:rsidRPr="000039DA">
        <w:t xml:space="preserve">delivered the </w:t>
      </w:r>
      <w:r w:rsidR="00A83951">
        <w:t>nationwide WEA test</w:t>
      </w:r>
      <w:r w:rsidRPr="000039DA">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2579"/>
        <w:gridCol w:w="2850"/>
        <w:gridCol w:w="2310"/>
      </w:tblGrid>
      <w:tr w14:paraId="16CD33D6" w14:textId="77777777" w:rsidTr="0010663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8774" w:type="dxa"/>
            <w:gridSpan w:val="4"/>
            <w:shd w:val="clear" w:color="auto" w:fill="E7E6E6" w:themeFill="background2"/>
          </w:tcPr>
          <w:p w:rsidR="00406608" w:rsidRPr="00406608" w:rsidP="00066793" w14:paraId="2011E40A" w14:textId="77F10844">
            <w:pPr>
              <w:pStyle w:val="ParaNum"/>
              <w:widowControl/>
              <w:numPr>
                <w:ilvl w:val="0"/>
                <w:numId w:val="0"/>
              </w:numPr>
              <w:jc w:val="center"/>
              <w:rPr>
                <w:b/>
                <w:bCs/>
              </w:rPr>
            </w:pPr>
            <w:r>
              <w:rPr>
                <w:b/>
                <w:bCs/>
              </w:rPr>
              <w:t xml:space="preserve">Table </w:t>
            </w:r>
            <w:r w:rsidR="006C0071">
              <w:rPr>
                <w:b/>
                <w:bCs/>
              </w:rPr>
              <w:t>6</w:t>
            </w:r>
          </w:p>
          <w:p w:rsidR="00662917" w:rsidP="00066793" w14:paraId="33D25F27" w14:textId="1548AC97">
            <w:pPr>
              <w:pStyle w:val="ParaNum"/>
              <w:widowControl/>
              <w:numPr>
                <w:ilvl w:val="0"/>
                <w:numId w:val="0"/>
              </w:numPr>
              <w:jc w:val="center"/>
            </w:pPr>
            <w:r>
              <w:t>Test Reception Rates</w:t>
            </w:r>
          </w:p>
          <w:p w:rsidR="00662917" w:rsidP="00066793" w14:paraId="2899292C" w14:textId="50DB220F">
            <w:pPr>
              <w:pStyle w:val="ParaNum"/>
              <w:widowControl/>
              <w:numPr>
                <w:ilvl w:val="0"/>
                <w:numId w:val="0"/>
              </w:numPr>
              <w:jc w:val="center"/>
            </w:pPr>
            <w:r>
              <w:t>By Device Manufacturer</w:t>
            </w:r>
          </w:p>
        </w:tc>
      </w:tr>
      <w:tr w14:paraId="23B77708" w14:textId="77777777" w:rsidTr="0010663C">
        <w:tblPrEx>
          <w:tblW w:w="0" w:type="auto"/>
          <w:jc w:val="center"/>
          <w:tblLook w:val="04A0"/>
        </w:tblPrEx>
        <w:trPr>
          <w:jc w:val="center"/>
        </w:trPr>
        <w:tc>
          <w:tcPr>
            <w:tcW w:w="8774" w:type="dxa"/>
            <w:gridSpan w:val="4"/>
            <w:shd w:val="clear" w:color="auto" w:fill="4472C4" w:themeFill="accent1"/>
          </w:tcPr>
          <w:p w:rsidR="0010663C" w:rsidRPr="00406608" w:rsidP="00066793" w14:paraId="1221549B" w14:textId="09B7F866">
            <w:pPr>
              <w:pStyle w:val="ParaNum"/>
              <w:widowControl/>
              <w:numPr>
                <w:ilvl w:val="0"/>
                <w:numId w:val="0"/>
              </w:numPr>
              <w:jc w:val="center"/>
              <w:rPr>
                <w:i/>
                <w:iCs/>
              </w:rPr>
            </w:pPr>
            <w:r>
              <w:rPr>
                <w:b/>
                <w:bCs/>
              </w:rPr>
              <w:t>Completed Survey Response</w:t>
            </w:r>
            <w:r w:rsidRPr="00406608">
              <w:rPr>
                <w:b/>
                <w:bCs/>
              </w:rPr>
              <w:t xml:space="preserve"> Results</w:t>
            </w:r>
          </w:p>
        </w:tc>
      </w:tr>
      <w:tr w14:paraId="3EFF11E3" w14:textId="77777777" w:rsidTr="008242E0">
        <w:tblPrEx>
          <w:tblW w:w="0" w:type="auto"/>
          <w:jc w:val="center"/>
          <w:tblLook w:val="04A0"/>
        </w:tblPrEx>
        <w:trPr>
          <w:jc w:val="center"/>
        </w:trPr>
        <w:tc>
          <w:tcPr>
            <w:tcW w:w="1035" w:type="dxa"/>
            <w:shd w:val="clear" w:color="auto" w:fill="E7E6E6" w:themeFill="background2"/>
            <w:vAlign w:val="center"/>
          </w:tcPr>
          <w:p w:rsidR="0010663C" w:rsidP="00066793" w14:paraId="505E34A3" w14:textId="77777777">
            <w:pPr>
              <w:pStyle w:val="ParaNum"/>
              <w:widowControl/>
              <w:numPr>
                <w:ilvl w:val="0"/>
                <w:numId w:val="0"/>
              </w:numPr>
              <w:jc w:val="center"/>
            </w:pPr>
          </w:p>
        </w:tc>
        <w:tc>
          <w:tcPr>
            <w:tcW w:w="2579" w:type="dxa"/>
            <w:shd w:val="clear" w:color="auto" w:fill="E7E6E6" w:themeFill="background2"/>
            <w:vAlign w:val="center"/>
          </w:tcPr>
          <w:p w:rsidR="0010663C" w:rsidRPr="00406608" w:rsidP="00066793" w14:paraId="1E8C480C" w14:textId="77777777">
            <w:pPr>
              <w:pStyle w:val="ParaNum"/>
              <w:widowControl/>
              <w:numPr>
                <w:ilvl w:val="0"/>
                <w:numId w:val="0"/>
              </w:numPr>
              <w:jc w:val="center"/>
              <w:rPr>
                <w:b/>
                <w:bCs/>
              </w:rPr>
            </w:pPr>
            <w:r w:rsidRPr="00406608">
              <w:rPr>
                <w:b/>
                <w:bCs/>
              </w:rPr>
              <w:t>Test Received</w:t>
            </w:r>
          </w:p>
          <w:p w:rsidR="0010663C" w:rsidRPr="00406608" w:rsidP="00066793" w14:paraId="75306AB7" w14:textId="71C106D1">
            <w:pPr>
              <w:pStyle w:val="ParaNum"/>
              <w:widowControl/>
              <w:numPr>
                <w:ilvl w:val="0"/>
                <w:numId w:val="0"/>
              </w:numPr>
              <w:jc w:val="center"/>
              <w:rPr>
                <w:b/>
                <w:bCs/>
              </w:rPr>
            </w:pPr>
          </w:p>
        </w:tc>
        <w:tc>
          <w:tcPr>
            <w:tcW w:w="2850" w:type="dxa"/>
            <w:shd w:val="clear" w:color="auto" w:fill="E7E6E6" w:themeFill="background2"/>
            <w:vAlign w:val="center"/>
          </w:tcPr>
          <w:p w:rsidR="0010663C" w:rsidRPr="00406608" w:rsidP="00066793" w14:paraId="55989EE5" w14:textId="578A6D05">
            <w:pPr>
              <w:pStyle w:val="ParaNum"/>
              <w:widowControl/>
              <w:numPr>
                <w:ilvl w:val="0"/>
                <w:numId w:val="0"/>
              </w:numPr>
              <w:jc w:val="center"/>
              <w:rPr>
                <w:b/>
                <w:bCs/>
              </w:rPr>
            </w:pPr>
            <w:r w:rsidRPr="00406608">
              <w:rPr>
                <w:b/>
                <w:bCs/>
              </w:rPr>
              <w:t>Test not Received</w:t>
            </w:r>
          </w:p>
          <w:p w:rsidR="0010663C" w:rsidRPr="00406608" w:rsidP="00066793" w14:paraId="5154339D" w14:textId="74853F17">
            <w:pPr>
              <w:pStyle w:val="ParaNum"/>
              <w:widowControl/>
              <w:numPr>
                <w:ilvl w:val="0"/>
                <w:numId w:val="0"/>
              </w:numPr>
              <w:jc w:val="center"/>
              <w:rPr>
                <w:i/>
                <w:iCs/>
              </w:rPr>
            </w:pPr>
          </w:p>
        </w:tc>
        <w:tc>
          <w:tcPr>
            <w:tcW w:w="2310" w:type="dxa"/>
            <w:shd w:val="clear" w:color="auto" w:fill="E7E6E6" w:themeFill="background2"/>
            <w:vAlign w:val="center"/>
          </w:tcPr>
          <w:p w:rsidR="0010663C" w:rsidRPr="00406608" w:rsidP="00066793" w14:paraId="4F7EB3AA" w14:textId="36D2533C">
            <w:pPr>
              <w:pStyle w:val="ParaNum"/>
              <w:widowControl/>
              <w:numPr>
                <w:ilvl w:val="0"/>
                <w:numId w:val="0"/>
              </w:numPr>
              <w:jc w:val="center"/>
              <w:rPr>
                <w:i/>
                <w:iCs/>
              </w:rPr>
            </w:pPr>
            <w:r w:rsidRPr="00406608">
              <w:rPr>
                <w:b/>
                <w:bCs/>
              </w:rPr>
              <w:t>Total Response Count</w:t>
            </w:r>
          </w:p>
          <w:p w:rsidR="0010663C" w:rsidRPr="00406608" w:rsidP="00066793" w14:paraId="6E293C66" w14:textId="704E7A8A">
            <w:pPr>
              <w:pStyle w:val="ParaNum"/>
              <w:widowControl/>
              <w:numPr>
                <w:ilvl w:val="0"/>
                <w:numId w:val="0"/>
              </w:numPr>
              <w:jc w:val="center"/>
              <w:rPr>
                <w:i/>
                <w:iCs/>
              </w:rPr>
            </w:pPr>
          </w:p>
        </w:tc>
      </w:tr>
      <w:tr w14:paraId="7623C7DF" w14:textId="77777777" w:rsidTr="008242E0">
        <w:tblPrEx>
          <w:tblW w:w="0" w:type="auto"/>
          <w:jc w:val="center"/>
          <w:tblLook w:val="04A0"/>
        </w:tblPrEx>
        <w:trPr>
          <w:jc w:val="center"/>
        </w:trPr>
        <w:tc>
          <w:tcPr>
            <w:tcW w:w="1035" w:type="dxa"/>
            <w:shd w:val="clear" w:color="auto" w:fill="auto"/>
          </w:tcPr>
          <w:p w:rsidR="0010663C" w:rsidRPr="003C6EE0" w:rsidP="00066793" w14:paraId="5A5DFC9E" w14:textId="1F724D8E">
            <w:pPr>
              <w:pStyle w:val="ParaNum"/>
              <w:widowControl/>
              <w:numPr>
                <w:ilvl w:val="0"/>
                <w:numId w:val="0"/>
              </w:numPr>
              <w:jc w:val="center"/>
              <w:rPr>
                <w:b/>
                <w:bCs/>
              </w:rPr>
            </w:pPr>
            <w:r w:rsidRPr="003C6EE0">
              <w:rPr>
                <w:b/>
                <w:bCs/>
              </w:rPr>
              <w:t>Apple</w:t>
            </w:r>
          </w:p>
        </w:tc>
        <w:tc>
          <w:tcPr>
            <w:tcW w:w="2579" w:type="dxa"/>
            <w:shd w:val="clear" w:color="auto" w:fill="auto"/>
          </w:tcPr>
          <w:p w:rsidR="0010663C" w:rsidRPr="003C6EE0" w:rsidP="00066793" w14:paraId="3F4CF08C" w14:textId="59EFB850">
            <w:pPr>
              <w:pStyle w:val="ParaNum"/>
              <w:widowControl/>
              <w:numPr>
                <w:ilvl w:val="0"/>
                <w:numId w:val="0"/>
              </w:numPr>
              <w:jc w:val="center"/>
            </w:pPr>
            <w:r w:rsidRPr="003C6EE0">
              <w:t>90.4%</w:t>
            </w:r>
          </w:p>
        </w:tc>
        <w:tc>
          <w:tcPr>
            <w:tcW w:w="2850" w:type="dxa"/>
            <w:shd w:val="clear" w:color="auto" w:fill="auto"/>
          </w:tcPr>
          <w:p w:rsidR="0010663C" w:rsidRPr="007316D1" w:rsidP="00066793" w14:paraId="0B43070F" w14:textId="41E41874">
            <w:pPr>
              <w:pStyle w:val="ParaNum"/>
              <w:widowControl/>
              <w:numPr>
                <w:ilvl w:val="0"/>
                <w:numId w:val="0"/>
              </w:numPr>
              <w:jc w:val="center"/>
              <w:rPr>
                <w:i/>
                <w:iCs/>
              </w:rPr>
            </w:pPr>
            <w:r w:rsidRPr="003C6EE0">
              <w:t>9.6%</w:t>
            </w:r>
          </w:p>
        </w:tc>
        <w:tc>
          <w:tcPr>
            <w:tcW w:w="2310" w:type="dxa"/>
            <w:shd w:val="clear" w:color="auto" w:fill="auto"/>
          </w:tcPr>
          <w:p w:rsidR="0010663C" w:rsidRPr="007316D1" w:rsidP="00066793" w14:paraId="33D46497" w14:textId="0B764C84">
            <w:pPr>
              <w:pStyle w:val="ParaNum"/>
              <w:widowControl/>
              <w:numPr>
                <w:ilvl w:val="0"/>
                <w:numId w:val="0"/>
              </w:numPr>
              <w:jc w:val="center"/>
              <w:rPr>
                <w:i/>
                <w:iCs/>
              </w:rPr>
            </w:pPr>
            <w:r w:rsidRPr="003C6EE0">
              <w:t>228</w:t>
            </w:r>
          </w:p>
        </w:tc>
      </w:tr>
      <w:tr w14:paraId="2CE9E2CB" w14:textId="77777777" w:rsidTr="008242E0">
        <w:tblPrEx>
          <w:tblW w:w="0" w:type="auto"/>
          <w:jc w:val="center"/>
          <w:tblLook w:val="04A0"/>
        </w:tblPrEx>
        <w:trPr>
          <w:trHeight w:val="70"/>
          <w:jc w:val="center"/>
        </w:trPr>
        <w:tc>
          <w:tcPr>
            <w:tcW w:w="1035" w:type="dxa"/>
            <w:shd w:val="clear" w:color="auto" w:fill="auto"/>
          </w:tcPr>
          <w:p w:rsidR="0010663C" w:rsidRPr="003C6EE0" w:rsidP="00066793" w14:paraId="55B7C01B" w14:textId="5CD7BDA0">
            <w:pPr>
              <w:pStyle w:val="ParaNum"/>
              <w:widowControl/>
              <w:numPr>
                <w:ilvl w:val="0"/>
                <w:numId w:val="0"/>
              </w:numPr>
              <w:jc w:val="center"/>
              <w:rPr>
                <w:b/>
                <w:bCs/>
              </w:rPr>
            </w:pPr>
            <w:r w:rsidRPr="003C6EE0">
              <w:rPr>
                <w:b/>
                <w:bCs/>
              </w:rPr>
              <w:t>Samsung</w:t>
            </w:r>
          </w:p>
        </w:tc>
        <w:tc>
          <w:tcPr>
            <w:tcW w:w="2579" w:type="dxa"/>
            <w:shd w:val="clear" w:color="auto" w:fill="auto"/>
          </w:tcPr>
          <w:p w:rsidR="0010663C" w:rsidRPr="003C6EE0" w:rsidP="00066793" w14:paraId="26F3B27F" w14:textId="397FF290">
            <w:pPr>
              <w:pStyle w:val="ParaNum"/>
              <w:widowControl/>
              <w:numPr>
                <w:ilvl w:val="0"/>
                <w:numId w:val="0"/>
              </w:numPr>
              <w:jc w:val="center"/>
            </w:pPr>
            <w:r w:rsidRPr="003C6EE0">
              <w:t>86.8%</w:t>
            </w:r>
          </w:p>
        </w:tc>
        <w:tc>
          <w:tcPr>
            <w:tcW w:w="2850" w:type="dxa"/>
            <w:shd w:val="clear" w:color="auto" w:fill="auto"/>
          </w:tcPr>
          <w:p w:rsidR="0010663C" w:rsidRPr="007316D1" w:rsidP="00066793" w14:paraId="7E3B8F82" w14:textId="19E37996">
            <w:pPr>
              <w:pStyle w:val="ParaNum"/>
              <w:widowControl/>
              <w:numPr>
                <w:ilvl w:val="0"/>
                <w:numId w:val="0"/>
              </w:numPr>
              <w:jc w:val="center"/>
              <w:rPr>
                <w:i/>
                <w:iCs/>
              </w:rPr>
            </w:pPr>
            <w:r w:rsidRPr="003C6EE0">
              <w:t>13.2%</w:t>
            </w:r>
          </w:p>
        </w:tc>
        <w:tc>
          <w:tcPr>
            <w:tcW w:w="2310" w:type="dxa"/>
            <w:shd w:val="clear" w:color="auto" w:fill="auto"/>
          </w:tcPr>
          <w:p w:rsidR="0010663C" w:rsidRPr="007316D1" w:rsidP="00066793" w14:paraId="0C7CDAFD" w14:textId="73EFBEBC">
            <w:pPr>
              <w:pStyle w:val="ParaNum"/>
              <w:widowControl/>
              <w:numPr>
                <w:ilvl w:val="0"/>
                <w:numId w:val="0"/>
              </w:numPr>
              <w:jc w:val="center"/>
              <w:rPr>
                <w:i/>
                <w:iCs/>
              </w:rPr>
            </w:pPr>
            <w:r w:rsidRPr="003C6EE0">
              <w:t>76</w:t>
            </w:r>
          </w:p>
        </w:tc>
      </w:tr>
      <w:tr w14:paraId="645AF475" w14:textId="77777777" w:rsidTr="008242E0">
        <w:tblPrEx>
          <w:tblW w:w="0" w:type="auto"/>
          <w:jc w:val="center"/>
          <w:tblLook w:val="04A0"/>
        </w:tblPrEx>
        <w:trPr>
          <w:trHeight w:val="70"/>
          <w:jc w:val="center"/>
        </w:trPr>
        <w:tc>
          <w:tcPr>
            <w:tcW w:w="1035" w:type="dxa"/>
            <w:shd w:val="clear" w:color="auto" w:fill="auto"/>
          </w:tcPr>
          <w:p w:rsidR="0010663C" w:rsidRPr="003C6EE0" w:rsidP="00066793" w14:paraId="08A95091" w14:textId="2DAE9588">
            <w:pPr>
              <w:pStyle w:val="ParaNum"/>
              <w:widowControl/>
              <w:numPr>
                <w:ilvl w:val="0"/>
                <w:numId w:val="0"/>
              </w:numPr>
              <w:jc w:val="center"/>
              <w:rPr>
                <w:b/>
                <w:bCs/>
              </w:rPr>
            </w:pPr>
            <w:r w:rsidRPr="003C6EE0">
              <w:rPr>
                <w:b/>
                <w:bCs/>
              </w:rPr>
              <w:t>Other</w:t>
            </w:r>
          </w:p>
        </w:tc>
        <w:tc>
          <w:tcPr>
            <w:tcW w:w="2579" w:type="dxa"/>
            <w:shd w:val="clear" w:color="auto" w:fill="auto"/>
          </w:tcPr>
          <w:p w:rsidR="0010663C" w:rsidRPr="003C6EE0" w:rsidP="00066793" w14:paraId="0DA0EA19" w14:textId="4AFC0DDA">
            <w:pPr>
              <w:pStyle w:val="ParaNum"/>
              <w:widowControl/>
              <w:numPr>
                <w:ilvl w:val="0"/>
                <w:numId w:val="0"/>
              </w:numPr>
              <w:jc w:val="center"/>
            </w:pPr>
            <w:r w:rsidRPr="003C6EE0">
              <w:t>93.8%</w:t>
            </w:r>
          </w:p>
        </w:tc>
        <w:tc>
          <w:tcPr>
            <w:tcW w:w="2850" w:type="dxa"/>
            <w:shd w:val="clear" w:color="auto" w:fill="auto"/>
          </w:tcPr>
          <w:p w:rsidR="0010663C" w:rsidRPr="007316D1" w:rsidP="00066793" w14:paraId="75F39133" w14:textId="79F2CC77">
            <w:pPr>
              <w:pStyle w:val="ParaNum"/>
              <w:widowControl/>
              <w:numPr>
                <w:ilvl w:val="0"/>
                <w:numId w:val="0"/>
              </w:numPr>
              <w:jc w:val="center"/>
              <w:rPr>
                <w:i/>
                <w:iCs/>
              </w:rPr>
            </w:pPr>
            <w:r w:rsidRPr="003C6EE0">
              <w:t>6.3%</w:t>
            </w:r>
          </w:p>
        </w:tc>
        <w:tc>
          <w:tcPr>
            <w:tcW w:w="2310" w:type="dxa"/>
            <w:shd w:val="clear" w:color="auto" w:fill="auto"/>
          </w:tcPr>
          <w:p w:rsidR="0010663C" w:rsidRPr="007316D1" w:rsidP="00066793" w14:paraId="1B17350D" w14:textId="30E6D417">
            <w:pPr>
              <w:pStyle w:val="ParaNum"/>
              <w:widowControl/>
              <w:numPr>
                <w:ilvl w:val="0"/>
                <w:numId w:val="0"/>
              </w:numPr>
              <w:jc w:val="center"/>
              <w:rPr>
                <w:i/>
                <w:iCs/>
              </w:rPr>
            </w:pPr>
            <w:r w:rsidRPr="003C6EE0">
              <w:t>32</w:t>
            </w:r>
          </w:p>
        </w:tc>
      </w:tr>
      <w:tr w14:paraId="13A9C259" w14:textId="77777777" w:rsidTr="008242E0">
        <w:tblPrEx>
          <w:tblW w:w="0" w:type="auto"/>
          <w:jc w:val="center"/>
          <w:tblLook w:val="04A0"/>
        </w:tblPrEx>
        <w:trPr>
          <w:jc w:val="center"/>
        </w:trPr>
        <w:tc>
          <w:tcPr>
            <w:tcW w:w="1035" w:type="dxa"/>
            <w:shd w:val="clear" w:color="auto" w:fill="auto"/>
          </w:tcPr>
          <w:p w:rsidR="0010663C" w:rsidRPr="003C6EE0" w:rsidP="00066793" w14:paraId="23AE5925" w14:textId="77777777">
            <w:pPr>
              <w:pStyle w:val="ParaNum"/>
              <w:widowControl/>
              <w:numPr>
                <w:ilvl w:val="0"/>
                <w:numId w:val="0"/>
              </w:numPr>
              <w:jc w:val="center"/>
              <w:rPr>
                <w:b/>
                <w:bCs/>
              </w:rPr>
            </w:pPr>
            <w:r w:rsidRPr="003C6EE0">
              <w:rPr>
                <w:b/>
                <w:bCs/>
              </w:rPr>
              <w:t>Total</w:t>
            </w:r>
          </w:p>
        </w:tc>
        <w:tc>
          <w:tcPr>
            <w:tcW w:w="5429" w:type="dxa"/>
            <w:gridSpan w:val="2"/>
            <w:shd w:val="clear" w:color="auto" w:fill="auto"/>
          </w:tcPr>
          <w:p w:rsidR="0010663C" w:rsidRPr="007316D1" w:rsidP="00066793" w14:paraId="7DE0384B" w14:textId="5290534F">
            <w:pPr>
              <w:pStyle w:val="ParaNum"/>
              <w:widowControl/>
              <w:numPr>
                <w:ilvl w:val="0"/>
                <w:numId w:val="0"/>
              </w:numPr>
              <w:jc w:val="center"/>
            </w:pPr>
          </w:p>
        </w:tc>
        <w:tc>
          <w:tcPr>
            <w:tcW w:w="2310" w:type="dxa"/>
            <w:shd w:val="clear" w:color="auto" w:fill="auto"/>
          </w:tcPr>
          <w:p w:rsidR="0010663C" w:rsidRPr="007316D1" w:rsidP="00066793" w14:paraId="30CBC0A2" w14:textId="29DE10A9">
            <w:pPr>
              <w:pStyle w:val="ParaNum"/>
              <w:widowControl/>
              <w:numPr>
                <w:ilvl w:val="0"/>
                <w:numId w:val="0"/>
              </w:numPr>
              <w:jc w:val="center"/>
            </w:pPr>
            <w:r w:rsidRPr="003C6EE0">
              <w:t>336</w:t>
            </w:r>
          </w:p>
        </w:tc>
      </w:tr>
    </w:tbl>
    <w:p w:rsidR="00662917" w:rsidP="00066793" w14:paraId="763D96E2" w14:textId="46386285">
      <w:pPr>
        <w:pStyle w:val="ParaNum"/>
        <w:widowControl/>
        <w:numPr>
          <w:ilvl w:val="0"/>
          <w:numId w:val="0"/>
        </w:numPr>
        <w:ind w:left="720"/>
      </w:pPr>
    </w:p>
    <w:p w:rsidR="00AF34E0" w:rsidRPr="00662917" w:rsidP="00066793" w14:paraId="0DD8D777" w14:textId="0A178483">
      <w:pPr>
        <w:pStyle w:val="ParaNum"/>
        <w:widowControl/>
        <w:numPr>
          <w:ilvl w:val="0"/>
          <w:numId w:val="0"/>
        </w:numPr>
      </w:pPr>
      <w:r>
        <w:t>Th</w:t>
      </w:r>
      <w:r w:rsidR="002B2CD2">
        <w:t>e</w:t>
      </w:r>
      <w:r>
        <w:t xml:space="preserve"> </w:t>
      </w:r>
      <w:r w:rsidR="002E6E0E">
        <w:t xml:space="preserve">completed survey </w:t>
      </w:r>
      <w:r>
        <w:t xml:space="preserve">data indicate that </w:t>
      </w:r>
      <w:r w:rsidR="007E4DAB">
        <w:t>90.</w:t>
      </w:r>
      <w:r w:rsidR="009113B5">
        <w:t>4</w:t>
      </w:r>
      <w:r w:rsidR="007E4DAB">
        <w:t xml:space="preserve">% of Apple devices, </w:t>
      </w:r>
      <w:r w:rsidR="009C50DE">
        <w:t>8</w:t>
      </w:r>
      <w:r w:rsidR="009113B5">
        <w:t>6</w:t>
      </w:r>
      <w:r w:rsidR="009C50DE">
        <w:t>.</w:t>
      </w:r>
      <w:r w:rsidR="009113B5">
        <w:t>8</w:t>
      </w:r>
      <w:r w:rsidR="009C50DE">
        <w:t>% of Samsung devices, and 9</w:t>
      </w:r>
      <w:r w:rsidR="009113B5">
        <w:t>3</w:t>
      </w:r>
      <w:r w:rsidR="009C50DE">
        <w:t>.</w:t>
      </w:r>
      <w:r w:rsidR="009113B5">
        <w:t>8</w:t>
      </w:r>
      <w:r w:rsidR="009C50DE">
        <w:t>% of other devices received the nationwide WEA test.</w:t>
      </w:r>
      <w:r>
        <w:rPr>
          <w:rStyle w:val="FootnoteReference"/>
        </w:rPr>
        <w:footnoteReference w:id="56"/>
      </w:r>
      <w:r w:rsidR="00490077">
        <w:t xml:space="preserve">  </w:t>
      </w:r>
      <w:r w:rsidR="00416E67">
        <w:t>T</w:t>
      </w:r>
      <w:r w:rsidR="009E2CEB">
        <w:t xml:space="preserve">he public should not expect </w:t>
      </w:r>
      <w:r w:rsidR="002617BA">
        <w:t xml:space="preserve">to improve the likelihood that they will receive a WEA alert based on the brand of mobile device that they </w:t>
      </w:r>
      <w:r w:rsidR="00112C6F">
        <w:t>use</w:t>
      </w:r>
      <w:r w:rsidR="002617BA">
        <w:t>.</w:t>
      </w:r>
    </w:p>
    <w:p w:rsidR="00537F4D" w:rsidP="00066793" w14:paraId="7143A397" w14:textId="58A7791C">
      <w:pPr>
        <w:pStyle w:val="Heading4"/>
        <w:widowControl/>
      </w:pPr>
      <w:bookmarkStart w:id="109" w:name="_Toc83909791"/>
      <w:bookmarkStart w:id="110" w:name="_Toc83911816"/>
      <w:bookmarkStart w:id="111" w:name="_Toc84335320"/>
      <w:bookmarkStart w:id="112" w:name="_Toc84597875"/>
      <w:bookmarkStart w:id="113" w:name="_Toc84926095"/>
      <w:bookmarkStart w:id="114" w:name="_Toc84933030"/>
      <w:bookmarkStart w:id="115" w:name="_Toc85552925"/>
      <w:r>
        <w:t xml:space="preserve">By </w:t>
      </w:r>
      <w:r w:rsidR="00E86C52">
        <w:t xml:space="preserve">Device </w:t>
      </w:r>
      <w:r>
        <w:t xml:space="preserve">Operating </w:t>
      </w:r>
      <w:r>
        <w:t>System</w:t>
      </w:r>
      <w:bookmarkEnd w:id="109"/>
      <w:bookmarkEnd w:id="110"/>
      <w:bookmarkEnd w:id="111"/>
      <w:bookmarkEnd w:id="112"/>
      <w:bookmarkEnd w:id="113"/>
      <w:bookmarkEnd w:id="114"/>
      <w:bookmarkEnd w:id="115"/>
    </w:p>
    <w:p w:rsidR="00605E7D" w:rsidRPr="000039DA" w:rsidP="00066793" w14:paraId="05FE5C21" w14:textId="367608A4">
      <w:pPr>
        <w:pStyle w:val="ParaNum"/>
        <w:widowControl/>
      </w:pPr>
      <w:r>
        <w:t xml:space="preserve">Based on the Nationwide WEA Test Survey data, PSHSB finds no statistical difference between the performance of different mobile device operating systems.  </w:t>
      </w:r>
      <w:r w:rsidRPr="000039DA" w:rsidR="00F0735E">
        <w:t xml:space="preserve">The nationwide WEA test survey asked respondents to identify their </w:t>
      </w:r>
      <w:r w:rsidR="00F0735E">
        <w:t>mobile device operating system</w:t>
      </w:r>
      <w:r w:rsidRPr="000039DA" w:rsidR="00F0735E">
        <w:t xml:space="preserve">. </w:t>
      </w:r>
      <w:r w:rsidR="00E830DA">
        <w:t xml:space="preserve"> </w:t>
      </w:r>
      <w:r w:rsidRPr="000039DA" w:rsidR="00F0735E">
        <w:rPr>
          <w:b/>
          <w:bCs/>
        </w:rPr>
        <w:t xml:space="preserve">Table </w:t>
      </w:r>
      <w:r w:rsidR="006C0071">
        <w:rPr>
          <w:b/>
          <w:bCs/>
        </w:rPr>
        <w:t>7</w:t>
      </w:r>
      <w:r w:rsidRPr="000039DA" w:rsidR="00F0735E">
        <w:t xml:space="preserve"> shows how reliably </w:t>
      </w:r>
      <w:r w:rsidR="00F0735E">
        <w:t xml:space="preserve">different mobile device operating systems </w:t>
      </w:r>
      <w:r w:rsidRPr="000039DA" w:rsidR="00F0735E">
        <w:t xml:space="preserve">delivered the </w:t>
      </w:r>
      <w:r w:rsidR="00A83951">
        <w:t>nationwide</w:t>
      </w:r>
      <w:r w:rsidRPr="000039DA" w:rsidR="00F0735E">
        <w:t xml:space="preserve"> WEA </w:t>
      </w:r>
      <w:r w:rsidR="00A83951">
        <w:t>t</w:t>
      </w:r>
      <w:r w:rsidRPr="000039DA" w:rsidR="00F0735E">
        <w:t xml:space="preserve">est.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2579"/>
        <w:gridCol w:w="2850"/>
        <w:gridCol w:w="2621"/>
      </w:tblGrid>
      <w:tr w14:paraId="4D93F3CD" w14:textId="77777777" w:rsidTr="0010663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085" w:type="dxa"/>
            <w:gridSpan w:val="4"/>
            <w:shd w:val="clear" w:color="auto" w:fill="auto"/>
          </w:tcPr>
          <w:p w:rsidR="00406608" w:rsidRPr="00406608" w:rsidP="00066793" w14:paraId="4B1CC8B5" w14:textId="6984F57B">
            <w:pPr>
              <w:pStyle w:val="ParaNum"/>
              <w:widowControl/>
              <w:numPr>
                <w:ilvl w:val="0"/>
                <w:numId w:val="0"/>
              </w:numPr>
              <w:shd w:val="clear" w:color="auto" w:fill="E7E6E6" w:themeFill="background2"/>
              <w:jc w:val="center"/>
              <w:rPr>
                <w:b/>
                <w:bCs/>
              </w:rPr>
            </w:pPr>
            <w:r>
              <w:rPr>
                <w:b/>
                <w:bCs/>
              </w:rPr>
              <w:t xml:space="preserve">Table </w:t>
            </w:r>
            <w:r w:rsidR="006C0071">
              <w:rPr>
                <w:b/>
                <w:bCs/>
              </w:rPr>
              <w:t>7</w:t>
            </w:r>
          </w:p>
          <w:p w:rsidR="004807DE" w:rsidP="00066793" w14:paraId="49080BB1" w14:textId="06F6F4DF">
            <w:pPr>
              <w:pStyle w:val="ParaNum"/>
              <w:widowControl/>
              <w:numPr>
                <w:ilvl w:val="0"/>
                <w:numId w:val="0"/>
              </w:numPr>
              <w:shd w:val="clear" w:color="auto" w:fill="E7E6E6" w:themeFill="background2"/>
              <w:jc w:val="center"/>
            </w:pPr>
            <w:r>
              <w:t>Test Reception Rates</w:t>
            </w:r>
          </w:p>
          <w:p w:rsidR="004807DE" w:rsidP="00066793" w14:paraId="54B56296" w14:textId="68F557C6">
            <w:pPr>
              <w:pStyle w:val="ParaNum"/>
              <w:widowControl/>
              <w:numPr>
                <w:ilvl w:val="0"/>
                <w:numId w:val="0"/>
              </w:numPr>
              <w:shd w:val="clear" w:color="auto" w:fill="E7E6E6" w:themeFill="background2"/>
              <w:jc w:val="center"/>
            </w:pPr>
            <w:r>
              <w:t>By Device Operating System</w:t>
            </w:r>
          </w:p>
        </w:tc>
      </w:tr>
      <w:tr w14:paraId="49152A10" w14:textId="77777777" w:rsidTr="0010663C">
        <w:tblPrEx>
          <w:tblW w:w="0" w:type="auto"/>
          <w:jc w:val="center"/>
          <w:tblLook w:val="04A0"/>
        </w:tblPrEx>
        <w:trPr>
          <w:jc w:val="center"/>
        </w:trPr>
        <w:tc>
          <w:tcPr>
            <w:tcW w:w="9085" w:type="dxa"/>
            <w:gridSpan w:val="4"/>
            <w:shd w:val="clear" w:color="auto" w:fill="4472C4" w:themeFill="accent1"/>
          </w:tcPr>
          <w:p w:rsidR="0010663C" w:rsidP="00066793" w14:paraId="626EA0A1" w14:textId="00A1CBA2">
            <w:pPr>
              <w:pStyle w:val="ParaNum"/>
              <w:widowControl/>
              <w:numPr>
                <w:ilvl w:val="0"/>
                <w:numId w:val="0"/>
              </w:numPr>
              <w:jc w:val="center"/>
            </w:pPr>
            <w:r>
              <w:rPr>
                <w:b/>
                <w:bCs/>
              </w:rPr>
              <w:t>Completed Survey Response</w:t>
            </w:r>
            <w:r w:rsidRPr="00406608">
              <w:rPr>
                <w:b/>
                <w:bCs/>
              </w:rPr>
              <w:t xml:space="preserve"> Results</w:t>
            </w:r>
          </w:p>
        </w:tc>
      </w:tr>
      <w:tr w14:paraId="01EFB4CD" w14:textId="77777777" w:rsidTr="008242E0">
        <w:tblPrEx>
          <w:tblW w:w="0" w:type="auto"/>
          <w:jc w:val="center"/>
          <w:tblLook w:val="04A0"/>
        </w:tblPrEx>
        <w:trPr>
          <w:jc w:val="center"/>
        </w:trPr>
        <w:tc>
          <w:tcPr>
            <w:tcW w:w="1035" w:type="dxa"/>
            <w:shd w:val="clear" w:color="auto" w:fill="E7E6E6" w:themeFill="background2"/>
          </w:tcPr>
          <w:p w:rsidR="0010663C" w:rsidP="00066793" w14:paraId="4BFB7F07" w14:textId="77777777">
            <w:pPr>
              <w:pStyle w:val="ParaNum"/>
              <w:widowControl/>
              <w:numPr>
                <w:ilvl w:val="0"/>
                <w:numId w:val="0"/>
              </w:numPr>
              <w:jc w:val="center"/>
            </w:pPr>
          </w:p>
        </w:tc>
        <w:tc>
          <w:tcPr>
            <w:tcW w:w="2579" w:type="dxa"/>
            <w:shd w:val="clear" w:color="auto" w:fill="E7E6E6" w:themeFill="background2"/>
            <w:vAlign w:val="center"/>
          </w:tcPr>
          <w:p w:rsidR="0010663C" w:rsidRPr="00406608" w:rsidP="00066793" w14:paraId="17FE29D3" w14:textId="595276CB">
            <w:pPr>
              <w:pStyle w:val="ParaNum"/>
              <w:widowControl/>
              <w:numPr>
                <w:ilvl w:val="0"/>
                <w:numId w:val="0"/>
              </w:numPr>
              <w:jc w:val="center"/>
              <w:rPr>
                <w:b/>
                <w:bCs/>
              </w:rPr>
            </w:pPr>
            <w:r w:rsidRPr="00406608">
              <w:rPr>
                <w:b/>
                <w:bCs/>
              </w:rPr>
              <w:t>Test Received</w:t>
            </w:r>
          </w:p>
        </w:tc>
        <w:tc>
          <w:tcPr>
            <w:tcW w:w="2850" w:type="dxa"/>
            <w:shd w:val="clear" w:color="auto" w:fill="E7E6E6" w:themeFill="background2"/>
            <w:vAlign w:val="center"/>
          </w:tcPr>
          <w:p w:rsidR="0010663C" w:rsidRPr="00406608" w:rsidP="00066793" w14:paraId="2235E720" w14:textId="14C66779">
            <w:pPr>
              <w:pStyle w:val="ParaNum"/>
              <w:widowControl/>
              <w:numPr>
                <w:ilvl w:val="0"/>
                <w:numId w:val="0"/>
              </w:numPr>
              <w:jc w:val="center"/>
              <w:rPr>
                <w:i/>
                <w:iCs/>
              </w:rPr>
            </w:pPr>
            <w:r w:rsidRPr="00406608">
              <w:rPr>
                <w:b/>
                <w:bCs/>
              </w:rPr>
              <w:t>Test not Received</w:t>
            </w:r>
          </w:p>
        </w:tc>
        <w:tc>
          <w:tcPr>
            <w:tcW w:w="2621" w:type="dxa"/>
            <w:shd w:val="clear" w:color="auto" w:fill="E7E6E6" w:themeFill="background2"/>
            <w:vAlign w:val="center"/>
          </w:tcPr>
          <w:p w:rsidR="0010663C" w:rsidRPr="00406608" w:rsidP="00066793" w14:paraId="0CA71C27" w14:textId="37AA1008">
            <w:pPr>
              <w:pStyle w:val="ParaNum"/>
              <w:widowControl/>
              <w:numPr>
                <w:ilvl w:val="0"/>
                <w:numId w:val="0"/>
              </w:numPr>
              <w:jc w:val="center"/>
              <w:rPr>
                <w:i/>
                <w:iCs/>
              </w:rPr>
            </w:pPr>
            <w:r w:rsidRPr="00406608">
              <w:rPr>
                <w:b/>
                <w:bCs/>
              </w:rPr>
              <w:t>Total Response Count</w:t>
            </w:r>
          </w:p>
        </w:tc>
      </w:tr>
      <w:tr w14:paraId="35163407" w14:textId="77777777" w:rsidTr="008242E0">
        <w:tblPrEx>
          <w:tblW w:w="0" w:type="auto"/>
          <w:jc w:val="center"/>
          <w:tblLook w:val="04A0"/>
        </w:tblPrEx>
        <w:trPr>
          <w:jc w:val="center"/>
        </w:trPr>
        <w:tc>
          <w:tcPr>
            <w:tcW w:w="1035" w:type="dxa"/>
            <w:shd w:val="clear" w:color="auto" w:fill="auto"/>
          </w:tcPr>
          <w:p w:rsidR="0010663C" w:rsidRPr="003C6EE0" w:rsidP="00066793" w14:paraId="3EC63467" w14:textId="2B1A3AA6">
            <w:pPr>
              <w:pStyle w:val="ParaNum"/>
              <w:widowControl/>
              <w:numPr>
                <w:ilvl w:val="0"/>
                <w:numId w:val="0"/>
              </w:numPr>
              <w:jc w:val="center"/>
              <w:rPr>
                <w:b/>
                <w:bCs/>
              </w:rPr>
            </w:pPr>
            <w:r w:rsidRPr="003C6EE0">
              <w:rPr>
                <w:b/>
                <w:bCs/>
              </w:rPr>
              <w:t>iOS</w:t>
            </w:r>
          </w:p>
        </w:tc>
        <w:tc>
          <w:tcPr>
            <w:tcW w:w="2579" w:type="dxa"/>
            <w:shd w:val="clear" w:color="auto" w:fill="auto"/>
          </w:tcPr>
          <w:p w:rsidR="0010663C" w:rsidRPr="003C6EE0" w:rsidP="00066793" w14:paraId="0EE8C92A" w14:textId="345D1FD9">
            <w:pPr>
              <w:pStyle w:val="ParaNum"/>
              <w:widowControl/>
              <w:numPr>
                <w:ilvl w:val="0"/>
                <w:numId w:val="0"/>
              </w:numPr>
              <w:jc w:val="center"/>
            </w:pPr>
            <w:r w:rsidRPr="003C6EE0">
              <w:t>90.4%</w:t>
            </w:r>
          </w:p>
        </w:tc>
        <w:tc>
          <w:tcPr>
            <w:tcW w:w="2850" w:type="dxa"/>
            <w:shd w:val="clear" w:color="auto" w:fill="auto"/>
          </w:tcPr>
          <w:p w:rsidR="0010663C" w:rsidRPr="007316D1" w:rsidP="00066793" w14:paraId="4AFC7452" w14:textId="127C1173">
            <w:pPr>
              <w:pStyle w:val="ParaNum"/>
              <w:widowControl/>
              <w:numPr>
                <w:ilvl w:val="0"/>
                <w:numId w:val="0"/>
              </w:numPr>
              <w:jc w:val="center"/>
              <w:rPr>
                <w:i/>
                <w:iCs/>
              </w:rPr>
            </w:pPr>
            <w:r w:rsidRPr="003C6EE0">
              <w:t>9.6%</w:t>
            </w:r>
          </w:p>
        </w:tc>
        <w:tc>
          <w:tcPr>
            <w:tcW w:w="2621" w:type="dxa"/>
            <w:shd w:val="clear" w:color="auto" w:fill="auto"/>
          </w:tcPr>
          <w:p w:rsidR="0010663C" w:rsidRPr="007316D1" w:rsidP="00066793" w14:paraId="7EEBBF48" w14:textId="11CDD5F7">
            <w:pPr>
              <w:pStyle w:val="ParaNum"/>
              <w:widowControl/>
              <w:numPr>
                <w:ilvl w:val="0"/>
                <w:numId w:val="0"/>
              </w:numPr>
              <w:jc w:val="center"/>
              <w:rPr>
                <w:i/>
                <w:iCs/>
              </w:rPr>
            </w:pPr>
            <w:r w:rsidRPr="003C6EE0">
              <w:t>230</w:t>
            </w:r>
          </w:p>
        </w:tc>
      </w:tr>
      <w:tr w14:paraId="5F3C050B" w14:textId="77777777" w:rsidTr="008242E0">
        <w:tblPrEx>
          <w:tblW w:w="0" w:type="auto"/>
          <w:jc w:val="center"/>
          <w:tblLook w:val="04A0"/>
        </w:tblPrEx>
        <w:trPr>
          <w:jc w:val="center"/>
        </w:trPr>
        <w:tc>
          <w:tcPr>
            <w:tcW w:w="1035" w:type="dxa"/>
            <w:shd w:val="clear" w:color="auto" w:fill="auto"/>
          </w:tcPr>
          <w:p w:rsidR="0010663C" w:rsidRPr="003C6EE0" w:rsidP="00066793" w14:paraId="63F7CB87" w14:textId="5D7A93F1">
            <w:pPr>
              <w:pStyle w:val="ParaNum"/>
              <w:widowControl/>
              <w:numPr>
                <w:ilvl w:val="0"/>
                <w:numId w:val="0"/>
              </w:numPr>
              <w:jc w:val="center"/>
              <w:rPr>
                <w:b/>
                <w:bCs/>
              </w:rPr>
            </w:pPr>
            <w:r w:rsidRPr="003C6EE0">
              <w:rPr>
                <w:b/>
                <w:bCs/>
              </w:rPr>
              <w:t>Android</w:t>
            </w:r>
          </w:p>
        </w:tc>
        <w:tc>
          <w:tcPr>
            <w:tcW w:w="2579" w:type="dxa"/>
            <w:shd w:val="clear" w:color="auto" w:fill="auto"/>
          </w:tcPr>
          <w:p w:rsidR="0010663C" w:rsidRPr="003C6EE0" w:rsidP="00066793" w14:paraId="42FFE91F" w14:textId="3A61ECF6">
            <w:pPr>
              <w:pStyle w:val="ParaNum"/>
              <w:widowControl/>
              <w:numPr>
                <w:ilvl w:val="0"/>
                <w:numId w:val="0"/>
              </w:numPr>
              <w:jc w:val="center"/>
            </w:pPr>
            <w:r w:rsidRPr="003C6EE0">
              <w:t>88.1%</w:t>
            </w:r>
          </w:p>
        </w:tc>
        <w:tc>
          <w:tcPr>
            <w:tcW w:w="2850" w:type="dxa"/>
            <w:shd w:val="clear" w:color="auto" w:fill="auto"/>
          </w:tcPr>
          <w:p w:rsidR="0010663C" w:rsidRPr="007316D1" w:rsidP="00066793" w14:paraId="698F32BF" w14:textId="039640D3">
            <w:pPr>
              <w:pStyle w:val="ParaNum"/>
              <w:widowControl/>
              <w:numPr>
                <w:ilvl w:val="0"/>
                <w:numId w:val="0"/>
              </w:numPr>
              <w:jc w:val="center"/>
              <w:rPr>
                <w:i/>
                <w:iCs/>
              </w:rPr>
            </w:pPr>
            <w:r w:rsidRPr="003C6EE0">
              <w:t>11.9%</w:t>
            </w:r>
          </w:p>
        </w:tc>
        <w:tc>
          <w:tcPr>
            <w:tcW w:w="2621" w:type="dxa"/>
            <w:shd w:val="clear" w:color="auto" w:fill="auto"/>
          </w:tcPr>
          <w:p w:rsidR="0010663C" w:rsidRPr="007316D1" w:rsidP="00066793" w14:paraId="0A57A405" w14:textId="19D57874">
            <w:pPr>
              <w:pStyle w:val="ParaNum"/>
              <w:widowControl/>
              <w:numPr>
                <w:ilvl w:val="0"/>
                <w:numId w:val="0"/>
              </w:numPr>
              <w:jc w:val="center"/>
              <w:rPr>
                <w:i/>
                <w:iCs/>
              </w:rPr>
            </w:pPr>
            <w:r w:rsidRPr="003C6EE0">
              <w:t>109</w:t>
            </w:r>
          </w:p>
        </w:tc>
      </w:tr>
      <w:tr w14:paraId="6B220B00" w14:textId="77777777" w:rsidTr="008242E0">
        <w:tblPrEx>
          <w:tblW w:w="0" w:type="auto"/>
          <w:jc w:val="center"/>
          <w:tblLook w:val="04A0"/>
        </w:tblPrEx>
        <w:trPr>
          <w:jc w:val="center"/>
        </w:trPr>
        <w:tc>
          <w:tcPr>
            <w:tcW w:w="1035" w:type="dxa"/>
            <w:shd w:val="clear" w:color="auto" w:fill="auto"/>
          </w:tcPr>
          <w:p w:rsidR="0010663C" w:rsidRPr="003C6EE0" w:rsidP="00066793" w14:paraId="5D31A249" w14:textId="77777777">
            <w:pPr>
              <w:pStyle w:val="ParaNum"/>
              <w:widowControl/>
              <w:numPr>
                <w:ilvl w:val="0"/>
                <w:numId w:val="0"/>
              </w:numPr>
              <w:jc w:val="center"/>
              <w:rPr>
                <w:b/>
                <w:bCs/>
              </w:rPr>
            </w:pPr>
            <w:r w:rsidRPr="003C6EE0">
              <w:rPr>
                <w:b/>
                <w:bCs/>
              </w:rPr>
              <w:t>Total</w:t>
            </w:r>
          </w:p>
        </w:tc>
        <w:tc>
          <w:tcPr>
            <w:tcW w:w="5429" w:type="dxa"/>
            <w:gridSpan w:val="2"/>
            <w:shd w:val="clear" w:color="auto" w:fill="auto"/>
          </w:tcPr>
          <w:p w:rsidR="0010663C" w:rsidRPr="007316D1" w:rsidP="00066793" w14:paraId="7BE80218" w14:textId="2D7AA7EC">
            <w:pPr>
              <w:pStyle w:val="ParaNum"/>
              <w:widowControl/>
              <w:numPr>
                <w:ilvl w:val="0"/>
                <w:numId w:val="0"/>
              </w:numPr>
              <w:jc w:val="center"/>
              <w:rPr>
                <w:i/>
                <w:iCs/>
              </w:rPr>
            </w:pPr>
          </w:p>
        </w:tc>
        <w:tc>
          <w:tcPr>
            <w:tcW w:w="2621" w:type="dxa"/>
            <w:shd w:val="clear" w:color="auto" w:fill="auto"/>
          </w:tcPr>
          <w:p w:rsidR="0010663C" w:rsidRPr="007316D1" w:rsidP="00066793" w14:paraId="77FAC9F1" w14:textId="7F4F143C">
            <w:pPr>
              <w:pStyle w:val="ParaNum"/>
              <w:widowControl/>
              <w:numPr>
                <w:ilvl w:val="0"/>
                <w:numId w:val="0"/>
              </w:numPr>
              <w:jc w:val="center"/>
              <w:rPr>
                <w:i/>
                <w:iCs/>
              </w:rPr>
            </w:pPr>
            <w:r w:rsidRPr="003C6EE0">
              <w:t>339</w:t>
            </w:r>
          </w:p>
        </w:tc>
      </w:tr>
    </w:tbl>
    <w:p w:rsidR="004807DE" w:rsidP="00066793" w14:paraId="102AD3CA" w14:textId="240B738E">
      <w:pPr>
        <w:pStyle w:val="ParaNum"/>
        <w:widowControl/>
        <w:numPr>
          <w:ilvl w:val="0"/>
          <w:numId w:val="0"/>
        </w:numPr>
        <w:ind w:left="720"/>
      </w:pPr>
    </w:p>
    <w:p w:rsidR="00F0735E" w:rsidP="00066793" w14:paraId="27F50F3F" w14:textId="6ED39BF5">
      <w:pPr>
        <w:pStyle w:val="ParaNum"/>
        <w:widowControl/>
        <w:numPr>
          <w:ilvl w:val="0"/>
          <w:numId w:val="0"/>
        </w:numPr>
      </w:pPr>
      <w:r>
        <w:t>The</w:t>
      </w:r>
      <w:r w:rsidR="002E6E0E">
        <w:t xml:space="preserve"> completed survey</w:t>
      </w:r>
      <w:r>
        <w:t xml:space="preserve"> </w:t>
      </w:r>
      <w:r>
        <w:t xml:space="preserve">data indicate </w:t>
      </w:r>
      <w:r w:rsidR="0095252E">
        <w:t xml:space="preserve">that </w:t>
      </w:r>
      <w:r w:rsidR="00416E67">
        <w:t xml:space="preserve">90.4% of mobile devices with an iOS operating system and </w:t>
      </w:r>
      <w:r w:rsidR="005239C7">
        <w:t>that 88.1% of mobile devices with an Android operating system</w:t>
      </w:r>
      <w:r w:rsidRPr="00416E67" w:rsidR="00416E67">
        <w:t xml:space="preserve"> </w:t>
      </w:r>
      <w:r w:rsidR="00416E67">
        <w:t>received the nationwide WEA test</w:t>
      </w:r>
      <w:r w:rsidR="005239C7">
        <w:t>.</w:t>
      </w:r>
      <w:r>
        <w:rPr>
          <w:rStyle w:val="FootnoteReference"/>
        </w:rPr>
        <w:footnoteReference w:id="57"/>
      </w:r>
      <w:r w:rsidR="005239C7">
        <w:t xml:space="preserve">  </w:t>
      </w:r>
      <w:r w:rsidR="00A4244F">
        <w:t>The public should not expect to improve the likelihood that they will receive a WEA alert based on the</w:t>
      </w:r>
      <w:r w:rsidR="00D85A26">
        <w:t>ir mobile device’s</w:t>
      </w:r>
      <w:r w:rsidR="00A4244F">
        <w:t xml:space="preserve"> operating system.</w:t>
      </w:r>
    </w:p>
    <w:p w:rsidR="00E8084B" w:rsidP="00066793" w14:paraId="675062B9" w14:textId="77777777">
      <w:pPr>
        <w:pStyle w:val="Heading4"/>
        <w:widowControl/>
      </w:pPr>
      <w:bookmarkStart w:id="116" w:name="_Toc84335321"/>
      <w:bookmarkStart w:id="117" w:name="_Toc84597876"/>
      <w:bookmarkStart w:id="118" w:name="_Toc84926096"/>
      <w:bookmarkStart w:id="119" w:name="_Toc84933031"/>
      <w:bookmarkStart w:id="120" w:name="_Toc85552926"/>
      <w:r>
        <w:t>By Location (Indoor/Outdoor)</w:t>
      </w:r>
      <w:bookmarkEnd w:id="116"/>
      <w:bookmarkEnd w:id="117"/>
      <w:bookmarkEnd w:id="118"/>
      <w:bookmarkEnd w:id="119"/>
      <w:bookmarkEnd w:id="120"/>
    </w:p>
    <w:p w:rsidR="00E8084B" w:rsidP="00066793" w14:paraId="11E831D8" w14:textId="69364528">
      <w:pPr>
        <w:pStyle w:val="ParaNum"/>
        <w:widowControl/>
      </w:pPr>
      <w:r>
        <w:t>Based on the Nationwide WEA Test Survey data, PSHSB finds that whether a mobile device is indoors or outdoors does not have a statistically significant effect on its ability to receive a WEA alert.</w:t>
      </w:r>
      <w:r>
        <w:rPr>
          <w:rStyle w:val="FootnoteReference"/>
        </w:rPr>
        <w:footnoteReference w:id="58"/>
      </w:r>
      <w:r>
        <w:t xml:space="preserve"> </w:t>
      </w:r>
      <w:r w:rsidRPr="00FE3B45">
        <w:t xml:space="preserve">The </w:t>
      </w:r>
      <w:r>
        <w:t>N</w:t>
      </w:r>
      <w:r w:rsidRPr="00FE3B45">
        <w:t xml:space="preserve">ationwide WEA </w:t>
      </w:r>
      <w:r>
        <w:t>T</w:t>
      </w:r>
      <w:r w:rsidRPr="00FE3B45">
        <w:t xml:space="preserve">est </w:t>
      </w:r>
      <w:r>
        <w:t>S</w:t>
      </w:r>
      <w:r w:rsidRPr="00FE3B45">
        <w:t xml:space="preserve">urvey asked respondents to identify </w:t>
      </w:r>
      <w:r>
        <w:t>whether they were located indoors or outdoors at the time FEMA sent the nationwide WEA test</w:t>
      </w:r>
      <w:r w:rsidRPr="00FE3B45">
        <w:t xml:space="preserve">. </w:t>
      </w:r>
      <w:r w:rsidR="00572FED">
        <w:t xml:space="preserve"> </w:t>
      </w:r>
      <w:r w:rsidRPr="00FE3B45">
        <w:rPr>
          <w:b/>
          <w:bCs/>
        </w:rPr>
        <w:t xml:space="preserve">Table </w:t>
      </w:r>
      <w:r w:rsidR="006C0071">
        <w:rPr>
          <w:b/>
          <w:bCs/>
        </w:rPr>
        <w:t>8</w:t>
      </w:r>
      <w:r w:rsidRPr="00FE3B45">
        <w:t xml:space="preserve"> shows how reliably </w:t>
      </w:r>
      <w:r>
        <w:t>the nationwide WEA test was delivered to respondents located indoors and outdoors</w:t>
      </w:r>
      <w:r w:rsidRPr="00FE3B45">
        <w:t xml:space="preserve">. </w:t>
      </w:r>
    </w:p>
    <w:p w:rsidR="00066793" w:rsidP="00066793" w14:paraId="6207F79B" w14:textId="66B2DA9C">
      <w:pPr>
        <w:pStyle w:val="ParaNum"/>
        <w:widowControl/>
        <w:numPr>
          <w:ilvl w:val="0"/>
          <w:numId w:val="0"/>
        </w:numPr>
        <w:ind w:firstLine="720"/>
      </w:pPr>
    </w:p>
    <w:p w:rsidR="00066793" w:rsidP="00066793" w14:paraId="767982B0" w14:textId="2E9788FC">
      <w:pPr>
        <w:pStyle w:val="ParaNum"/>
        <w:widowControl/>
        <w:numPr>
          <w:ilvl w:val="0"/>
          <w:numId w:val="0"/>
        </w:numPr>
        <w:ind w:firstLine="720"/>
      </w:pPr>
    </w:p>
    <w:p w:rsidR="00066793" w:rsidP="00066793" w14:paraId="066EE685" w14:textId="678E2DEB">
      <w:pPr>
        <w:pStyle w:val="ParaNum"/>
        <w:widowControl/>
        <w:numPr>
          <w:ilvl w:val="0"/>
          <w:numId w:val="0"/>
        </w:numPr>
        <w:ind w:firstLine="720"/>
      </w:pPr>
    </w:p>
    <w:p w:rsidR="00066793" w:rsidP="00066793" w14:paraId="548473A6" w14:textId="78559AFE">
      <w:pPr>
        <w:pStyle w:val="ParaNum"/>
        <w:widowControl/>
        <w:numPr>
          <w:ilvl w:val="0"/>
          <w:numId w:val="0"/>
        </w:numPr>
        <w:ind w:firstLine="720"/>
      </w:pPr>
    </w:p>
    <w:p w:rsidR="00066793" w:rsidP="00066793" w14:paraId="0727ED80" w14:textId="21CEF848">
      <w:pPr>
        <w:pStyle w:val="ParaNum"/>
        <w:widowControl/>
        <w:numPr>
          <w:ilvl w:val="0"/>
          <w:numId w:val="0"/>
        </w:numPr>
        <w:ind w:firstLine="720"/>
      </w:pPr>
    </w:p>
    <w:p w:rsidR="00066793" w:rsidP="00066793" w14:paraId="1C179F27" w14:textId="51414919">
      <w:pPr>
        <w:pStyle w:val="ParaNum"/>
        <w:widowControl/>
        <w:numPr>
          <w:ilvl w:val="0"/>
          <w:numId w:val="0"/>
        </w:numPr>
        <w:ind w:firstLine="720"/>
      </w:pPr>
    </w:p>
    <w:p w:rsidR="00066793" w:rsidP="00066793" w14:paraId="509E2B2F" w14:textId="77777777">
      <w:pPr>
        <w:pStyle w:val="ParaNum"/>
        <w:widowControl/>
        <w:numPr>
          <w:ilvl w:val="0"/>
          <w:numId w:val="0"/>
        </w:numPr>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9"/>
        <w:gridCol w:w="2579"/>
        <w:gridCol w:w="2850"/>
        <w:gridCol w:w="2307"/>
      </w:tblGrid>
      <w:tr w14:paraId="18B6C11D" w14:textId="77777777" w:rsidTr="004E385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8845" w:type="dxa"/>
            <w:gridSpan w:val="4"/>
            <w:shd w:val="clear" w:color="auto" w:fill="E7E6E6" w:themeFill="background2"/>
          </w:tcPr>
          <w:p w:rsidR="00DE049F" w:rsidRPr="00DE049F" w:rsidP="00066793" w14:paraId="729BC764" w14:textId="68FD39A2">
            <w:pPr>
              <w:pStyle w:val="ParaNum"/>
              <w:widowControl/>
              <w:numPr>
                <w:ilvl w:val="0"/>
                <w:numId w:val="0"/>
              </w:numPr>
              <w:jc w:val="center"/>
              <w:rPr>
                <w:b/>
                <w:bCs/>
              </w:rPr>
            </w:pPr>
            <w:r>
              <w:rPr>
                <w:b/>
                <w:bCs/>
              </w:rPr>
              <w:t xml:space="preserve">Table </w:t>
            </w:r>
            <w:r w:rsidR="006C0071">
              <w:rPr>
                <w:b/>
                <w:bCs/>
              </w:rPr>
              <w:t>8</w:t>
            </w:r>
          </w:p>
          <w:p w:rsidR="00E8084B" w:rsidP="00066793" w14:paraId="37F0404D" w14:textId="05BE5A53">
            <w:pPr>
              <w:pStyle w:val="ParaNum"/>
              <w:widowControl/>
              <w:numPr>
                <w:ilvl w:val="0"/>
                <w:numId w:val="0"/>
              </w:numPr>
              <w:jc w:val="center"/>
            </w:pPr>
            <w:r>
              <w:t>Test Reception Rates</w:t>
            </w:r>
          </w:p>
          <w:p w:rsidR="00E8084B" w:rsidP="00066793" w14:paraId="16DF89D0" w14:textId="77777777">
            <w:pPr>
              <w:pStyle w:val="ParaNum"/>
              <w:widowControl/>
              <w:numPr>
                <w:ilvl w:val="0"/>
                <w:numId w:val="0"/>
              </w:numPr>
              <w:jc w:val="center"/>
            </w:pPr>
            <w:r>
              <w:t>By Location (Indoor/Outdoor)</w:t>
            </w:r>
          </w:p>
        </w:tc>
      </w:tr>
      <w:tr w14:paraId="2DCDCE78" w14:textId="77777777" w:rsidTr="004E385C">
        <w:tblPrEx>
          <w:tblW w:w="0" w:type="auto"/>
          <w:jc w:val="center"/>
          <w:tblLook w:val="04A0"/>
        </w:tblPrEx>
        <w:trPr>
          <w:jc w:val="center"/>
        </w:trPr>
        <w:tc>
          <w:tcPr>
            <w:tcW w:w="8845" w:type="dxa"/>
            <w:gridSpan w:val="4"/>
            <w:shd w:val="clear" w:color="auto" w:fill="4472C4" w:themeFill="accent1"/>
          </w:tcPr>
          <w:p w:rsidR="0010663C" w:rsidP="00066793" w14:paraId="4C85384D" w14:textId="75BCD718">
            <w:pPr>
              <w:pStyle w:val="ParaNum"/>
              <w:widowControl/>
              <w:numPr>
                <w:ilvl w:val="0"/>
                <w:numId w:val="0"/>
              </w:numPr>
              <w:jc w:val="center"/>
            </w:pPr>
            <w:r>
              <w:rPr>
                <w:b/>
                <w:bCs/>
              </w:rPr>
              <w:t>Completed Survey Response</w:t>
            </w:r>
            <w:r w:rsidRPr="00DE049F">
              <w:rPr>
                <w:b/>
                <w:bCs/>
              </w:rPr>
              <w:t xml:space="preserve"> Results</w:t>
            </w:r>
          </w:p>
        </w:tc>
      </w:tr>
      <w:tr w14:paraId="0090E5E6" w14:textId="77777777" w:rsidTr="008242E0">
        <w:tblPrEx>
          <w:tblW w:w="0" w:type="auto"/>
          <w:jc w:val="center"/>
          <w:tblLook w:val="04A0"/>
        </w:tblPrEx>
        <w:trPr>
          <w:jc w:val="center"/>
        </w:trPr>
        <w:tc>
          <w:tcPr>
            <w:tcW w:w="1109" w:type="dxa"/>
            <w:shd w:val="clear" w:color="auto" w:fill="E7E6E6" w:themeFill="background2"/>
          </w:tcPr>
          <w:p w:rsidR="004E385C" w:rsidRPr="00DE049F" w:rsidP="00066793" w14:paraId="4B76AC08" w14:textId="77777777">
            <w:pPr>
              <w:pStyle w:val="ParaNum"/>
              <w:widowControl/>
              <w:numPr>
                <w:ilvl w:val="0"/>
                <w:numId w:val="0"/>
              </w:numPr>
              <w:jc w:val="center"/>
              <w:rPr>
                <w:b/>
                <w:bCs/>
              </w:rPr>
            </w:pPr>
          </w:p>
        </w:tc>
        <w:tc>
          <w:tcPr>
            <w:tcW w:w="2579" w:type="dxa"/>
            <w:shd w:val="clear" w:color="auto" w:fill="E7E6E6" w:themeFill="background2"/>
            <w:vAlign w:val="center"/>
          </w:tcPr>
          <w:p w:rsidR="004E385C" w:rsidRPr="00DE049F" w:rsidP="00066793" w14:paraId="37966927" w14:textId="45838FEC">
            <w:pPr>
              <w:pStyle w:val="ParaNum"/>
              <w:widowControl/>
              <w:numPr>
                <w:ilvl w:val="0"/>
                <w:numId w:val="0"/>
              </w:numPr>
              <w:jc w:val="center"/>
              <w:rPr>
                <w:b/>
                <w:bCs/>
              </w:rPr>
            </w:pPr>
            <w:r w:rsidRPr="00DE049F">
              <w:rPr>
                <w:b/>
                <w:bCs/>
              </w:rPr>
              <w:t>Test Received</w:t>
            </w:r>
          </w:p>
        </w:tc>
        <w:tc>
          <w:tcPr>
            <w:tcW w:w="2850" w:type="dxa"/>
            <w:shd w:val="clear" w:color="auto" w:fill="E7E6E6" w:themeFill="background2"/>
            <w:vAlign w:val="center"/>
          </w:tcPr>
          <w:p w:rsidR="004E385C" w:rsidRPr="00DE049F" w:rsidP="00066793" w14:paraId="3D96A845" w14:textId="3844AFBC">
            <w:pPr>
              <w:pStyle w:val="ParaNum"/>
              <w:widowControl/>
              <w:numPr>
                <w:ilvl w:val="0"/>
                <w:numId w:val="0"/>
              </w:numPr>
              <w:jc w:val="center"/>
              <w:rPr>
                <w:i/>
                <w:iCs/>
              </w:rPr>
            </w:pPr>
            <w:r w:rsidRPr="00DE049F">
              <w:rPr>
                <w:b/>
                <w:bCs/>
              </w:rPr>
              <w:t>Test not Received</w:t>
            </w:r>
          </w:p>
        </w:tc>
        <w:tc>
          <w:tcPr>
            <w:tcW w:w="2307" w:type="dxa"/>
            <w:shd w:val="clear" w:color="auto" w:fill="E7E6E6" w:themeFill="background2"/>
            <w:vAlign w:val="center"/>
          </w:tcPr>
          <w:p w:rsidR="004E385C" w:rsidRPr="00DE049F" w:rsidP="00066793" w14:paraId="5304F752" w14:textId="74779FD8">
            <w:pPr>
              <w:pStyle w:val="ParaNum"/>
              <w:widowControl/>
              <w:numPr>
                <w:ilvl w:val="0"/>
                <w:numId w:val="0"/>
              </w:numPr>
              <w:jc w:val="center"/>
              <w:rPr>
                <w:i/>
                <w:iCs/>
              </w:rPr>
            </w:pPr>
            <w:r w:rsidRPr="00DE049F">
              <w:rPr>
                <w:b/>
                <w:bCs/>
              </w:rPr>
              <w:t>Total Response Count</w:t>
            </w:r>
            <w:r w:rsidRPr="00DE049F">
              <w:rPr>
                <w:i/>
                <w:iCs/>
              </w:rPr>
              <w:t xml:space="preserve"> </w:t>
            </w:r>
          </w:p>
        </w:tc>
      </w:tr>
      <w:tr w14:paraId="6A48AEE7" w14:textId="77777777" w:rsidTr="008242E0">
        <w:tblPrEx>
          <w:tblW w:w="0" w:type="auto"/>
          <w:jc w:val="center"/>
          <w:tblLook w:val="04A0"/>
        </w:tblPrEx>
        <w:trPr>
          <w:jc w:val="center"/>
        </w:trPr>
        <w:tc>
          <w:tcPr>
            <w:tcW w:w="1109" w:type="dxa"/>
            <w:shd w:val="clear" w:color="auto" w:fill="auto"/>
          </w:tcPr>
          <w:p w:rsidR="004E385C" w:rsidRPr="00DE049F" w:rsidP="00066793" w14:paraId="51D06B9D" w14:textId="77777777">
            <w:pPr>
              <w:pStyle w:val="ParaNum"/>
              <w:widowControl/>
              <w:numPr>
                <w:ilvl w:val="0"/>
                <w:numId w:val="0"/>
              </w:numPr>
              <w:jc w:val="center"/>
              <w:rPr>
                <w:b/>
                <w:bCs/>
              </w:rPr>
            </w:pPr>
            <w:r w:rsidRPr="00DE049F">
              <w:rPr>
                <w:b/>
                <w:bCs/>
              </w:rPr>
              <w:t>Indoors</w:t>
            </w:r>
          </w:p>
        </w:tc>
        <w:tc>
          <w:tcPr>
            <w:tcW w:w="2579" w:type="dxa"/>
            <w:shd w:val="clear" w:color="auto" w:fill="auto"/>
          </w:tcPr>
          <w:p w:rsidR="004E385C" w:rsidRPr="003C6EE0" w:rsidP="00066793" w14:paraId="518CCBE0" w14:textId="711BDBD0">
            <w:pPr>
              <w:pStyle w:val="ParaNum"/>
              <w:widowControl/>
              <w:numPr>
                <w:ilvl w:val="0"/>
                <w:numId w:val="0"/>
              </w:numPr>
              <w:jc w:val="center"/>
            </w:pPr>
            <w:r w:rsidRPr="003C6EE0">
              <w:t>90.1%</w:t>
            </w:r>
          </w:p>
        </w:tc>
        <w:tc>
          <w:tcPr>
            <w:tcW w:w="2850" w:type="dxa"/>
            <w:shd w:val="clear" w:color="auto" w:fill="auto"/>
          </w:tcPr>
          <w:p w:rsidR="004E385C" w:rsidRPr="007316D1" w:rsidP="00066793" w14:paraId="503AEF40" w14:textId="6AA34E07">
            <w:pPr>
              <w:pStyle w:val="ParaNum"/>
              <w:widowControl/>
              <w:numPr>
                <w:ilvl w:val="0"/>
                <w:numId w:val="0"/>
              </w:numPr>
              <w:jc w:val="center"/>
              <w:rPr>
                <w:i/>
                <w:iCs/>
              </w:rPr>
            </w:pPr>
            <w:r w:rsidRPr="00553837">
              <w:t>9.9%</w:t>
            </w:r>
          </w:p>
        </w:tc>
        <w:tc>
          <w:tcPr>
            <w:tcW w:w="2307" w:type="dxa"/>
            <w:shd w:val="clear" w:color="auto" w:fill="auto"/>
          </w:tcPr>
          <w:p w:rsidR="004E385C" w:rsidRPr="00DE049F" w:rsidP="00066793" w14:paraId="1B175C9D" w14:textId="3B4841D3">
            <w:pPr>
              <w:pStyle w:val="ParaNum"/>
              <w:widowControl/>
              <w:numPr>
                <w:ilvl w:val="0"/>
                <w:numId w:val="0"/>
              </w:numPr>
              <w:jc w:val="center"/>
              <w:rPr>
                <w:i/>
                <w:iCs/>
              </w:rPr>
            </w:pPr>
            <w:r w:rsidRPr="00553837">
              <w:t>294</w:t>
            </w:r>
          </w:p>
        </w:tc>
      </w:tr>
      <w:tr w14:paraId="7B776D31" w14:textId="77777777" w:rsidTr="008242E0">
        <w:tblPrEx>
          <w:tblW w:w="0" w:type="auto"/>
          <w:jc w:val="center"/>
          <w:tblLook w:val="04A0"/>
        </w:tblPrEx>
        <w:trPr>
          <w:jc w:val="center"/>
        </w:trPr>
        <w:tc>
          <w:tcPr>
            <w:tcW w:w="1109" w:type="dxa"/>
            <w:shd w:val="clear" w:color="auto" w:fill="auto"/>
          </w:tcPr>
          <w:p w:rsidR="004E385C" w:rsidRPr="00DE049F" w:rsidP="00066793" w14:paraId="016AB2C8" w14:textId="77777777">
            <w:pPr>
              <w:pStyle w:val="ParaNum"/>
              <w:widowControl/>
              <w:numPr>
                <w:ilvl w:val="0"/>
                <w:numId w:val="0"/>
              </w:numPr>
              <w:jc w:val="center"/>
              <w:rPr>
                <w:b/>
                <w:bCs/>
              </w:rPr>
            </w:pPr>
            <w:r w:rsidRPr="00DE049F">
              <w:rPr>
                <w:b/>
                <w:bCs/>
              </w:rPr>
              <w:t>Outdoors</w:t>
            </w:r>
          </w:p>
        </w:tc>
        <w:tc>
          <w:tcPr>
            <w:tcW w:w="2579" w:type="dxa"/>
            <w:shd w:val="clear" w:color="auto" w:fill="auto"/>
          </w:tcPr>
          <w:p w:rsidR="004E385C" w:rsidRPr="003C6EE0" w:rsidP="00066793" w14:paraId="7F0AEADE" w14:textId="768497CE">
            <w:pPr>
              <w:pStyle w:val="ParaNum"/>
              <w:widowControl/>
              <w:numPr>
                <w:ilvl w:val="0"/>
                <w:numId w:val="0"/>
              </w:numPr>
              <w:jc w:val="center"/>
            </w:pPr>
            <w:r w:rsidRPr="003C6EE0">
              <w:t>88.1%</w:t>
            </w:r>
          </w:p>
        </w:tc>
        <w:tc>
          <w:tcPr>
            <w:tcW w:w="2850" w:type="dxa"/>
            <w:shd w:val="clear" w:color="auto" w:fill="auto"/>
          </w:tcPr>
          <w:p w:rsidR="004E385C" w:rsidRPr="007316D1" w:rsidP="00066793" w14:paraId="3B6841F6" w14:textId="462A8CD7">
            <w:pPr>
              <w:pStyle w:val="ParaNum"/>
              <w:widowControl/>
              <w:numPr>
                <w:ilvl w:val="0"/>
                <w:numId w:val="0"/>
              </w:numPr>
              <w:jc w:val="center"/>
              <w:rPr>
                <w:i/>
                <w:iCs/>
              </w:rPr>
            </w:pPr>
            <w:r w:rsidRPr="00553837">
              <w:t>11.9%</w:t>
            </w:r>
          </w:p>
        </w:tc>
        <w:tc>
          <w:tcPr>
            <w:tcW w:w="2307" w:type="dxa"/>
            <w:shd w:val="clear" w:color="auto" w:fill="auto"/>
          </w:tcPr>
          <w:p w:rsidR="004E385C" w:rsidRPr="00DE049F" w:rsidP="00066793" w14:paraId="7AD293A7" w14:textId="7A171A1B">
            <w:pPr>
              <w:pStyle w:val="ParaNum"/>
              <w:widowControl/>
              <w:numPr>
                <w:ilvl w:val="0"/>
                <w:numId w:val="0"/>
              </w:numPr>
              <w:jc w:val="center"/>
              <w:rPr>
                <w:i/>
                <w:iCs/>
              </w:rPr>
            </w:pPr>
            <w:r w:rsidRPr="00553837">
              <w:t>42</w:t>
            </w:r>
          </w:p>
        </w:tc>
      </w:tr>
      <w:tr w14:paraId="42520B7E" w14:textId="77777777" w:rsidTr="008242E0">
        <w:tblPrEx>
          <w:tblW w:w="0" w:type="auto"/>
          <w:jc w:val="center"/>
          <w:tblLook w:val="04A0"/>
        </w:tblPrEx>
        <w:trPr>
          <w:jc w:val="center"/>
        </w:trPr>
        <w:tc>
          <w:tcPr>
            <w:tcW w:w="1109" w:type="dxa"/>
            <w:shd w:val="clear" w:color="auto" w:fill="auto"/>
          </w:tcPr>
          <w:p w:rsidR="004E385C" w:rsidRPr="00DE049F" w:rsidP="00066793" w14:paraId="2FA4F700" w14:textId="77777777">
            <w:pPr>
              <w:pStyle w:val="ParaNum"/>
              <w:widowControl/>
              <w:numPr>
                <w:ilvl w:val="0"/>
                <w:numId w:val="0"/>
              </w:numPr>
              <w:jc w:val="center"/>
              <w:rPr>
                <w:b/>
                <w:bCs/>
              </w:rPr>
            </w:pPr>
            <w:r w:rsidRPr="00DE049F">
              <w:rPr>
                <w:b/>
                <w:bCs/>
              </w:rPr>
              <w:t>Total</w:t>
            </w:r>
          </w:p>
        </w:tc>
        <w:tc>
          <w:tcPr>
            <w:tcW w:w="5429" w:type="dxa"/>
            <w:gridSpan w:val="2"/>
            <w:shd w:val="clear" w:color="auto" w:fill="auto"/>
          </w:tcPr>
          <w:p w:rsidR="004E385C" w:rsidRPr="007316D1" w:rsidP="00066793" w14:paraId="3124153D" w14:textId="635184D4">
            <w:pPr>
              <w:pStyle w:val="ParaNum"/>
              <w:widowControl/>
              <w:numPr>
                <w:ilvl w:val="0"/>
                <w:numId w:val="0"/>
              </w:numPr>
              <w:jc w:val="center"/>
              <w:rPr>
                <w:i/>
                <w:iCs/>
              </w:rPr>
            </w:pPr>
          </w:p>
        </w:tc>
        <w:tc>
          <w:tcPr>
            <w:tcW w:w="2307" w:type="dxa"/>
            <w:shd w:val="clear" w:color="auto" w:fill="auto"/>
          </w:tcPr>
          <w:p w:rsidR="004E385C" w:rsidRPr="00DE049F" w:rsidP="00066793" w14:paraId="1726B09C" w14:textId="41231805">
            <w:pPr>
              <w:pStyle w:val="ParaNum"/>
              <w:widowControl/>
              <w:numPr>
                <w:ilvl w:val="0"/>
                <w:numId w:val="0"/>
              </w:numPr>
              <w:jc w:val="center"/>
              <w:rPr>
                <w:i/>
                <w:iCs/>
              </w:rPr>
            </w:pPr>
            <w:r w:rsidRPr="00553837">
              <w:t>336</w:t>
            </w:r>
          </w:p>
        </w:tc>
      </w:tr>
    </w:tbl>
    <w:p w:rsidR="00E8084B" w:rsidP="00066793" w14:paraId="608FAACD" w14:textId="77777777">
      <w:pPr>
        <w:pStyle w:val="ParaNum"/>
        <w:widowControl/>
        <w:numPr>
          <w:ilvl w:val="0"/>
          <w:numId w:val="0"/>
        </w:numPr>
        <w:ind w:left="720"/>
      </w:pPr>
    </w:p>
    <w:p w:rsidR="00E8084B" w:rsidRPr="00635E59" w:rsidP="00066793" w14:paraId="02986600" w14:textId="19C2BCBA">
      <w:pPr>
        <w:pStyle w:val="ParaNum"/>
        <w:widowControl/>
        <w:numPr>
          <w:ilvl w:val="0"/>
          <w:numId w:val="0"/>
        </w:numPr>
      </w:pPr>
      <w:r>
        <w:t xml:space="preserve">The </w:t>
      </w:r>
      <w:r w:rsidR="002E6E0E">
        <w:t xml:space="preserve">completed survey </w:t>
      </w:r>
      <w:r>
        <w:t>data indicate that 90.1% of indoor mobile devices received the nationwide WEA test as compared to 88.1% of outdoor mobile devices.</w:t>
      </w:r>
      <w:r>
        <w:rPr>
          <w:rStyle w:val="FootnoteReference"/>
        </w:rPr>
        <w:footnoteReference w:id="59"/>
      </w:r>
      <w:r>
        <w:t xml:space="preserve">  </w:t>
      </w:r>
    </w:p>
    <w:p w:rsidR="00967FDF" w:rsidP="00066793" w14:paraId="23F03C7B" w14:textId="7A072275">
      <w:pPr>
        <w:pStyle w:val="Heading4"/>
        <w:widowControl/>
      </w:pPr>
      <w:bookmarkStart w:id="121" w:name="_Toc83909792"/>
      <w:bookmarkStart w:id="122" w:name="_Toc83911817"/>
      <w:bookmarkStart w:id="123" w:name="_Toc84335322"/>
      <w:bookmarkStart w:id="124" w:name="_Toc84597877"/>
      <w:bookmarkStart w:id="125" w:name="_Toc84926097"/>
      <w:bookmarkStart w:id="126" w:name="_Toc84933032"/>
      <w:bookmarkStart w:id="127" w:name="_Toc85552927"/>
      <w:r>
        <w:t xml:space="preserve">By </w:t>
      </w:r>
      <w:r w:rsidR="008239E4">
        <w:t xml:space="preserve">Whether Device </w:t>
      </w:r>
      <w:r w:rsidR="0082678F">
        <w:t>W</w:t>
      </w:r>
      <w:r w:rsidR="008239E4">
        <w:t xml:space="preserve">as </w:t>
      </w:r>
      <w:r w:rsidR="0082678F">
        <w:t>I</w:t>
      </w:r>
      <w:r w:rsidR="008239E4">
        <w:t xml:space="preserve">n </w:t>
      </w:r>
      <w:r w:rsidR="0082678F">
        <w:t>U</w:t>
      </w:r>
      <w:r w:rsidR="008239E4">
        <w:t>se</w:t>
      </w:r>
      <w:bookmarkEnd w:id="121"/>
      <w:bookmarkEnd w:id="122"/>
      <w:bookmarkEnd w:id="123"/>
      <w:bookmarkEnd w:id="124"/>
      <w:bookmarkEnd w:id="125"/>
      <w:bookmarkEnd w:id="126"/>
      <w:bookmarkEnd w:id="127"/>
      <w:r w:rsidR="008239E4">
        <w:t xml:space="preserve"> </w:t>
      </w:r>
    </w:p>
    <w:p w:rsidR="006C5CF4" w:rsidP="00066793" w14:paraId="233DAF42" w14:textId="76D87445">
      <w:pPr>
        <w:pStyle w:val="ParaNum"/>
        <w:widowControl/>
      </w:pPr>
      <w:r>
        <w:t>Based on the Nationwide WEA Test Survey data, PSHSB finds no statistical difference between the performance of mobile devices based on whether they are engaged in an active voice or data session at the time they receive a WEA alert.</w:t>
      </w:r>
      <w:r>
        <w:rPr>
          <w:rStyle w:val="FootnoteReference"/>
        </w:rPr>
        <w:footnoteReference w:id="60"/>
      </w:r>
      <w:r>
        <w:t xml:space="preserve">  </w:t>
      </w:r>
      <w:r w:rsidR="007249AB">
        <w:t xml:space="preserve">The Commission’s WEA rules </w:t>
      </w:r>
      <w:r w:rsidR="002B4C2D">
        <w:t>prohibit WEA-capable mobile devices from allowing a WEA alert to preempt an active voice or data session</w:t>
      </w:r>
      <w:r w:rsidR="00F654B3">
        <w:t>.</w:t>
      </w:r>
      <w:r>
        <w:rPr>
          <w:rStyle w:val="FootnoteReference"/>
        </w:rPr>
        <w:footnoteReference w:id="61"/>
      </w:r>
      <w:r w:rsidR="00F654B3">
        <w:t xml:space="preserve">  </w:t>
      </w:r>
      <w:r w:rsidR="00262270">
        <w:t xml:space="preserve">Instead, WEA-capable mobile devices should present WEA alert simultaneous with </w:t>
      </w:r>
      <w:r w:rsidR="00146EDC">
        <w:t>ongoing</w:t>
      </w:r>
      <w:r w:rsidR="00262270">
        <w:t xml:space="preserve"> voice or data sessions.</w:t>
      </w:r>
      <w:r>
        <w:rPr>
          <w:rStyle w:val="FootnoteReference"/>
        </w:rPr>
        <w:footnoteReference w:id="62"/>
      </w:r>
      <w:r w:rsidR="00262270">
        <w:t xml:space="preserve"> </w:t>
      </w:r>
      <w:r w:rsidR="00146EDC">
        <w:t xml:space="preserve"> </w:t>
      </w:r>
      <w:r w:rsidR="00B10AAF">
        <w:t>The</w:t>
      </w:r>
      <w:r w:rsidRPr="000039DA">
        <w:t xml:space="preserve"> nationwide WEA test survey asked respondents to identify </w:t>
      </w:r>
      <w:r w:rsidR="007707D2">
        <w:t>whether their mobile device was in</w:t>
      </w:r>
      <w:r w:rsidR="00B93D3D">
        <w:t xml:space="preserve"> </w:t>
      </w:r>
      <w:r w:rsidR="007707D2">
        <w:t xml:space="preserve">use at the time </w:t>
      </w:r>
      <w:r w:rsidR="003E7F59">
        <w:t>FEMA sent</w:t>
      </w:r>
      <w:r w:rsidR="007707D2">
        <w:t xml:space="preserve"> the nationwide WEA test</w:t>
      </w:r>
      <w:r w:rsidRPr="000039DA">
        <w:t xml:space="preserve">. </w:t>
      </w:r>
      <w:r w:rsidR="00572FED">
        <w:t xml:space="preserve"> </w:t>
      </w:r>
      <w:r w:rsidRPr="00B10AAF">
        <w:rPr>
          <w:b/>
          <w:bCs/>
        </w:rPr>
        <w:t xml:space="preserve">Table </w:t>
      </w:r>
      <w:r w:rsidR="006C0071">
        <w:rPr>
          <w:b/>
          <w:bCs/>
        </w:rPr>
        <w:t>9</w:t>
      </w:r>
      <w:r w:rsidRPr="000039DA">
        <w:t xml:space="preserve"> shows how reliably </w:t>
      </w:r>
      <w:r w:rsidR="005D6CEC">
        <w:t xml:space="preserve">mobile devices </w:t>
      </w:r>
      <w:r w:rsidR="00262270">
        <w:t xml:space="preserve">presented </w:t>
      </w:r>
      <w:r w:rsidR="005D6CEC">
        <w:t>the nationwide WEA t</w:t>
      </w:r>
      <w:r w:rsidRPr="000039DA">
        <w:t>est</w:t>
      </w:r>
      <w:r w:rsidR="005D6CEC">
        <w:t xml:space="preserve"> while engaged in an active voice or data session</w:t>
      </w:r>
      <w:r w:rsidRPr="000039DA">
        <w:t>.</w:t>
      </w:r>
      <w:r>
        <w:rPr>
          <w:rStyle w:val="FootnoteReference"/>
        </w:rPr>
        <w:footnoteReference w:id="63"/>
      </w:r>
      <w:r w:rsidRPr="000039DA">
        <w:t xml:space="preserve"> </w:t>
      </w:r>
      <w:r w:rsidR="00262270">
        <w:t xml:space="preserve"> </w:t>
      </w:r>
    </w:p>
    <w:p w:rsidR="00066793" w:rsidP="00066793" w14:paraId="68F169CF" w14:textId="10751606">
      <w:pPr>
        <w:pStyle w:val="ParaNum"/>
        <w:widowControl/>
        <w:numPr>
          <w:ilvl w:val="0"/>
          <w:numId w:val="0"/>
        </w:numPr>
        <w:ind w:firstLine="720"/>
      </w:pPr>
    </w:p>
    <w:p w:rsidR="00066793" w:rsidP="00066793" w14:paraId="76DAA643" w14:textId="3D29607C">
      <w:pPr>
        <w:pStyle w:val="ParaNum"/>
        <w:widowControl/>
        <w:numPr>
          <w:ilvl w:val="0"/>
          <w:numId w:val="0"/>
        </w:numPr>
        <w:ind w:firstLine="720"/>
      </w:pPr>
    </w:p>
    <w:p w:rsidR="00066793" w:rsidP="00066793" w14:paraId="77675088" w14:textId="5189694A">
      <w:pPr>
        <w:pStyle w:val="ParaNum"/>
        <w:widowControl/>
        <w:numPr>
          <w:ilvl w:val="0"/>
          <w:numId w:val="0"/>
        </w:numPr>
        <w:ind w:firstLine="720"/>
      </w:pPr>
    </w:p>
    <w:p w:rsidR="00066793" w:rsidP="00066793" w14:paraId="1F992DB4" w14:textId="527B027E">
      <w:pPr>
        <w:pStyle w:val="ParaNum"/>
        <w:widowControl/>
        <w:numPr>
          <w:ilvl w:val="0"/>
          <w:numId w:val="0"/>
        </w:numPr>
        <w:ind w:firstLine="720"/>
      </w:pPr>
    </w:p>
    <w:p w:rsidR="00066793" w:rsidP="00066793" w14:paraId="541B8D24" w14:textId="77777777">
      <w:pPr>
        <w:pStyle w:val="ParaNum"/>
        <w:widowControl/>
        <w:numPr>
          <w:ilvl w:val="0"/>
          <w:numId w:val="0"/>
        </w:numPr>
        <w:ind w:firstLine="72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
        <w:gridCol w:w="2579"/>
        <w:gridCol w:w="2850"/>
        <w:gridCol w:w="2823"/>
      </w:tblGrid>
      <w:tr w14:paraId="1A1C3D13" w14:textId="77777777" w:rsidTr="004E385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287" w:type="dxa"/>
            <w:gridSpan w:val="4"/>
            <w:shd w:val="clear" w:color="auto" w:fill="E7E6E6" w:themeFill="background2"/>
          </w:tcPr>
          <w:p w:rsidR="00DE049F" w:rsidRPr="00DE049F" w:rsidP="00066793" w14:paraId="613ED0BD" w14:textId="4009EB7E">
            <w:pPr>
              <w:pStyle w:val="ParaNum"/>
              <w:widowControl/>
              <w:numPr>
                <w:ilvl w:val="0"/>
                <w:numId w:val="0"/>
              </w:numPr>
              <w:jc w:val="center"/>
              <w:rPr>
                <w:b/>
                <w:bCs/>
              </w:rPr>
            </w:pPr>
            <w:r>
              <w:rPr>
                <w:b/>
                <w:bCs/>
              </w:rPr>
              <w:t xml:space="preserve">Table </w:t>
            </w:r>
            <w:r w:rsidR="006C0071">
              <w:rPr>
                <w:b/>
                <w:bCs/>
              </w:rPr>
              <w:t>9</w:t>
            </w:r>
          </w:p>
          <w:p w:rsidR="00F12652" w:rsidP="00066793" w14:paraId="09FFB2C2" w14:textId="03A4B84B">
            <w:pPr>
              <w:pStyle w:val="ParaNum"/>
              <w:widowControl/>
              <w:numPr>
                <w:ilvl w:val="0"/>
                <w:numId w:val="0"/>
              </w:numPr>
              <w:jc w:val="center"/>
            </w:pPr>
            <w:r>
              <w:t>Test Reception Rates</w:t>
            </w:r>
          </w:p>
          <w:p w:rsidR="00F12652" w:rsidP="00066793" w14:paraId="31796B75" w14:textId="24580614">
            <w:pPr>
              <w:pStyle w:val="ParaNum"/>
              <w:widowControl/>
              <w:numPr>
                <w:ilvl w:val="0"/>
                <w:numId w:val="0"/>
              </w:numPr>
              <w:jc w:val="center"/>
            </w:pPr>
            <w:r>
              <w:t xml:space="preserve">By </w:t>
            </w:r>
            <w:r w:rsidR="008239E4">
              <w:t>Device Usage</w:t>
            </w:r>
          </w:p>
        </w:tc>
      </w:tr>
      <w:tr w14:paraId="2B5166C3" w14:textId="77777777" w:rsidTr="004E385C">
        <w:tblPrEx>
          <w:tblW w:w="0" w:type="auto"/>
          <w:jc w:val="center"/>
          <w:tblLook w:val="04A0"/>
        </w:tblPrEx>
        <w:trPr>
          <w:jc w:val="center"/>
        </w:trPr>
        <w:tc>
          <w:tcPr>
            <w:tcW w:w="9287" w:type="dxa"/>
            <w:gridSpan w:val="4"/>
            <w:shd w:val="clear" w:color="auto" w:fill="4472C4" w:themeFill="accent1"/>
          </w:tcPr>
          <w:p w:rsidR="004E385C" w:rsidRPr="00066793" w:rsidP="00066793" w14:paraId="1D3C3F34" w14:textId="38A8909F">
            <w:pPr>
              <w:pStyle w:val="ParaNum"/>
              <w:widowControl/>
              <w:numPr>
                <w:ilvl w:val="0"/>
                <w:numId w:val="0"/>
              </w:numPr>
              <w:jc w:val="center"/>
              <w:rPr>
                <w:b/>
                <w:bCs/>
              </w:rPr>
            </w:pPr>
            <w:r>
              <w:rPr>
                <w:b/>
                <w:bCs/>
              </w:rPr>
              <w:t>Completed Survey Response</w:t>
            </w:r>
            <w:r w:rsidRPr="00DE049F">
              <w:rPr>
                <w:b/>
                <w:bCs/>
              </w:rPr>
              <w:t xml:space="preserve"> Results</w:t>
            </w:r>
          </w:p>
        </w:tc>
      </w:tr>
      <w:tr w14:paraId="3B360C43" w14:textId="77777777" w:rsidTr="008242E0">
        <w:tblPrEx>
          <w:tblW w:w="0" w:type="auto"/>
          <w:jc w:val="center"/>
          <w:tblLook w:val="04A0"/>
        </w:tblPrEx>
        <w:trPr>
          <w:jc w:val="center"/>
        </w:trPr>
        <w:tc>
          <w:tcPr>
            <w:tcW w:w="1035" w:type="dxa"/>
            <w:shd w:val="clear" w:color="auto" w:fill="E7E6E6" w:themeFill="background2"/>
          </w:tcPr>
          <w:p w:rsidR="004E385C" w:rsidRPr="00DE049F" w:rsidP="00066793" w14:paraId="6CE01B82" w14:textId="77777777">
            <w:pPr>
              <w:pStyle w:val="ParaNum"/>
              <w:widowControl/>
              <w:numPr>
                <w:ilvl w:val="0"/>
                <w:numId w:val="0"/>
              </w:numPr>
              <w:rPr>
                <w:b/>
                <w:bCs/>
              </w:rPr>
            </w:pPr>
          </w:p>
        </w:tc>
        <w:tc>
          <w:tcPr>
            <w:tcW w:w="2579" w:type="dxa"/>
            <w:shd w:val="clear" w:color="auto" w:fill="E7E6E6" w:themeFill="background2"/>
            <w:vAlign w:val="center"/>
          </w:tcPr>
          <w:p w:rsidR="004E385C" w:rsidRPr="00DE049F" w:rsidP="00066793" w14:paraId="58C6211C" w14:textId="3861BD3B">
            <w:pPr>
              <w:pStyle w:val="ParaNum"/>
              <w:widowControl/>
              <w:numPr>
                <w:ilvl w:val="0"/>
                <w:numId w:val="0"/>
              </w:numPr>
              <w:jc w:val="center"/>
              <w:rPr>
                <w:b/>
                <w:bCs/>
              </w:rPr>
            </w:pPr>
            <w:r w:rsidRPr="00DE049F">
              <w:rPr>
                <w:b/>
                <w:bCs/>
              </w:rPr>
              <w:t>Test Received</w:t>
            </w:r>
          </w:p>
        </w:tc>
        <w:tc>
          <w:tcPr>
            <w:tcW w:w="2850" w:type="dxa"/>
            <w:shd w:val="clear" w:color="auto" w:fill="E7E6E6" w:themeFill="background2"/>
            <w:vAlign w:val="center"/>
          </w:tcPr>
          <w:p w:rsidR="004E385C" w:rsidRPr="00DE049F" w:rsidP="00066793" w14:paraId="12243C0E" w14:textId="7D9BF2C3">
            <w:pPr>
              <w:pStyle w:val="ParaNum"/>
              <w:widowControl/>
              <w:numPr>
                <w:ilvl w:val="0"/>
                <w:numId w:val="0"/>
              </w:numPr>
              <w:jc w:val="center"/>
              <w:rPr>
                <w:i/>
                <w:iCs/>
              </w:rPr>
            </w:pPr>
            <w:r w:rsidRPr="00DE049F">
              <w:rPr>
                <w:b/>
                <w:bCs/>
              </w:rPr>
              <w:t>Test not Received</w:t>
            </w:r>
          </w:p>
        </w:tc>
        <w:tc>
          <w:tcPr>
            <w:tcW w:w="2823" w:type="dxa"/>
            <w:shd w:val="clear" w:color="auto" w:fill="E7E6E6" w:themeFill="background2"/>
            <w:vAlign w:val="center"/>
          </w:tcPr>
          <w:p w:rsidR="004E385C" w:rsidRPr="00DE049F" w:rsidP="00066793" w14:paraId="67FEF626" w14:textId="363125C4">
            <w:pPr>
              <w:pStyle w:val="ParaNum"/>
              <w:widowControl/>
              <w:numPr>
                <w:ilvl w:val="0"/>
                <w:numId w:val="0"/>
              </w:numPr>
              <w:jc w:val="center"/>
              <w:rPr>
                <w:i/>
                <w:iCs/>
              </w:rPr>
            </w:pPr>
            <w:r w:rsidRPr="00DE049F">
              <w:rPr>
                <w:b/>
                <w:bCs/>
              </w:rPr>
              <w:t>Total Response Count</w:t>
            </w:r>
          </w:p>
        </w:tc>
      </w:tr>
      <w:tr w14:paraId="5519A3CA" w14:textId="77777777" w:rsidTr="008242E0">
        <w:tblPrEx>
          <w:tblW w:w="0" w:type="auto"/>
          <w:jc w:val="center"/>
          <w:tblLook w:val="04A0"/>
        </w:tblPrEx>
        <w:trPr>
          <w:jc w:val="center"/>
        </w:trPr>
        <w:tc>
          <w:tcPr>
            <w:tcW w:w="1035" w:type="dxa"/>
            <w:shd w:val="clear" w:color="auto" w:fill="auto"/>
          </w:tcPr>
          <w:p w:rsidR="004E385C" w:rsidRPr="00DE049F" w:rsidP="00066793" w14:paraId="238134DE" w14:textId="42441372">
            <w:pPr>
              <w:pStyle w:val="ParaNum"/>
              <w:widowControl/>
              <w:numPr>
                <w:ilvl w:val="0"/>
                <w:numId w:val="0"/>
              </w:numPr>
              <w:rPr>
                <w:b/>
                <w:bCs/>
              </w:rPr>
            </w:pPr>
            <w:r w:rsidRPr="00DE049F">
              <w:rPr>
                <w:b/>
                <w:bCs/>
              </w:rPr>
              <w:t>In-use</w:t>
            </w:r>
          </w:p>
        </w:tc>
        <w:tc>
          <w:tcPr>
            <w:tcW w:w="2579" w:type="dxa"/>
            <w:shd w:val="clear" w:color="auto" w:fill="auto"/>
            <w:vAlign w:val="center"/>
          </w:tcPr>
          <w:p w:rsidR="004E385C" w:rsidRPr="00DE049F" w:rsidP="00066793" w14:paraId="5F7B7180" w14:textId="2A1923D4">
            <w:pPr>
              <w:pStyle w:val="ParaNum"/>
              <w:widowControl/>
              <w:numPr>
                <w:ilvl w:val="0"/>
                <w:numId w:val="0"/>
              </w:numPr>
              <w:jc w:val="center"/>
              <w:rPr>
                <w:b/>
                <w:bCs/>
              </w:rPr>
            </w:pPr>
            <w:r w:rsidRPr="00DE049F">
              <w:rPr>
                <w:b/>
                <w:bCs/>
              </w:rPr>
              <w:t>95.6%</w:t>
            </w:r>
          </w:p>
        </w:tc>
        <w:tc>
          <w:tcPr>
            <w:tcW w:w="2850" w:type="dxa"/>
            <w:shd w:val="clear" w:color="auto" w:fill="auto"/>
            <w:vAlign w:val="center"/>
          </w:tcPr>
          <w:p w:rsidR="004E385C" w:rsidRPr="00DE049F" w:rsidP="00066793" w14:paraId="218D2D89" w14:textId="71794C62">
            <w:pPr>
              <w:pStyle w:val="ParaNum"/>
              <w:widowControl/>
              <w:numPr>
                <w:ilvl w:val="0"/>
                <w:numId w:val="0"/>
              </w:numPr>
              <w:jc w:val="center"/>
              <w:rPr>
                <w:i/>
                <w:iCs/>
              </w:rPr>
            </w:pPr>
            <w:r w:rsidRPr="00DE049F">
              <w:rPr>
                <w:b/>
                <w:bCs/>
              </w:rPr>
              <w:t>4.4%</w:t>
            </w:r>
          </w:p>
        </w:tc>
        <w:tc>
          <w:tcPr>
            <w:tcW w:w="2823" w:type="dxa"/>
            <w:shd w:val="clear" w:color="auto" w:fill="auto"/>
            <w:vAlign w:val="center"/>
          </w:tcPr>
          <w:p w:rsidR="004E385C" w:rsidRPr="00DE049F" w:rsidP="00066793" w14:paraId="0E40556B" w14:textId="60B48110">
            <w:pPr>
              <w:pStyle w:val="ParaNum"/>
              <w:widowControl/>
              <w:numPr>
                <w:ilvl w:val="0"/>
                <w:numId w:val="0"/>
              </w:numPr>
              <w:jc w:val="center"/>
              <w:rPr>
                <w:i/>
                <w:iCs/>
              </w:rPr>
            </w:pPr>
            <w:r w:rsidRPr="00DE049F">
              <w:rPr>
                <w:b/>
                <w:bCs/>
              </w:rPr>
              <w:t>69</w:t>
            </w:r>
          </w:p>
        </w:tc>
      </w:tr>
      <w:tr w14:paraId="3D5C5437" w14:textId="77777777" w:rsidTr="008242E0">
        <w:tblPrEx>
          <w:tblW w:w="0" w:type="auto"/>
          <w:jc w:val="center"/>
          <w:tblLook w:val="04A0"/>
        </w:tblPrEx>
        <w:trPr>
          <w:trHeight w:val="70"/>
          <w:jc w:val="center"/>
        </w:trPr>
        <w:tc>
          <w:tcPr>
            <w:tcW w:w="1035" w:type="dxa"/>
            <w:shd w:val="clear" w:color="auto" w:fill="auto"/>
          </w:tcPr>
          <w:p w:rsidR="004E385C" w:rsidRPr="00DE049F" w:rsidP="00066793" w14:paraId="53AD65E2" w14:textId="7720B925">
            <w:pPr>
              <w:pStyle w:val="ParaNum"/>
              <w:widowControl/>
              <w:numPr>
                <w:ilvl w:val="0"/>
                <w:numId w:val="0"/>
              </w:numPr>
              <w:rPr>
                <w:b/>
                <w:bCs/>
              </w:rPr>
            </w:pPr>
            <w:r w:rsidRPr="00DE049F">
              <w:rPr>
                <w:b/>
                <w:bCs/>
              </w:rPr>
              <w:t>Not in-use</w:t>
            </w:r>
          </w:p>
        </w:tc>
        <w:tc>
          <w:tcPr>
            <w:tcW w:w="2579" w:type="dxa"/>
            <w:shd w:val="clear" w:color="auto" w:fill="auto"/>
            <w:vAlign w:val="center"/>
          </w:tcPr>
          <w:p w:rsidR="004E385C" w:rsidRPr="00DE049F" w:rsidP="00066793" w14:paraId="7A98C7C6" w14:textId="23DA7A83">
            <w:pPr>
              <w:pStyle w:val="ParaNum"/>
              <w:widowControl/>
              <w:numPr>
                <w:ilvl w:val="0"/>
                <w:numId w:val="0"/>
              </w:numPr>
              <w:jc w:val="center"/>
              <w:rPr>
                <w:b/>
                <w:bCs/>
              </w:rPr>
            </w:pPr>
            <w:r w:rsidRPr="00DE049F">
              <w:rPr>
                <w:b/>
                <w:bCs/>
              </w:rPr>
              <w:t>89.5%</w:t>
            </w:r>
          </w:p>
        </w:tc>
        <w:tc>
          <w:tcPr>
            <w:tcW w:w="2850" w:type="dxa"/>
            <w:shd w:val="clear" w:color="auto" w:fill="auto"/>
            <w:vAlign w:val="center"/>
          </w:tcPr>
          <w:p w:rsidR="004E385C" w:rsidRPr="00DE049F" w:rsidP="00066793" w14:paraId="5378766D" w14:textId="0691904C">
            <w:pPr>
              <w:pStyle w:val="ParaNum"/>
              <w:widowControl/>
              <w:numPr>
                <w:ilvl w:val="0"/>
                <w:numId w:val="0"/>
              </w:numPr>
              <w:jc w:val="center"/>
              <w:rPr>
                <w:i/>
                <w:iCs/>
              </w:rPr>
            </w:pPr>
            <w:r w:rsidRPr="00DE049F">
              <w:rPr>
                <w:b/>
                <w:bCs/>
              </w:rPr>
              <w:t>10.5%</w:t>
            </w:r>
          </w:p>
        </w:tc>
        <w:tc>
          <w:tcPr>
            <w:tcW w:w="2823" w:type="dxa"/>
            <w:shd w:val="clear" w:color="auto" w:fill="auto"/>
            <w:vAlign w:val="center"/>
          </w:tcPr>
          <w:p w:rsidR="004E385C" w:rsidRPr="00DE049F" w:rsidP="00066793" w14:paraId="4FA30DFC" w14:textId="0763AC68">
            <w:pPr>
              <w:pStyle w:val="ParaNum"/>
              <w:widowControl/>
              <w:numPr>
                <w:ilvl w:val="0"/>
                <w:numId w:val="0"/>
              </w:numPr>
              <w:jc w:val="center"/>
              <w:rPr>
                <w:i/>
                <w:iCs/>
              </w:rPr>
            </w:pPr>
            <w:r w:rsidRPr="00DE049F">
              <w:rPr>
                <w:b/>
                <w:bCs/>
              </w:rPr>
              <w:t>267</w:t>
            </w:r>
          </w:p>
        </w:tc>
      </w:tr>
      <w:tr w14:paraId="30E5988D" w14:textId="77777777" w:rsidTr="008242E0">
        <w:tblPrEx>
          <w:tblW w:w="0" w:type="auto"/>
          <w:jc w:val="center"/>
          <w:tblLook w:val="04A0"/>
        </w:tblPrEx>
        <w:trPr>
          <w:jc w:val="center"/>
        </w:trPr>
        <w:tc>
          <w:tcPr>
            <w:tcW w:w="1035" w:type="dxa"/>
            <w:shd w:val="clear" w:color="auto" w:fill="auto"/>
          </w:tcPr>
          <w:p w:rsidR="004E385C" w:rsidRPr="00DE049F" w:rsidP="00066793" w14:paraId="1A178964" w14:textId="77777777">
            <w:pPr>
              <w:pStyle w:val="ParaNum"/>
              <w:widowControl/>
              <w:numPr>
                <w:ilvl w:val="0"/>
                <w:numId w:val="0"/>
              </w:numPr>
              <w:rPr>
                <w:b/>
                <w:bCs/>
              </w:rPr>
            </w:pPr>
            <w:r w:rsidRPr="00DE049F">
              <w:rPr>
                <w:b/>
                <w:bCs/>
              </w:rPr>
              <w:t>Total</w:t>
            </w:r>
          </w:p>
        </w:tc>
        <w:tc>
          <w:tcPr>
            <w:tcW w:w="5429" w:type="dxa"/>
            <w:gridSpan w:val="2"/>
            <w:shd w:val="clear" w:color="auto" w:fill="auto"/>
            <w:vAlign w:val="center"/>
          </w:tcPr>
          <w:p w:rsidR="004E385C" w:rsidRPr="00DE049F" w:rsidP="00066793" w14:paraId="21FD0E5F" w14:textId="5C6BDDED">
            <w:pPr>
              <w:pStyle w:val="ParaNum"/>
              <w:widowControl/>
              <w:numPr>
                <w:ilvl w:val="0"/>
                <w:numId w:val="0"/>
              </w:numPr>
              <w:jc w:val="center"/>
              <w:rPr>
                <w:i/>
                <w:iCs/>
              </w:rPr>
            </w:pPr>
          </w:p>
        </w:tc>
        <w:tc>
          <w:tcPr>
            <w:tcW w:w="2823" w:type="dxa"/>
            <w:shd w:val="clear" w:color="auto" w:fill="auto"/>
            <w:vAlign w:val="center"/>
          </w:tcPr>
          <w:p w:rsidR="004E385C" w:rsidRPr="00DE049F" w:rsidP="00066793" w14:paraId="6CE539C1" w14:textId="71C8FFF2">
            <w:pPr>
              <w:pStyle w:val="ParaNum"/>
              <w:widowControl/>
              <w:numPr>
                <w:ilvl w:val="0"/>
                <w:numId w:val="0"/>
              </w:numPr>
              <w:jc w:val="center"/>
              <w:rPr>
                <w:i/>
                <w:iCs/>
              </w:rPr>
            </w:pPr>
            <w:r w:rsidRPr="00DE049F">
              <w:rPr>
                <w:b/>
                <w:bCs/>
              </w:rPr>
              <w:t>336</w:t>
            </w:r>
          </w:p>
        </w:tc>
      </w:tr>
    </w:tbl>
    <w:p w:rsidR="00F12652" w:rsidP="00066793" w14:paraId="6F32C6C0" w14:textId="05A37F66">
      <w:pPr>
        <w:pStyle w:val="ParaNum"/>
        <w:widowControl/>
        <w:numPr>
          <w:ilvl w:val="0"/>
          <w:numId w:val="0"/>
        </w:numPr>
        <w:ind w:left="720"/>
      </w:pPr>
    </w:p>
    <w:p w:rsidR="006A73FE" w:rsidRPr="00F12652" w:rsidP="00066793" w14:paraId="0EBE3A80" w14:textId="7C14D4A7">
      <w:pPr>
        <w:pStyle w:val="ParaNum"/>
        <w:widowControl/>
        <w:numPr>
          <w:ilvl w:val="0"/>
          <w:numId w:val="0"/>
        </w:numPr>
      </w:pPr>
      <w:r>
        <w:t xml:space="preserve">The </w:t>
      </w:r>
      <w:r w:rsidR="007B30CE">
        <w:t xml:space="preserve">completed survey </w:t>
      </w:r>
      <w:r>
        <w:t xml:space="preserve">data indicate that 95.6% of mobile devices received the </w:t>
      </w:r>
      <w:r w:rsidR="00B80F56">
        <w:t>nationwide WEA test while in use, as compared to 89.5% of mobile devices that received the nationwide WEA test while not in use.</w:t>
      </w:r>
      <w:r>
        <w:t xml:space="preserve"> </w:t>
      </w:r>
      <w:r w:rsidR="006845C0">
        <w:t xml:space="preserve"> </w:t>
      </w:r>
      <w:r w:rsidR="007F5304">
        <w:t xml:space="preserve"> </w:t>
      </w:r>
    </w:p>
    <w:p w:rsidR="00AB27FA" w:rsidP="00066793" w14:paraId="7D8985E6" w14:textId="57C6B01A">
      <w:pPr>
        <w:pStyle w:val="Heading3"/>
        <w:widowControl/>
      </w:pPr>
      <w:bookmarkStart w:id="128" w:name="_Toc83909793"/>
      <w:bookmarkStart w:id="129" w:name="_Toc83911818"/>
      <w:bookmarkStart w:id="130" w:name="_Toc84335323"/>
      <w:bookmarkStart w:id="131" w:name="_Toc84597878"/>
      <w:bookmarkStart w:id="132" w:name="_Toc84926098"/>
      <w:bookmarkStart w:id="133" w:name="_Toc84933033"/>
      <w:bookmarkStart w:id="134" w:name="_Toc85552928"/>
      <w:r>
        <w:t>Latency</w:t>
      </w:r>
      <w:bookmarkEnd w:id="128"/>
      <w:bookmarkEnd w:id="129"/>
      <w:bookmarkEnd w:id="130"/>
      <w:bookmarkEnd w:id="131"/>
      <w:bookmarkEnd w:id="132"/>
      <w:bookmarkEnd w:id="133"/>
      <w:bookmarkEnd w:id="134"/>
    </w:p>
    <w:p w:rsidR="00EA6DF7" w:rsidP="00066793" w14:paraId="18DB8B15" w14:textId="77777777">
      <w:pPr>
        <w:pStyle w:val="Heading4"/>
        <w:widowControl/>
      </w:pPr>
      <w:bookmarkStart w:id="135" w:name="_Toc83909795"/>
      <w:bookmarkStart w:id="136" w:name="_Toc83911819"/>
      <w:bookmarkStart w:id="137" w:name="_Toc84335324"/>
      <w:bookmarkStart w:id="138" w:name="_Toc84597879"/>
      <w:bookmarkStart w:id="139" w:name="_Toc84926099"/>
      <w:bookmarkStart w:id="140" w:name="_Toc84933034"/>
      <w:bookmarkStart w:id="141" w:name="_Toc85552929"/>
      <w:bookmarkStart w:id="142" w:name="_Toc83909794"/>
      <w:r>
        <w:t>CMS Provider Network Latency Analysis</w:t>
      </w:r>
      <w:bookmarkEnd w:id="135"/>
      <w:bookmarkEnd w:id="136"/>
      <w:bookmarkEnd w:id="137"/>
      <w:bookmarkEnd w:id="138"/>
      <w:bookmarkEnd w:id="139"/>
      <w:bookmarkEnd w:id="140"/>
      <w:bookmarkEnd w:id="141"/>
    </w:p>
    <w:p w:rsidR="00EA6DF7" w:rsidP="00066793" w14:paraId="39735748" w14:textId="19800F74">
      <w:pPr>
        <w:pStyle w:val="ParaNum"/>
        <w:widowControl/>
      </w:pPr>
      <w:r>
        <w:t xml:space="preserve">The Commission does not require CMS Providers to deliver WEA alerts to the public within a particular timeframe from when they receive </w:t>
      </w:r>
      <w:r w:rsidR="000A7376">
        <w:t>it</w:t>
      </w:r>
      <w:r>
        <w:t xml:space="preserve"> from the IPAWS gateway.  </w:t>
      </w:r>
      <w:r>
        <w:t>The nationwide CMS Providers’ responses</w:t>
      </w:r>
      <w:r w:rsidR="00B93D3D">
        <w:t>, however,</w:t>
      </w:r>
      <w:r w:rsidR="00416E67">
        <w:t xml:space="preserve"> </w:t>
      </w:r>
      <w:r>
        <w:t>illuminate how WEA alerts transit the nationwide CMS Providers’ networks</w:t>
      </w:r>
      <w:r>
        <w:t xml:space="preserve"> today from the alert gateway to the cell site</w:t>
      </w:r>
      <w:r>
        <w:t>, and how long each step in that process takes.  AT&amp;T reports that the nationwide WEA test traversed its network infrastructure from alert gateway to cell site in approximately 41.1 seconds.</w:t>
      </w:r>
      <w:r>
        <w:rPr>
          <w:rStyle w:val="FootnoteReference"/>
        </w:rPr>
        <w:footnoteReference w:id="64"/>
      </w:r>
      <w:r>
        <w:t xml:space="preserve">  Verizon reports that the nationwide WEA test traversed its network infrastructure from alert gateway to cell site in 55.306</w:t>
      </w:r>
      <w:r w:rsidR="00262270">
        <w:t>-55.769</w:t>
      </w:r>
      <w:r>
        <w:t xml:space="preserve"> seconds.</w:t>
      </w:r>
      <w:r>
        <w:rPr>
          <w:rStyle w:val="FootnoteReference"/>
        </w:rPr>
        <w:footnoteReference w:id="65"/>
      </w:r>
      <w:r>
        <w:t xml:space="preserve"> </w:t>
      </w:r>
      <w:r w:rsidR="00EC6E6A">
        <w:t xml:space="preserve"> </w:t>
      </w:r>
      <w:r>
        <w:t xml:space="preserve">T-Mobile reports that the nationwide WEA test traversed its network infrastructure from alert gateway to cell site in </w:t>
      </w:r>
      <w:r w:rsidR="00B16C2D">
        <w:t xml:space="preserve">36.679 </w:t>
      </w:r>
      <w:r>
        <w:t>seconds.</w:t>
      </w:r>
      <w:r>
        <w:rPr>
          <w:rStyle w:val="FootnoteReference"/>
        </w:rPr>
        <w:footnoteReference w:id="66"/>
      </w:r>
      <w:r>
        <w:t xml:space="preserve">  </w:t>
      </w:r>
      <w:r w:rsidR="006B00B6">
        <w:rPr>
          <w:b/>
          <w:bCs/>
        </w:rPr>
        <w:t>Figure 1</w:t>
      </w:r>
      <w:r w:rsidR="006B00B6">
        <w:t xml:space="preserve">, below, illustrates the alert transmission steps about which CMS Providers were able to provide latency data (Wireless Service Provider-Identified Latency), the portion of WEA’s end-to-end transmission path about which this report seeks to present latency data by supplementing CMS Providers’ responses with data from Nationwide WEA Test Survey respondents (Overall Latency Assessed by This </w:t>
      </w:r>
      <w:r w:rsidR="006B00B6">
        <w:t xml:space="preserve">Report), and the full, end-to-end transmission path of a WEA alert, which further testing would be necessary to assess. </w:t>
      </w:r>
    </w:p>
    <w:p w:rsidR="001E168C" w:rsidRPr="001E168C" w:rsidP="00066793" w14:paraId="15833A63" w14:textId="03C3B1F2">
      <w:pPr>
        <w:pStyle w:val="ParaNum"/>
        <w:widowControl/>
        <w:numPr>
          <w:ilvl w:val="0"/>
          <w:numId w:val="0"/>
        </w:numPr>
        <w:jc w:val="center"/>
        <w:rPr>
          <w:b/>
          <w:bCs/>
        </w:rPr>
      </w:pPr>
      <w:r>
        <w:rPr>
          <w:b/>
          <w:bCs/>
        </w:rPr>
        <w:t>Figure 1: WEA End-to-End Service Architecture</w:t>
      </w:r>
    </w:p>
    <w:p w:rsidR="005F24BD" w:rsidP="00066793" w14:paraId="103FBD15" w14:textId="5D2382A1">
      <w:pPr>
        <w:pStyle w:val="ParaNum"/>
        <w:widowControl/>
        <w:numPr>
          <w:ilvl w:val="0"/>
          <w:numId w:val="0"/>
        </w:numPr>
      </w:pPr>
      <w:r>
        <w:rPr>
          <w:noProof/>
          <w:snapToGrid/>
        </w:rPr>
        <w:drawing>
          <wp:inline distT="0" distB="0" distL="0" distR="0">
            <wp:extent cx="5943600" cy="2483485"/>
            <wp:effectExtent l="0" t="0" r="0" b="0"/>
            <wp:docPr id="43" name="Picture 43" descr="Graphical user interface, diagram,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Graphical user interface, diagram, application&#10;&#10;Description automatically generated"/>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5943600" cy="2483485"/>
                    </a:xfrm>
                    <a:prstGeom prst="rect">
                      <a:avLst/>
                    </a:prstGeom>
                  </pic:spPr>
                </pic:pic>
              </a:graphicData>
            </a:graphic>
          </wp:inline>
        </w:drawing>
      </w:r>
    </w:p>
    <w:p w:rsidR="000A183F" w:rsidP="00066793" w14:paraId="3DC44058" w14:textId="30EE031E">
      <w:pPr>
        <w:pStyle w:val="ParaNum"/>
        <w:widowControl/>
      </w:pPr>
      <w:r>
        <w:t xml:space="preserve">As illustrated by </w:t>
      </w:r>
      <w:r>
        <w:rPr>
          <w:b/>
          <w:bCs/>
        </w:rPr>
        <w:t>Figure 1</w:t>
      </w:r>
      <w:r>
        <w:t>, above,</w:t>
      </w:r>
      <w:r>
        <w:rPr>
          <w:b/>
          <w:bCs/>
        </w:rPr>
        <w:t xml:space="preserve"> </w:t>
      </w:r>
      <w:r>
        <w:t>e</w:t>
      </w:r>
      <w:r w:rsidR="00EA6DF7">
        <w:t>ach of the nationwide CMS Providers received the nationwide WEA test from IPAWS at a logical alert gateway co</w:t>
      </w:r>
      <w:r w:rsidR="00A30409">
        <w:t>-</w:t>
      </w:r>
      <w:r w:rsidR="00EA6DF7">
        <w:t xml:space="preserve">located with </w:t>
      </w:r>
      <w:r w:rsidR="00947047">
        <w:t xml:space="preserve">the CMS Providers’ </w:t>
      </w:r>
      <w:r w:rsidR="00EA6DF7">
        <w:t xml:space="preserve">cell broadcast center (known </w:t>
      </w:r>
      <w:r>
        <w:t xml:space="preserve">collectively </w:t>
      </w:r>
      <w:r w:rsidR="00EA6DF7">
        <w:t>as a “broadcast message center” or “WEA platform”).</w:t>
      </w:r>
      <w:r>
        <w:rPr>
          <w:rStyle w:val="FootnoteReference"/>
        </w:rPr>
        <w:footnoteReference w:id="67"/>
      </w:r>
      <w:r w:rsidR="00EA6DF7">
        <w:t xml:space="preserve">  </w:t>
      </w:r>
      <w:r w:rsidR="005F24BD">
        <w:t xml:space="preserve">Nearly all of the latency in the nationwide CMS Providers’ processing of the nationwide WEA test occurred at this step, where their cell broadcast centers determined which CMS elements in their nationwide network to use to transmit the nationwide WEA test. </w:t>
      </w:r>
      <w:r w:rsidR="00EC6E6A">
        <w:t xml:space="preserve"> </w:t>
      </w:r>
      <w:r w:rsidR="00EA6DF7">
        <w:t xml:space="preserve">Then, </w:t>
      </w:r>
      <w:r w:rsidR="00947047">
        <w:t xml:space="preserve">each of the nationwide CMS Providers’ </w:t>
      </w:r>
      <w:r w:rsidR="00EA6DF7">
        <w:t>co</w:t>
      </w:r>
      <w:r w:rsidR="00A30409">
        <w:t>-</w:t>
      </w:r>
      <w:r w:rsidR="00EA6DF7">
        <w:t xml:space="preserve">located alert gateways and cell broadcast centers sent the nationwide WEA test to their respective </w:t>
      </w:r>
      <w:r w:rsidR="00700B87">
        <w:t>Mobile Core N</w:t>
      </w:r>
      <w:r w:rsidR="00EA6DF7">
        <w:t xml:space="preserve">etworks </w:t>
      </w:r>
      <w:r w:rsidR="00700B87">
        <w:t>(</w:t>
      </w:r>
      <w:r w:rsidR="00EA6DF7">
        <w:t xml:space="preserve">radio network controllers </w:t>
      </w:r>
      <w:r w:rsidR="000A7376">
        <w:t xml:space="preserve">(3G) </w:t>
      </w:r>
      <w:r w:rsidR="00EA6DF7">
        <w:t>mobility management entities</w:t>
      </w:r>
      <w:r w:rsidR="000A7376">
        <w:t xml:space="preserve"> (4G</w:t>
      </w:r>
      <w:r w:rsidR="00112C6F">
        <w:t>) and/or Access and Mobility Functions (</w:t>
      </w:r>
      <w:r w:rsidR="000A7376">
        <w:t>5G)</w:t>
      </w:r>
      <w:r w:rsidR="00EA6DF7">
        <w:t>, depending on their network configuration</w:t>
      </w:r>
      <w:r w:rsidR="00700B87">
        <w:t>)</w:t>
      </w:r>
      <w:r w:rsidR="00EA6DF7">
        <w:t>.</w:t>
      </w:r>
      <w:r>
        <w:rPr>
          <w:rStyle w:val="FootnoteReference"/>
        </w:rPr>
        <w:footnoteReference w:id="68"/>
      </w:r>
      <w:r w:rsidR="00EA6DF7">
        <w:t xml:space="preserve">  AT&amp;T’s broadcast </w:t>
      </w:r>
      <w:r w:rsidR="00947047">
        <w:t xml:space="preserve">message </w:t>
      </w:r>
      <w:r w:rsidR="00EA6DF7">
        <w:t>center took 40 seconds to process and retransmit the alert.</w:t>
      </w:r>
      <w:r>
        <w:rPr>
          <w:rStyle w:val="FootnoteReference"/>
        </w:rPr>
        <w:footnoteReference w:id="69"/>
      </w:r>
      <w:r w:rsidR="00EA6DF7">
        <w:t xml:space="preserve"> </w:t>
      </w:r>
      <w:r w:rsidR="00EC6E6A">
        <w:t xml:space="preserve"> </w:t>
      </w:r>
      <w:r w:rsidR="00EA6DF7">
        <w:t>Verizon’s two geographically distinct, collocated alert gateway and cell broadcast center facilities took 55.305 seconds and 55.769 seconds, respectively, to process and transmit the alert.</w:t>
      </w:r>
      <w:r>
        <w:rPr>
          <w:rStyle w:val="FootnoteReference"/>
        </w:rPr>
        <w:footnoteReference w:id="70"/>
      </w:r>
      <w:r w:rsidR="00EA6DF7">
        <w:t xml:space="preserve">  T-Mobile’s </w:t>
      </w:r>
      <w:r w:rsidR="00947047">
        <w:t>WEA platform</w:t>
      </w:r>
      <w:r w:rsidR="00EA6DF7">
        <w:t xml:space="preserve"> center took 35.895 seconds to process and transmit the nationwide WEA test.</w:t>
      </w:r>
      <w:r>
        <w:rPr>
          <w:rStyle w:val="FootnoteReference"/>
        </w:rPr>
        <w:footnoteReference w:id="71"/>
      </w:r>
      <w:r w:rsidR="00EA6DF7">
        <w:t xml:space="preserve">   </w:t>
      </w:r>
    </w:p>
    <w:p w:rsidR="00EA6DF7" w:rsidP="00066793" w14:paraId="1F8F1C47" w14:textId="192F0151">
      <w:pPr>
        <w:pStyle w:val="ParaNum"/>
        <w:widowControl/>
      </w:pPr>
      <w:r>
        <w:t>I</w:t>
      </w:r>
      <w:r w:rsidRPr="00E4080C" w:rsidR="00E4080C">
        <w:t xml:space="preserve">n 2016, a vendor of commercial mobile service network equipment stated that it takes their cell broadcast center product 0.1 seconds (100 milliseconds) to map distribution of a WEA alert onto </w:t>
      </w:r>
      <w:r w:rsidRPr="00E4080C" w:rsidR="00E4080C">
        <w:t>10,000 cell sites.</w:t>
      </w:r>
      <w:r>
        <w:rPr>
          <w:rStyle w:val="FootnoteReference"/>
        </w:rPr>
        <w:footnoteReference w:id="72"/>
      </w:r>
      <w:r w:rsidRPr="00E4080C" w:rsidR="00E4080C">
        <w:t xml:space="preserve"> </w:t>
      </w:r>
      <w:r w:rsidRPr="00215652" w:rsidR="00215652">
        <w:t xml:space="preserve"> </w:t>
      </w:r>
      <w:r>
        <w:t xml:space="preserve">The nationwide CMS Providers confirm that the </w:t>
      </w:r>
      <w:r w:rsidR="00BA71EA">
        <w:t xml:space="preserve">performance of their </w:t>
      </w:r>
      <w:r>
        <w:t xml:space="preserve">WEA platforms </w:t>
      </w:r>
      <w:r w:rsidR="00BA71EA">
        <w:t>was within normal parameters</w:t>
      </w:r>
      <w:r>
        <w:t xml:space="preserve"> during the nationwide WEA test, and attribute the extent of the WEA platform’s delay in mapping the nationwide WEA test to network cell sites to the exponentially larger number of cell sites needed to transmit a WEA test nationwide than for a state- or local-level activation</w:t>
      </w:r>
      <w:r w:rsidR="00BA71EA">
        <w:t xml:space="preserve">, and </w:t>
      </w:r>
      <w:r w:rsidR="00EC6E6A">
        <w:t xml:space="preserve">to </w:t>
      </w:r>
      <w:r w:rsidR="00BA71EA">
        <w:t>the fact that the nationwide WEA test had both English and Spanish versions</w:t>
      </w:r>
      <w:r>
        <w:t>.</w:t>
      </w:r>
      <w:r>
        <w:rPr>
          <w:rStyle w:val="FootnoteReference"/>
        </w:rPr>
        <w:footnoteReference w:id="73"/>
      </w:r>
      <w:r>
        <w:t xml:space="preserve">  The 0.1 second (100 millisecond) delay</w:t>
      </w:r>
      <w:r w:rsidR="00215652">
        <w:t xml:space="preserve"> </w:t>
      </w:r>
      <w:r>
        <w:t xml:space="preserve">attendant to mapping a WEA alert to 10,000 cell sites </w:t>
      </w:r>
      <w:r w:rsidR="007C7286">
        <w:t>may be</w:t>
      </w:r>
      <w:r>
        <w:t xml:space="preserve"> more representative of how nationwide CMS Providers’ WEA platforms would perform during a state- or local-level activation because state</w:t>
      </w:r>
      <w:r w:rsidR="00EC6E6A">
        <w:t>-</w:t>
      </w:r>
      <w:r>
        <w:t xml:space="preserve"> and local-level WEA activations require CMS Providers’ WEA platforms to map WEA alerts t</w:t>
      </w:r>
      <w:r w:rsidR="005F24BD">
        <w:t>o</w:t>
      </w:r>
      <w:r>
        <w:t xml:space="preserve"> fewer cell sites. </w:t>
      </w:r>
      <w:r w:rsidR="00EC6E6A">
        <w:t xml:space="preserve"> </w:t>
      </w:r>
    </w:p>
    <w:p w:rsidR="00EA6DF7" w:rsidP="00066793" w14:paraId="503C99E5" w14:textId="491DF3FD">
      <w:pPr>
        <w:pStyle w:val="ParaNum"/>
        <w:widowControl/>
      </w:pPr>
      <w:r>
        <w:t xml:space="preserve">Next, </w:t>
      </w:r>
      <w:r w:rsidR="000A7376">
        <w:t xml:space="preserve">in a matter of milliseconds, </w:t>
      </w:r>
      <w:r>
        <w:t xml:space="preserve">the </w:t>
      </w:r>
      <w:r w:rsidR="001E168C">
        <w:t xml:space="preserve">Participating CMS Providers’ </w:t>
      </w:r>
      <w:r w:rsidR="00700B87">
        <w:t>M</w:t>
      </w:r>
      <w:r w:rsidR="001E168C">
        <w:t xml:space="preserve">obile </w:t>
      </w:r>
      <w:r w:rsidR="00700B87">
        <w:t>C</w:t>
      </w:r>
      <w:r w:rsidR="001E168C">
        <w:t xml:space="preserve">ore </w:t>
      </w:r>
      <w:r w:rsidR="00700B87">
        <w:t>N</w:t>
      </w:r>
      <w:r w:rsidR="001E168C">
        <w:t>etwork</w:t>
      </w:r>
      <w:r w:rsidR="00700B87">
        <w:t>s</w:t>
      </w:r>
      <w:r w:rsidR="001E168C">
        <w:t xml:space="preserve"> </w:t>
      </w:r>
      <w:r>
        <w:t>processed the test and transmitted it to their respective networks</w:t>
      </w:r>
      <w:r w:rsidR="000A7376">
        <w:t>’</w:t>
      </w:r>
      <w:r>
        <w:t xml:space="preserve"> cell sites (NodeBs (3G), eNodeBs (4G), or gNBs (5G)).  AT&amp;T’s network did not capture data for the time it took their </w:t>
      </w:r>
      <w:r w:rsidR="00700B87">
        <w:t>M</w:t>
      </w:r>
      <w:r w:rsidR="001E168C">
        <w:t xml:space="preserve">obile </w:t>
      </w:r>
      <w:r w:rsidR="00700B87">
        <w:t>C</w:t>
      </w:r>
      <w:r w:rsidR="001E168C">
        <w:t xml:space="preserve">ore </w:t>
      </w:r>
      <w:r w:rsidR="00700B87">
        <w:t>N</w:t>
      </w:r>
      <w:r w:rsidR="001E168C">
        <w:t>etwork</w:t>
      </w:r>
      <w:r>
        <w:t xml:space="preserve"> to process the test and sen</w:t>
      </w:r>
      <w:r w:rsidR="00572FED">
        <w:t>d</w:t>
      </w:r>
      <w:r>
        <w:t xml:space="preserve"> it to AT&amp;T’s cell sites, but AT&amp;T states that the process generally takes less than 0.1 seconds (100 milliseconds).</w:t>
      </w:r>
      <w:r>
        <w:rPr>
          <w:rStyle w:val="FootnoteReference"/>
        </w:rPr>
        <w:footnoteReference w:id="74"/>
      </w:r>
      <w:r>
        <w:t xml:space="preserve">  Verizon’s </w:t>
      </w:r>
      <w:r w:rsidR="00700B87">
        <w:t>Mobile Core Network</w:t>
      </w:r>
      <w:r>
        <w:t xml:space="preserve"> processed and sent the nationwide WEA test to</w:t>
      </w:r>
      <w:r w:rsidRPr="007D6106">
        <w:t xml:space="preserve"> </w:t>
      </w:r>
      <w:r>
        <w:t>Verizon’s cell sites in between 0.001-0.003 seconds (1-3 milliseconds).</w:t>
      </w:r>
      <w:r>
        <w:rPr>
          <w:rStyle w:val="FootnoteReference"/>
        </w:rPr>
        <w:footnoteReference w:id="75"/>
      </w:r>
      <w:r>
        <w:t xml:space="preserve"> </w:t>
      </w:r>
      <w:r w:rsidR="00572FED">
        <w:t xml:space="preserve"> </w:t>
      </w:r>
      <w:r>
        <w:t xml:space="preserve">T-Mobile’s </w:t>
      </w:r>
      <w:r w:rsidR="00700B87">
        <w:t>M</w:t>
      </w:r>
      <w:r w:rsidR="001E168C">
        <w:t xml:space="preserve">obile </w:t>
      </w:r>
      <w:r w:rsidR="00700B87">
        <w:t>C</w:t>
      </w:r>
      <w:r w:rsidR="001E168C">
        <w:t xml:space="preserve">ore </w:t>
      </w:r>
      <w:r w:rsidR="00700B87">
        <w:t>N</w:t>
      </w:r>
      <w:r w:rsidR="001E168C">
        <w:t>etwork</w:t>
      </w:r>
      <w:r>
        <w:t xml:space="preserve"> processed the test and sent it to T-Mobile’s cell sites within 00:144 seconds (144 milliseconds).</w:t>
      </w:r>
      <w:r>
        <w:rPr>
          <w:rStyle w:val="FootnoteReference"/>
        </w:rPr>
        <w:footnoteReference w:id="76"/>
      </w:r>
      <w:r>
        <w:t xml:space="preserve">  </w:t>
      </w:r>
    </w:p>
    <w:p w:rsidR="00EA6DF7" w:rsidP="00066793" w14:paraId="3FE8D8AF" w14:textId="4C7041F5">
      <w:pPr>
        <w:pStyle w:val="ParaNum"/>
        <w:widowControl/>
      </w:pPr>
      <w:r>
        <w:t>Next, the nationwide CMS Providers sent the nationwide WEA test from their cell sites to customers on their respective networks.  AT&amp;T states that it takes its cell sites “approximately 1 second” to transmit WEA alerts to customers on their network.</w:t>
      </w:r>
      <w:r>
        <w:rPr>
          <w:rStyle w:val="FootnoteReference"/>
        </w:rPr>
        <w:footnoteReference w:id="77"/>
      </w:r>
      <w:r>
        <w:t xml:space="preserve">  Verizon states that its cell sites would have processed and sent the test “within a matter of milliseconds.”</w:t>
      </w:r>
      <w:r>
        <w:rPr>
          <w:rStyle w:val="FootnoteReference"/>
        </w:rPr>
        <w:footnoteReference w:id="78"/>
      </w:r>
      <w:r>
        <w:t xml:space="preserve">  T-Mobile states that its cell sites transmitted the test message in “less than 1 second.”</w:t>
      </w:r>
      <w:r>
        <w:rPr>
          <w:rStyle w:val="FootnoteReference"/>
        </w:rPr>
        <w:footnoteReference w:id="79"/>
      </w:r>
      <w:r>
        <w:t xml:space="preserve">  </w:t>
      </w:r>
      <w:r w:rsidR="00DE049F">
        <w:t>Each nationwide CMS Provider takes a different approach to retransmitting WEA alerts from their cell sites.</w:t>
      </w:r>
      <w:r>
        <w:rPr>
          <w:rStyle w:val="FootnoteReference"/>
        </w:rPr>
        <w:footnoteReference w:id="80"/>
      </w:r>
      <w:r w:rsidR="00DE049F">
        <w:t xml:space="preserve">  AT&amp;T retransmits the nationwide WEA test 30 times, once a minute for the 30-minute duration of the test.</w:t>
      </w:r>
      <w:r>
        <w:rPr>
          <w:rStyle w:val="FootnoteReference"/>
        </w:rPr>
        <w:footnoteReference w:id="81"/>
      </w:r>
      <w:r w:rsidR="00DE049F">
        <w:t xml:space="preserve">  Verizon transmits the test message only twice on all networks, once upon receipt from IPAWS and then again 1 minute later.</w:t>
      </w:r>
      <w:r>
        <w:rPr>
          <w:rStyle w:val="FootnoteReference"/>
        </w:rPr>
        <w:footnoteReference w:id="82"/>
      </w:r>
      <w:r w:rsidR="00DE049F">
        <w:t xml:space="preserve">  T-Mobile rebroadcast the test message 6 times over its UMTS/4G/5G networks at 5 minute intervals, and 8 times </w:t>
      </w:r>
      <w:r w:rsidR="00DE049F">
        <w:t>over its GSM network at 4 minute intervals.</w:t>
      </w:r>
      <w:r>
        <w:rPr>
          <w:rStyle w:val="FootnoteReference"/>
        </w:rPr>
        <w:footnoteReference w:id="83"/>
      </w:r>
      <w:r w:rsidR="00DE049F">
        <w:t xml:space="preserve">  </w:t>
      </w:r>
      <w:r w:rsidR="001E168C">
        <w:t>AT&amp;T and Verizon state that they do not capture data about the latencies attendant to the processing and transmission of the nationwide WEA test beyond their cell broadcast facilities.</w:t>
      </w:r>
      <w:r>
        <w:rPr>
          <w:rStyle w:val="FootnoteReference"/>
        </w:rPr>
        <w:footnoteReference w:id="84"/>
      </w:r>
      <w:r w:rsidR="001E168C">
        <w:t xml:space="preserve">  </w:t>
      </w:r>
    </w:p>
    <w:p w:rsidR="00AB27FA" w:rsidP="00066793" w14:paraId="7C5EB533" w14:textId="4C004AFF">
      <w:pPr>
        <w:pStyle w:val="Heading4"/>
        <w:widowControl/>
      </w:pPr>
      <w:bookmarkStart w:id="147" w:name="_Toc83911820"/>
      <w:bookmarkStart w:id="148" w:name="_Toc84335325"/>
      <w:bookmarkStart w:id="149" w:name="_Toc84597880"/>
      <w:bookmarkStart w:id="150" w:name="_Toc84926100"/>
      <w:bookmarkStart w:id="151" w:name="_Toc84933035"/>
      <w:bookmarkStart w:id="152" w:name="_Toc85552930"/>
      <w:r>
        <w:t xml:space="preserve">Latency </w:t>
      </w:r>
      <w:r>
        <w:t>Overall</w:t>
      </w:r>
      <w:bookmarkEnd w:id="142"/>
      <w:bookmarkEnd w:id="147"/>
      <w:bookmarkEnd w:id="148"/>
      <w:bookmarkEnd w:id="149"/>
      <w:bookmarkEnd w:id="150"/>
      <w:bookmarkEnd w:id="151"/>
      <w:bookmarkEnd w:id="152"/>
    </w:p>
    <w:p w:rsidR="005026C5" w:rsidP="00066793" w14:paraId="1BE14D21" w14:textId="5F278C4E">
      <w:pPr>
        <w:pStyle w:val="ParaNum"/>
        <w:widowControl/>
      </w:pPr>
      <w:r>
        <w:t xml:space="preserve">Based on the Nationwide WEA Test Survey data, PSHSB finds that </w:t>
      </w:r>
      <w:r w:rsidR="00082367">
        <w:t xml:space="preserve">the majority of respondents </w:t>
      </w:r>
      <w:r w:rsidR="00CD166D">
        <w:t xml:space="preserve">that received the </w:t>
      </w:r>
      <w:r w:rsidR="00082367">
        <w:t xml:space="preserve">nationwide WEA test </w:t>
      </w:r>
      <w:r w:rsidR="00CD166D">
        <w:t xml:space="preserve">received it within </w:t>
      </w:r>
      <w:r w:rsidR="00082367">
        <w:t>two minutes</w:t>
      </w:r>
      <w:r w:rsidR="00CD166D">
        <w:t xml:space="preserve"> of transmission from FEMA’s alert gateway</w:t>
      </w:r>
      <w:r>
        <w:t>.</w:t>
      </w:r>
      <w:r>
        <w:rPr>
          <w:rStyle w:val="FootnoteReference"/>
        </w:rPr>
        <w:footnoteReference w:id="85"/>
      </w:r>
      <w:r>
        <w:t xml:space="preserve">  </w:t>
      </w:r>
      <w:r w:rsidR="00764A89">
        <w:t>This nationwide WEA test</w:t>
      </w:r>
      <w:r w:rsidR="00696969">
        <w:t xml:space="preserve"> </w:t>
      </w:r>
      <w:r w:rsidR="00C658DC">
        <w:t xml:space="preserve">represents the first time that the Commission has formally attempted to measure how long it takes </w:t>
      </w:r>
      <w:r w:rsidR="002A38AE">
        <w:t xml:space="preserve">nationwide </w:t>
      </w:r>
      <w:r w:rsidR="00C658DC">
        <w:t xml:space="preserve">WEA </w:t>
      </w:r>
      <w:r w:rsidR="002A38AE">
        <w:t>test</w:t>
      </w:r>
      <w:r w:rsidR="00C658DC">
        <w:t xml:space="preserve">s to reach the public.  </w:t>
      </w:r>
      <w:r w:rsidR="00AB0726">
        <w:t>It becomes more difficult for t</w:t>
      </w:r>
      <w:r>
        <w:t xml:space="preserve">he nationwide CMS Providers </w:t>
      </w:r>
      <w:r w:rsidR="00AB0726">
        <w:t xml:space="preserve">to </w:t>
      </w:r>
      <w:r>
        <w:t xml:space="preserve">measure the timing of </w:t>
      </w:r>
      <w:r w:rsidR="00AB0726">
        <w:t xml:space="preserve">the nationwide WEA test once they transmit it from their cell sites because they </w:t>
      </w:r>
      <w:r>
        <w:t xml:space="preserve">do not capture data about message transmission in the air interface </w:t>
      </w:r>
      <w:r w:rsidR="00AB0726">
        <w:t xml:space="preserve">between their cell sites and mobile devices </w:t>
      </w:r>
      <w:r>
        <w:t>or on mobile devices connected to their networks.</w:t>
      </w:r>
      <w:r w:rsidRPr="000A7376">
        <w:rPr>
          <w:rStyle w:val="FootnoteReference"/>
        </w:rPr>
        <w:t xml:space="preserve"> </w:t>
      </w:r>
      <w:r>
        <w:rPr>
          <w:rStyle w:val="FootnoteReference"/>
        </w:rPr>
        <w:footnoteReference w:id="86"/>
      </w:r>
      <w:r>
        <w:t xml:space="preserve">  </w:t>
      </w:r>
    </w:p>
    <w:p w:rsidR="00036216" w:rsidP="00066793" w14:paraId="675315FD" w14:textId="470FCFE3">
      <w:pPr>
        <w:pStyle w:val="ParaNum"/>
        <w:widowControl/>
      </w:pPr>
      <w:r>
        <w:t xml:space="preserve">PSHSB’s ability to capture accurate latency data from </w:t>
      </w:r>
      <w:r w:rsidR="00AB0726">
        <w:t xml:space="preserve">the air interface and </w:t>
      </w:r>
      <w:r>
        <w:t>end-user devices is also limited.  PSHSB</w:t>
      </w:r>
      <w:r w:rsidR="0087082F">
        <w:t xml:space="preserve"> </w:t>
      </w:r>
      <w:r w:rsidR="00FC586A">
        <w:t>relie</w:t>
      </w:r>
      <w:r w:rsidR="00787DBE">
        <w:t>d</w:t>
      </w:r>
      <w:r w:rsidR="00FC586A">
        <w:t xml:space="preserve"> on </w:t>
      </w:r>
      <w:r w:rsidR="0087082F">
        <w:t xml:space="preserve">volunteer </w:t>
      </w:r>
      <w:r w:rsidR="00FC586A">
        <w:t xml:space="preserve">respondents to </w:t>
      </w:r>
      <w:r w:rsidR="00787DBE">
        <w:t>note the</w:t>
      </w:r>
      <w:r w:rsidR="00765112">
        <w:t xml:space="preserve"> time indicated on their mobile device upon</w:t>
      </w:r>
      <w:r w:rsidR="00787DBE">
        <w:t xml:space="preserve"> receipt of the State/Local WEA Test</w:t>
      </w:r>
      <w:r w:rsidR="00BB4E88">
        <w:t xml:space="preserve"> Alert</w:t>
      </w:r>
      <w:r>
        <w:t>,</w:t>
      </w:r>
      <w:r w:rsidR="00765112">
        <w:t xml:space="preserve"> and </w:t>
      </w:r>
      <w:r>
        <w:t xml:space="preserve">to </w:t>
      </w:r>
      <w:r w:rsidR="00765112">
        <w:t xml:space="preserve">record that time in </w:t>
      </w:r>
      <w:r w:rsidR="0087082F">
        <w:t>PSHSB’s</w:t>
      </w:r>
      <w:r w:rsidR="00765112">
        <w:t xml:space="preserve"> </w:t>
      </w:r>
      <w:r w:rsidR="007C7286">
        <w:t>N</w:t>
      </w:r>
      <w:r w:rsidR="00765112">
        <w:t xml:space="preserve">ationwide WEA </w:t>
      </w:r>
      <w:r w:rsidR="007C7286">
        <w:t>T</w:t>
      </w:r>
      <w:r w:rsidR="00765112">
        <w:t xml:space="preserve">est </w:t>
      </w:r>
      <w:r w:rsidR="007C7286">
        <w:t>S</w:t>
      </w:r>
      <w:r w:rsidR="00765112">
        <w:t xml:space="preserve">urvey.  </w:t>
      </w:r>
      <w:r w:rsidR="00E86C52">
        <w:t xml:space="preserve">Reliance on a human being to record the time that they receive a </w:t>
      </w:r>
      <w:r w:rsidR="007C7286">
        <w:t>test</w:t>
      </w:r>
      <w:r w:rsidR="00E86C52">
        <w:t xml:space="preserve"> implicitly introduces the possibility of inaccuracy</w:t>
      </w:r>
      <w:r w:rsidR="0082483E">
        <w:t>, and</w:t>
      </w:r>
      <w:r w:rsidR="00E86C52">
        <w:t xml:space="preserve"> </w:t>
      </w:r>
      <w:r w:rsidR="0082483E">
        <w:t>t</w:t>
      </w:r>
      <w:r w:rsidR="0023617B">
        <w:t>he t</w:t>
      </w:r>
      <w:r w:rsidR="00DA3C61">
        <w:t xml:space="preserve">ime presented on mobile devices </w:t>
      </w:r>
      <w:r w:rsidR="0023617B">
        <w:t xml:space="preserve">is accurate to the minute, not the second.  Further, </w:t>
      </w:r>
      <w:r w:rsidR="00D1133A">
        <w:t xml:space="preserve">anecdotal reports reflect that time presented on mobile devices can vary slightly by wireless provider.  </w:t>
      </w:r>
      <w:r w:rsidR="00CB4EFB">
        <w:t>Nonetheless, for respondents that received the nationwide</w:t>
      </w:r>
      <w:r w:rsidRPr="00CB4EFB" w:rsidR="00CB4EFB">
        <w:t xml:space="preserve"> WEA test</w:t>
      </w:r>
      <w:r w:rsidR="00CB4EFB">
        <w:t>, the</w:t>
      </w:r>
      <w:r w:rsidRPr="00CB4EFB" w:rsidR="00CB4EFB">
        <w:t xml:space="preserve"> survey asked respondents to identify </w:t>
      </w:r>
      <w:r w:rsidR="00CB4EFB">
        <w:t>the time at which they received the tes</w:t>
      </w:r>
      <w:r w:rsidR="006305AF">
        <w:t xml:space="preserve">t to the nearest minute.  </w:t>
      </w:r>
      <w:r w:rsidRPr="00B10AAF" w:rsidR="006305AF">
        <w:rPr>
          <w:b/>
          <w:bCs/>
        </w:rPr>
        <w:t xml:space="preserve">Table </w:t>
      </w:r>
      <w:r w:rsidR="006C0071">
        <w:rPr>
          <w:b/>
          <w:bCs/>
        </w:rPr>
        <w:t>10</w:t>
      </w:r>
      <w:r w:rsidRPr="000039DA" w:rsidR="006305AF">
        <w:t xml:space="preserve"> shows how </w:t>
      </w:r>
      <w:r w:rsidR="006305AF">
        <w:t>quickly</w:t>
      </w:r>
      <w:r w:rsidRPr="000039DA" w:rsidR="006305AF">
        <w:t xml:space="preserve"> </w:t>
      </w:r>
      <w:r w:rsidR="0087082F">
        <w:t xml:space="preserve">respondents report receiving the </w:t>
      </w:r>
      <w:r w:rsidR="006305AF">
        <w:t>nationwide WEA t</w:t>
      </w:r>
      <w:r w:rsidRPr="000039DA" w:rsidR="006305AF">
        <w:t>est</w:t>
      </w:r>
      <w:r w:rsidR="006305AF">
        <w:t xml:space="preserve"> </w:t>
      </w:r>
      <w:r w:rsidR="0087082F">
        <w:t xml:space="preserve">on their mobile devices </w:t>
      </w:r>
      <w:r w:rsidR="006305AF">
        <w:t>from the minute that FEMA transmitted it from its alert gateway</w:t>
      </w:r>
      <w:r w:rsidR="00D3027B">
        <w:t xml:space="preserve"> (2:</w:t>
      </w:r>
      <w:r w:rsidR="00696969">
        <w:t>2</w:t>
      </w:r>
      <w:r w:rsidR="00D3027B">
        <w:t>0</w:t>
      </w:r>
      <w:r w:rsidR="0082483E">
        <w:t xml:space="preserve"> pm</w:t>
      </w:r>
      <w:r w:rsidR="00D3027B">
        <w:t xml:space="preserve"> </w:t>
      </w:r>
      <w:r w:rsidR="0082483E">
        <w:t>EDT</w:t>
      </w:r>
      <w:r w:rsidR="00D3027B">
        <w:t>)</w:t>
      </w:r>
      <w:r w:rsidR="006305AF">
        <w:t>.</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4"/>
        <w:gridCol w:w="1881"/>
        <w:gridCol w:w="1980"/>
        <w:gridCol w:w="2070"/>
        <w:gridCol w:w="2160"/>
      </w:tblGrid>
      <w:tr w14:paraId="5D7D0B36" w14:textId="77777777" w:rsidTr="00905400">
        <w:tblPrEx>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715" w:type="dxa"/>
            <w:gridSpan w:val="5"/>
            <w:shd w:val="clear" w:color="auto" w:fill="E7E6E6" w:themeFill="background2"/>
          </w:tcPr>
          <w:p w:rsidR="00DE049F" w:rsidRPr="00DE049F" w:rsidP="00066793" w14:paraId="739E3F19" w14:textId="4170AE76">
            <w:pPr>
              <w:pStyle w:val="ParaNum"/>
              <w:widowControl/>
              <w:numPr>
                <w:ilvl w:val="0"/>
                <w:numId w:val="0"/>
              </w:numPr>
              <w:jc w:val="center"/>
              <w:rPr>
                <w:b/>
                <w:bCs/>
              </w:rPr>
            </w:pPr>
            <w:r>
              <w:rPr>
                <w:b/>
                <w:bCs/>
              </w:rPr>
              <w:t xml:space="preserve">Table </w:t>
            </w:r>
            <w:r w:rsidR="006C0071">
              <w:rPr>
                <w:b/>
                <w:bCs/>
              </w:rPr>
              <w:t>10</w:t>
            </w:r>
          </w:p>
          <w:p w:rsidR="007316D1" w:rsidRPr="003C6EE0" w:rsidP="00066793" w14:paraId="566263DD" w14:textId="77777777">
            <w:pPr>
              <w:pStyle w:val="ParaNum"/>
              <w:widowControl/>
              <w:numPr>
                <w:ilvl w:val="0"/>
                <w:numId w:val="0"/>
              </w:numPr>
              <w:jc w:val="center"/>
            </w:pPr>
            <w:r w:rsidRPr="003C6EE0">
              <w:t>Completed Survey Response Results</w:t>
            </w:r>
          </w:p>
          <w:p w:rsidR="00A30409" w:rsidP="00066793" w14:paraId="5EF44EB9" w14:textId="48DF69E5">
            <w:pPr>
              <w:pStyle w:val="ParaNum"/>
              <w:widowControl/>
              <w:numPr>
                <w:ilvl w:val="0"/>
                <w:numId w:val="0"/>
              </w:numPr>
              <w:jc w:val="center"/>
            </w:pPr>
            <w:r>
              <w:t>Overall Latency</w:t>
            </w:r>
            <w:r w:rsidR="00AB0726">
              <w:t xml:space="preserve"> (Minutes)</w:t>
            </w:r>
          </w:p>
        </w:tc>
      </w:tr>
      <w:tr w14:paraId="222838FB" w14:textId="77777777" w:rsidTr="00905400">
        <w:tblPrEx>
          <w:tblW w:w="9715" w:type="dxa"/>
          <w:jc w:val="center"/>
          <w:tblLook w:val="04A0"/>
        </w:tblPrEx>
        <w:trPr>
          <w:jc w:val="center"/>
        </w:trPr>
        <w:tc>
          <w:tcPr>
            <w:tcW w:w="1624" w:type="dxa"/>
            <w:shd w:val="clear" w:color="auto" w:fill="4472C4" w:themeFill="accent1"/>
          </w:tcPr>
          <w:p w:rsidR="00A30409" w:rsidRPr="007B1F16" w:rsidP="00066793" w14:paraId="01B4C5D3" w14:textId="6BE00523">
            <w:pPr>
              <w:pStyle w:val="ParaNum"/>
              <w:widowControl/>
              <w:numPr>
                <w:ilvl w:val="0"/>
                <w:numId w:val="0"/>
              </w:numPr>
              <w:jc w:val="center"/>
              <w:rPr>
                <w:b/>
                <w:bCs/>
              </w:rPr>
            </w:pPr>
            <w:r w:rsidRPr="007B1F16">
              <w:rPr>
                <w:b/>
                <w:bCs/>
              </w:rPr>
              <w:t>Respondents’ Observations</w:t>
            </w:r>
          </w:p>
        </w:tc>
        <w:tc>
          <w:tcPr>
            <w:tcW w:w="1881" w:type="dxa"/>
            <w:shd w:val="clear" w:color="auto" w:fill="4472C4" w:themeFill="accent1"/>
          </w:tcPr>
          <w:p w:rsidR="00A30409" w:rsidRPr="007B1F16" w:rsidP="00066793" w14:paraId="0A632418" w14:textId="19EC6957">
            <w:pPr>
              <w:pStyle w:val="ParaNum"/>
              <w:widowControl/>
              <w:numPr>
                <w:ilvl w:val="0"/>
                <w:numId w:val="0"/>
              </w:numPr>
              <w:jc w:val="center"/>
              <w:rPr>
                <w:b/>
                <w:bCs/>
              </w:rPr>
            </w:pPr>
            <w:r w:rsidRPr="007B1F16">
              <w:rPr>
                <w:b/>
                <w:bCs/>
              </w:rPr>
              <w:t>25</w:t>
            </w:r>
            <w:r w:rsidRPr="007B1F16">
              <w:rPr>
                <w:b/>
                <w:bCs/>
                <w:vertAlign w:val="superscript"/>
              </w:rPr>
              <w:t>th</w:t>
            </w:r>
            <w:r w:rsidRPr="007B1F16">
              <w:rPr>
                <w:b/>
                <w:bCs/>
              </w:rPr>
              <w:t xml:space="preserve"> percentile</w:t>
            </w:r>
          </w:p>
        </w:tc>
        <w:tc>
          <w:tcPr>
            <w:tcW w:w="1980" w:type="dxa"/>
            <w:tcBorders>
              <w:right w:val="single" w:sz="12" w:space="0" w:color="auto"/>
            </w:tcBorders>
            <w:shd w:val="clear" w:color="auto" w:fill="4472C4" w:themeFill="accent1"/>
          </w:tcPr>
          <w:p w:rsidR="00A30409" w:rsidRPr="007B1F16" w:rsidP="00066793" w14:paraId="54474B37" w14:textId="1D91F56A">
            <w:pPr>
              <w:pStyle w:val="ParaNum"/>
              <w:widowControl/>
              <w:numPr>
                <w:ilvl w:val="0"/>
                <w:numId w:val="0"/>
              </w:numPr>
              <w:jc w:val="center"/>
              <w:rPr>
                <w:b/>
                <w:bCs/>
              </w:rPr>
            </w:pPr>
            <w:r w:rsidRPr="007B1F16">
              <w:rPr>
                <w:b/>
                <w:bCs/>
              </w:rPr>
              <w:t>Median (50</w:t>
            </w:r>
            <w:r w:rsidRPr="007B1F16">
              <w:rPr>
                <w:b/>
                <w:bCs/>
                <w:vertAlign w:val="superscript"/>
              </w:rPr>
              <w:t>th</w:t>
            </w:r>
            <w:r w:rsidRPr="007B1F16">
              <w:rPr>
                <w:b/>
                <w:bCs/>
              </w:rPr>
              <w:t xml:space="preserve"> percentile)</w:t>
            </w:r>
          </w:p>
        </w:tc>
        <w:tc>
          <w:tcPr>
            <w:tcW w:w="2070" w:type="dxa"/>
            <w:tcBorders>
              <w:left w:val="single" w:sz="12" w:space="0" w:color="auto"/>
            </w:tcBorders>
            <w:shd w:val="clear" w:color="auto" w:fill="4472C4" w:themeFill="accent1"/>
          </w:tcPr>
          <w:p w:rsidR="00A30409" w:rsidRPr="007B1F16" w:rsidP="00066793" w14:paraId="4E1D63C8" w14:textId="0380AFF0">
            <w:pPr>
              <w:pStyle w:val="ParaNum"/>
              <w:widowControl/>
              <w:numPr>
                <w:ilvl w:val="0"/>
                <w:numId w:val="0"/>
              </w:numPr>
              <w:jc w:val="center"/>
              <w:rPr>
                <w:b/>
                <w:bCs/>
              </w:rPr>
            </w:pPr>
            <w:r w:rsidRPr="007B1F16">
              <w:rPr>
                <w:b/>
                <w:bCs/>
              </w:rPr>
              <w:t>90</w:t>
            </w:r>
            <w:r w:rsidRPr="007B1F16">
              <w:rPr>
                <w:b/>
                <w:bCs/>
                <w:vertAlign w:val="superscript"/>
              </w:rPr>
              <w:t>th</w:t>
            </w:r>
            <w:r w:rsidRPr="007B1F16">
              <w:rPr>
                <w:b/>
                <w:bCs/>
              </w:rPr>
              <w:t xml:space="preserve"> percentile</w:t>
            </w:r>
          </w:p>
        </w:tc>
        <w:tc>
          <w:tcPr>
            <w:tcW w:w="2160" w:type="dxa"/>
            <w:shd w:val="clear" w:color="auto" w:fill="4472C4" w:themeFill="accent1"/>
          </w:tcPr>
          <w:p w:rsidR="00A30409" w:rsidRPr="007B1F16" w:rsidP="00066793" w14:paraId="2B6F14AE" w14:textId="7AEA4826">
            <w:pPr>
              <w:pStyle w:val="ParaNum"/>
              <w:widowControl/>
              <w:numPr>
                <w:ilvl w:val="0"/>
                <w:numId w:val="0"/>
              </w:numPr>
              <w:jc w:val="center"/>
              <w:rPr>
                <w:b/>
                <w:bCs/>
              </w:rPr>
            </w:pPr>
            <w:r w:rsidRPr="007B1F16">
              <w:rPr>
                <w:b/>
                <w:bCs/>
              </w:rPr>
              <w:t>99</w:t>
            </w:r>
            <w:r w:rsidRPr="007B1F16">
              <w:rPr>
                <w:b/>
                <w:bCs/>
                <w:vertAlign w:val="superscript"/>
              </w:rPr>
              <w:t>th</w:t>
            </w:r>
            <w:r w:rsidRPr="007B1F16">
              <w:rPr>
                <w:b/>
                <w:bCs/>
              </w:rPr>
              <w:t xml:space="preserve"> percentile</w:t>
            </w:r>
          </w:p>
        </w:tc>
      </w:tr>
      <w:tr w14:paraId="71192490" w14:textId="77777777" w:rsidTr="00846E3B">
        <w:tblPrEx>
          <w:tblW w:w="9715" w:type="dxa"/>
          <w:jc w:val="center"/>
          <w:tblLook w:val="04A0"/>
        </w:tblPrEx>
        <w:trPr>
          <w:jc w:val="center"/>
        </w:trPr>
        <w:tc>
          <w:tcPr>
            <w:tcW w:w="1624" w:type="dxa"/>
            <w:vMerge w:val="restart"/>
            <w:shd w:val="clear" w:color="auto" w:fill="auto"/>
            <w:vAlign w:val="center"/>
          </w:tcPr>
          <w:p w:rsidR="00B82AD1" w:rsidRPr="007B1F16" w:rsidP="00066793" w14:paraId="435AFD79" w14:textId="7CCA6CA5">
            <w:pPr>
              <w:pStyle w:val="ParaNum"/>
              <w:widowControl/>
              <w:numPr>
                <w:ilvl w:val="0"/>
                <w:numId w:val="0"/>
              </w:numPr>
              <w:jc w:val="center"/>
              <w:rPr>
                <w:b/>
                <w:bCs/>
              </w:rPr>
            </w:pPr>
            <w:r w:rsidRPr="007B1F16">
              <w:rPr>
                <w:b/>
                <w:bCs/>
              </w:rPr>
              <w:t>295</w:t>
            </w:r>
          </w:p>
        </w:tc>
        <w:tc>
          <w:tcPr>
            <w:tcW w:w="1881" w:type="dxa"/>
          </w:tcPr>
          <w:p w:rsidR="00B82AD1" w:rsidRPr="003C6EE0" w:rsidP="00066793" w14:paraId="0F997C83" w14:textId="08FEA9D8">
            <w:pPr>
              <w:pStyle w:val="ParaNum"/>
              <w:widowControl/>
              <w:numPr>
                <w:ilvl w:val="0"/>
                <w:numId w:val="0"/>
              </w:numPr>
              <w:jc w:val="center"/>
            </w:pPr>
            <w:r w:rsidRPr="003C6EE0">
              <w:t>0</w:t>
            </w:r>
          </w:p>
        </w:tc>
        <w:tc>
          <w:tcPr>
            <w:tcW w:w="1980" w:type="dxa"/>
            <w:tcBorders>
              <w:right w:val="single" w:sz="12" w:space="0" w:color="auto"/>
            </w:tcBorders>
            <w:shd w:val="clear" w:color="auto" w:fill="auto"/>
          </w:tcPr>
          <w:p w:rsidR="00B82AD1" w:rsidRPr="003C6EE0" w:rsidP="00066793" w14:paraId="638E9942" w14:textId="186C58DB">
            <w:pPr>
              <w:pStyle w:val="ParaNum"/>
              <w:widowControl/>
              <w:numPr>
                <w:ilvl w:val="0"/>
                <w:numId w:val="0"/>
              </w:numPr>
              <w:jc w:val="center"/>
            </w:pPr>
            <w:r w:rsidRPr="003C6EE0">
              <w:t>1</w:t>
            </w:r>
          </w:p>
        </w:tc>
        <w:tc>
          <w:tcPr>
            <w:tcW w:w="2070" w:type="dxa"/>
            <w:tcBorders>
              <w:left w:val="single" w:sz="12" w:space="0" w:color="auto"/>
            </w:tcBorders>
            <w:shd w:val="clear" w:color="auto" w:fill="auto"/>
          </w:tcPr>
          <w:p w:rsidR="00B82AD1" w:rsidRPr="003C6EE0" w:rsidP="00066793" w14:paraId="709A6B3D" w14:textId="05E66687">
            <w:pPr>
              <w:pStyle w:val="ParaNum"/>
              <w:widowControl/>
              <w:numPr>
                <w:ilvl w:val="0"/>
                <w:numId w:val="0"/>
              </w:numPr>
              <w:jc w:val="center"/>
            </w:pPr>
            <w:r w:rsidRPr="003C6EE0">
              <w:t>5</w:t>
            </w:r>
          </w:p>
        </w:tc>
        <w:tc>
          <w:tcPr>
            <w:tcW w:w="2160" w:type="dxa"/>
          </w:tcPr>
          <w:p w:rsidR="00B82AD1" w:rsidRPr="003C6EE0" w:rsidP="00066793" w14:paraId="464A7DAE" w14:textId="7AD756B7">
            <w:pPr>
              <w:pStyle w:val="ParaNum"/>
              <w:widowControl/>
              <w:numPr>
                <w:ilvl w:val="0"/>
                <w:numId w:val="0"/>
              </w:numPr>
              <w:jc w:val="center"/>
            </w:pPr>
            <w:r w:rsidRPr="003C6EE0">
              <w:t>208</w:t>
            </w:r>
          </w:p>
        </w:tc>
      </w:tr>
      <w:tr w14:paraId="6ECA9A6F" w14:textId="77777777" w:rsidTr="00905400">
        <w:tblPrEx>
          <w:tblW w:w="9715" w:type="dxa"/>
          <w:jc w:val="center"/>
          <w:tblLook w:val="04A0"/>
        </w:tblPrEx>
        <w:trPr>
          <w:jc w:val="center"/>
        </w:trPr>
        <w:tc>
          <w:tcPr>
            <w:tcW w:w="1624" w:type="dxa"/>
            <w:vMerge/>
            <w:shd w:val="clear" w:color="auto" w:fill="auto"/>
          </w:tcPr>
          <w:p w:rsidR="00B82AD1" w:rsidRPr="007B1F16" w:rsidP="00066793" w14:paraId="09066481" w14:textId="77777777">
            <w:pPr>
              <w:pStyle w:val="ParaNum"/>
              <w:widowControl/>
              <w:numPr>
                <w:ilvl w:val="0"/>
                <w:numId w:val="0"/>
              </w:numPr>
              <w:jc w:val="center"/>
              <w:rPr>
                <w:b/>
                <w:bCs/>
              </w:rPr>
            </w:pPr>
          </w:p>
        </w:tc>
        <w:tc>
          <w:tcPr>
            <w:tcW w:w="1881" w:type="dxa"/>
            <w:shd w:val="clear" w:color="auto" w:fill="4472C4" w:themeFill="accent1"/>
          </w:tcPr>
          <w:p w:rsidR="00B82AD1" w:rsidRPr="007B1F16" w:rsidP="00066793" w14:paraId="235D4968" w14:textId="0A93C0A8">
            <w:pPr>
              <w:pStyle w:val="ParaNum"/>
              <w:widowControl/>
              <w:numPr>
                <w:ilvl w:val="0"/>
                <w:numId w:val="0"/>
              </w:numPr>
              <w:jc w:val="center"/>
              <w:rPr>
                <w:b/>
                <w:bCs/>
              </w:rPr>
            </w:pPr>
            <w:r w:rsidRPr="007B1F16">
              <w:rPr>
                <w:b/>
                <w:bCs/>
              </w:rPr>
              <w:t>Min</w:t>
            </w:r>
          </w:p>
        </w:tc>
        <w:tc>
          <w:tcPr>
            <w:tcW w:w="1980" w:type="dxa"/>
            <w:tcBorders>
              <w:right w:val="single" w:sz="12" w:space="0" w:color="auto"/>
            </w:tcBorders>
            <w:shd w:val="clear" w:color="auto" w:fill="4472C4" w:themeFill="accent1"/>
          </w:tcPr>
          <w:p w:rsidR="00B82AD1" w:rsidRPr="007B1F16" w:rsidP="00066793" w14:paraId="4CD5D4ED" w14:textId="119124B7">
            <w:pPr>
              <w:pStyle w:val="ParaNum"/>
              <w:widowControl/>
              <w:numPr>
                <w:ilvl w:val="0"/>
                <w:numId w:val="0"/>
              </w:numPr>
              <w:jc w:val="center"/>
              <w:rPr>
                <w:b/>
                <w:bCs/>
              </w:rPr>
            </w:pPr>
            <w:r w:rsidRPr="007B1F16">
              <w:rPr>
                <w:b/>
                <w:bCs/>
              </w:rPr>
              <w:t>Mode</w:t>
            </w:r>
          </w:p>
        </w:tc>
        <w:tc>
          <w:tcPr>
            <w:tcW w:w="2070" w:type="dxa"/>
            <w:tcBorders>
              <w:left w:val="single" w:sz="12" w:space="0" w:color="auto"/>
            </w:tcBorders>
            <w:shd w:val="clear" w:color="auto" w:fill="4472C4" w:themeFill="accent1"/>
          </w:tcPr>
          <w:p w:rsidR="00B82AD1" w:rsidRPr="007B1F16" w:rsidP="00066793" w14:paraId="42566023" w14:textId="4952D99D">
            <w:pPr>
              <w:pStyle w:val="ParaNum"/>
              <w:widowControl/>
              <w:numPr>
                <w:ilvl w:val="0"/>
                <w:numId w:val="0"/>
              </w:numPr>
              <w:jc w:val="center"/>
              <w:rPr>
                <w:b/>
                <w:bCs/>
              </w:rPr>
            </w:pPr>
            <w:r w:rsidRPr="007B1F16">
              <w:rPr>
                <w:b/>
                <w:bCs/>
              </w:rPr>
              <w:t>Mean</w:t>
            </w:r>
          </w:p>
        </w:tc>
        <w:tc>
          <w:tcPr>
            <w:tcW w:w="2160" w:type="dxa"/>
            <w:shd w:val="clear" w:color="auto" w:fill="4472C4" w:themeFill="accent1"/>
          </w:tcPr>
          <w:p w:rsidR="00B82AD1" w:rsidRPr="007B1F16" w:rsidP="00066793" w14:paraId="06B308F8" w14:textId="621730E8">
            <w:pPr>
              <w:pStyle w:val="ParaNum"/>
              <w:widowControl/>
              <w:numPr>
                <w:ilvl w:val="0"/>
                <w:numId w:val="0"/>
              </w:numPr>
              <w:jc w:val="center"/>
              <w:rPr>
                <w:b/>
                <w:bCs/>
              </w:rPr>
            </w:pPr>
            <w:r w:rsidRPr="007B1F16">
              <w:rPr>
                <w:b/>
                <w:bCs/>
              </w:rPr>
              <w:t>Max</w:t>
            </w:r>
          </w:p>
        </w:tc>
      </w:tr>
      <w:tr w14:paraId="3DB53C2D" w14:textId="77777777" w:rsidTr="00905400">
        <w:tblPrEx>
          <w:tblW w:w="9715" w:type="dxa"/>
          <w:jc w:val="center"/>
          <w:tblLook w:val="04A0"/>
        </w:tblPrEx>
        <w:trPr>
          <w:jc w:val="center"/>
        </w:trPr>
        <w:tc>
          <w:tcPr>
            <w:tcW w:w="1624" w:type="dxa"/>
            <w:vMerge/>
            <w:shd w:val="clear" w:color="auto" w:fill="auto"/>
          </w:tcPr>
          <w:p w:rsidR="00B82AD1" w:rsidRPr="007B1F16" w:rsidP="00066793" w14:paraId="4B2BB960" w14:textId="77777777">
            <w:pPr>
              <w:pStyle w:val="ParaNum"/>
              <w:widowControl/>
              <w:numPr>
                <w:ilvl w:val="0"/>
                <w:numId w:val="0"/>
              </w:numPr>
              <w:jc w:val="center"/>
              <w:rPr>
                <w:b/>
                <w:bCs/>
              </w:rPr>
            </w:pPr>
          </w:p>
        </w:tc>
        <w:tc>
          <w:tcPr>
            <w:tcW w:w="1881" w:type="dxa"/>
          </w:tcPr>
          <w:p w:rsidR="00B82AD1" w:rsidRPr="003C6EE0" w:rsidP="00066793" w14:paraId="55E6683C" w14:textId="3AB083B8">
            <w:pPr>
              <w:pStyle w:val="ParaNum"/>
              <w:widowControl/>
              <w:numPr>
                <w:ilvl w:val="0"/>
                <w:numId w:val="0"/>
              </w:numPr>
              <w:jc w:val="center"/>
            </w:pPr>
            <w:r w:rsidRPr="003C6EE0">
              <w:t>0</w:t>
            </w:r>
          </w:p>
        </w:tc>
        <w:tc>
          <w:tcPr>
            <w:tcW w:w="1980" w:type="dxa"/>
            <w:tcBorders>
              <w:right w:val="single" w:sz="12" w:space="0" w:color="auto"/>
            </w:tcBorders>
            <w:shd w:val="clear" w:color="auto" w:fill="auto"/>
          </w:tcPr>
          <w:p w:rsidR="00B82AD1" w:rsidRPr="003C6EE0" w:rsidP="00066793" w14:paraId="03399F0A" w14:textId="083A3E86">
            <w:pPr>
              <w:pStyle w:val="ParaNum"/>
              <w:widowControl/>
              <w:numPr>
                <w:ilvl w:val="0"/>
                <w:numId w:val="0"/>
              </w:numPr>
              <w:jc w:val="center"/>
            </w:pPr>
            <w:r w:rsidRPr="003C6EE0">
              <w:t>1</w:t>
            </w:r>
          </w:p>
        </w:tc>
        <w:tc>
          <w:tcPr>
            <w:tcW w:w="2070" w:type="dxa"/>
            <w:tcBorders>
              <w:left w:val="single" w:sz="12" w:space="0" w:color="auto"/>
            </w:tcBorders>
            <w:shd w:val="clear" w:color="auto" w:fill="auto"/>
          </w:tcPr>
          <w:p w:rsidR="00B82AD1" w:rsidRPr="003C6EE0" w:rsidP="00066793" w14:paraId="549702EC" w14:textId="0A7343AA">
            <w:pPr>
              <w:pStyle w:val="ParaNum"/>
              <w:widowControl/>
              <w:numPr>
                <w:ilvl w:val="0"/>
                <w:numId w:val="0"/>
              </w:numPr>
              <w:jc w:val="center"/>
            </w:pPr>
            <w:r w:rsidRPr="003C6EE0">
              <w:t>4.48</w:t>
            </w:r>
          </w:p>
        </w:tc>
        <w:tc>
          <w:tcPr>
            <w:tcW w:w="2160" w:type="dxa"/>
          </w:tcPr>
          <w:p w:rsidR="00B82AD1" w:rsidRPr="003C6EE0" w:rsidP="00066793" w14:paraId="4057EBBB" w14:textId="2EBC2413">
            <w:pPr>
              <w:pStyle w:val="ParaNum"/>
              <w:widowControl/>
              <w:numPr>
                <w:ilvl w:val="0"/>
                <w:numId w:val="0"/>
              </w:numPr>
              <w:jc w:val="center"/>
            </w:pPr>
            <w:r w:rsidRPr="003C6EE0">
              <w:t>241</w:t>
            </w:r>
          </w:p>
        </w:tc>
      </w:tr>
    </w:tbl>
    <w:p w:rsidR="001E2988" w:rsidRPr="001E2988" w:rsidP="00066793" w14:paraId="2DC55D02" w14:textId="77777777">
      <w:pPr>
        <w:pStyle w:val="ParaNum"/>
        <w:widowControl/>
        <w:numPr>
          <w:ilvl w:val="0"/>
          <w:numId w:val="0"/>
        </w:numPr>
        <w:ind w:firstLine="720"/>
      </w:pPr>
    </w:p>
    <w:p w:rsidR="009D716D" w:rsidP="00066793" w14:paraId="067EC707" w14:textId="400A4CF1">
      <w:pPr>
        <w:pStyle w:val="ParaNum"/>
        <w:widowControl/>
        <w:numPr>
          <w:ilvl w:val="0"/>
          <w:numId w:val="0"/>
        </w:numPr>
      </w:pPr>
      <w:r>
        <w:t xml:space="preserve">The </w:t>
      </w:r>
      <w:r w:rsidR="007B30CE">
        <w:t xml:space="preserve">completed survey </w:t>
      </w:r>
      <w:r>
        <w:t xml:space="preserve">data indicate that </w:t>
      </w:r>
      <w:r w:rsidR="00EC625C">
        <w:t xml:space="preserve">at least half of the WEA-capable </w:t>
      </w:r>
      <w:r>
        <w:t xml:space="preserve">mobile devices that received the nationwide WEA test received it </w:t>
      </w:r>
      <w:r w:rsidR="00966EE8">
        <w:t xml:space="preserve">within </w:t>
      </w:r>
      <w:r w:rsidR="00F22893">
        <w:t>two</w:t>
      </w:r>
      <w:r w:rsidR="00966EE8">
        <w:t xml:space="preserve"> minute</w:t>
      </w:r>
      <w:r w:rsidR="00F22893">
        <w:t>s</w:t>
      </w:r>
      <w:r w:rsidR="00966EE8">
        <w:t xml:space="preserve"> </w:t>
      </w:r>
      <w:r w:rsidR="009C070F">
        <w:t>of FEMA’s transmission.</w:t>
      </w:r>
      <w:r>
        <w:rPr>
          <w:rStyle w:val="FootnoteReference"/>
        </w:rPr>
        <w:footnoteReference w:id="87"/>
      </w:r>
      <w:r w:rsidR="007C0846">
        <w:t xml:space="preserve">  </w:t>
      </w:r>
      <w:r w:rsidR="00D3027B">
        <w:t xml:space="preserve">At least 25% of </w:t>
      </w:r>
      <w:r w:rsidR="00925D47">
        <w:t>these</w:t>
      </w:r>
      <w:r w:rsidR="00D3027B">
        <w:t xml:space="preserve"> </w:t>
      </w:r>
      <w:r w:rsidR="00D3027B">
        <w:t xml:space="preserve">devices received the nationwide WEA test in less than </w:t>
      </w:r>
      <w:r w:rsidR="00EC625C">
        <w:t>one</w:t>
      </w:r>
      <w:r w:rsidR="00D3027B">
        <w:t xml:space="preserve"> minute (represented as 0)</w:t>
      </w:r>
      <w:r w:rsidR="00917F02">
        <w:t xml:space="preserve">.  At least 90% of </w:t>
      </w:r>
      <w:r w:rsidR="00925D47">
        <w:t>these</w:t>
      </w:r>
      <w:r w:rsidR="00917F02">
        <w:t xml:space="preserve"> devices  received the nationwide WEA test in less than 6 minutes.  The other</w:t>
      </w:r>
      <w:r w:rsidR="00D3027B">
        <w:t xml:space="preserve"> 10% of </w:t>
      </w:r>
      <w:r w:rsidR="00925D47">
        <w:t xml:space="preserve">these </w:t>
      </w:r>
      <w:r w:rsidR="00D3027B">
        <w:t xml:space="preserve">devices  </w:t>
      </w:r>
      <w:r w:rsidR="00917F02">
        <w:t xml:space="preserve">took longer, with a maximum of </w:t>
      </w:r>
      <w:r w:rsidR="007C0846">
        <w:t>241 minutes (</w:t>
      </w:r>
      <w:r w:rsidR="00BE3134">
        <w:t xml:space="preserve">4 hours and 1 minute) after FEMA’s transmission. </w:t>
      </w:r>
      <w:r w:rsidR="004A7332">
        <w:t xml:space="preserve"> </w:t>
      </w:r>
    </w:p>
    <w:p w:rsidR="006305AF" w:rsidP="00066793" w14:paraId="68042CD4" w14:textId="7FC90172">
      <w:pPr>
        <w:pStyle w:val="ParaNum"/>
        <w:widowControl/>
      </w:pPr>
      <w:bookmarkStart w:id="153" w:name="_Hlk85207793"/>
      <w:r>
        <w:t xml:space="preserve">The time that it took for the nationwide WEA test to reach the public from FEMA’s alert gateway is not necessarily representative of how long it would take a </w:t>
      </w:r>
      <w:r w:rsidR="005E7492">
        <w:t xml:space="preserve">typical </w:t>
      </w:r>
      <w:r>
        <w:t xml:space="preserve">WEA alert to reach the public.  </w:t>
      </w:r>
      <w:r w:rsidR="00925C5C">
        <w:t>First, because FEMA, rather than a state or local emergency management agency, initiated the nationwide WEA test, the nationwide WEA test could not be used to measure the latency of a typical WEA alert from alert origination software to IPAWS or within IPAWS itself.  Second</w:t>
      </w:r>
      <w:r w:rsidR="002F6189">
        <w:t>, t</w:t>
      </w:r>
      <w:r>
        <w:t xml:space="preserve">he nationwide WEA test did not trigger enhanced WEA geo-targeting because its target area was specified with a nationwide FIPS code rather than </w:t>
      </w:r>
      <w:r w:rsidR="007C7286">
        <w:t xml:space="preserve">with </w:t>
      </w:r>
      <w:r>
        <w:t>circle</w:t>
      </w:r>
      <w:r w:rsidR="005E7492">
        <w:t>s</w:t>
      </w:r>
      <w:r>
        <w:t xml:space="preserve"> or polygon</w:t>
      </w:r>
      <w:r w:rsidR="005E7492">
        <w:t>s</w:t>
      </w:r>
      <w:r>
        <w:t>.</w:t>
      </w:r>
      <w:r w:rsidR="007C7286">
        <w:t xml:space="preserve"> </w:t>
      </w:r>
      <w:r>
        <w:t xml:space="preserve"> Upon receipt of a WEA alert with a target area specified by circle</w:t>
      </w:r>
      <w:r w:rsidR="005E7492">
        <w:t>s</w:t>
      </w:r>
      <w:r>
        <w:t xml:space="preserve"> or polygon</w:t>
      </w:r>
      <w:r w:rsidR="005E7492">
        <w:t>s</w:t>
      </w:r>
      <w:r w:rsidR="00E41CB5">
        <w:t>,</w:t>
      </w:r>
      <w:r>
        <w:t xml:space="preserve"> mobile devices capable of enhanced WEA geo-targeting can </w:t>
      </w:r>
      <w:r w:rsidR="005E7492">
        <w:t xml:space="preserve">potentially </w:t>
      </w:r>
      <w:r>
        <w:t xml:space="preserve">take </w:t>
      </w:r>
      <w:r w:rsidR="005641E5">
        <w:t xml:space="preserve">from 0 to </w:t>
      </w:r>
      <w:r>
        <w:t>255 seconds</w:t>
      </w:r>
      <w:r w:rsidR="00E41CB5">
        <w:t xml:space="preserve"> (4 minutes and 15 seconds)</w:t>
      </w:r>
      <w:r>
        <w:t xml:space="preserve"> to determine their location</w:t>
      </w:r>
      <w:r w:rsidR="00E41CB5">
        <w:t>, compare their location to the targeted area,</w:t>
      </w:r>
      <w:r>
        <w:t xml:space="preserve"> </w:t>
      </w:r>
      <w:r w:rsidR="00E41CB5">
        <w:t>and display the alert only if their location is within 0.1 miles of the targeted area.</w:t>
      </w:r>
      <w:r>
        <w:rPr>
          <w:rStyle w:val="FootnoteReference"/>
        </w:rPr>
        <w:footnoteReference w:id="88"/>
      </w:r>
      <w:r>
        <w:t xml:space="preserve">  </w:t>
      </w:r>
      <w:bookmarkEnd w:id="153"/>
      <w:r w:rsidR="00925C5C">
        <w:t>Finally</w:t>
      </w:r>
      <w:r w:rsidR="002F6189">
        <w:t xml:space="preserve">, as discussed above, CMS networks needed to map the nationwide WEA test to significantly more cell sites than a typical WEA alert, which would have a more limited geographic target area.  </w:t>
      </w:r>
      <w:r w:rsidR="00925C5C">
        <w:t>PSHSB will continue to examine</w:t>
      </w:r>
      <w:r w:rsidR="005641E5">
        <w:t xml:space="preserve"> how quickly mobile devices can receive </w:t>
      </w:r>
      <w:r w:rsidR="002F6189">
        <w:t xml:space="preserve">typical </w:t>
      </w:r>
      <w:r w:rsidR="005641E5">
        <w:t>WEA alerts.</w:t>
      </w:r>
    </w:p>
    <w:p w:rsidR="00E13BF3" w:rsidP="00066793" w14:paraId="0BDB09A8" w14:textId="6C2EF502">
      <w:pPr>
        <w:pStyle w:val="Heading4"/>
        <w:widowControl/>
      </w:pPr>
      <w:bookmarkStart w:id="154" w:name="_Toc83909796"/>
      <w:bookmarkStart w:id="155" w:name="_Toc83911821"/>
      <w:bookmarkStart w:id="156" w:name="_Toc84335326"/>
      <w:bookmarkStart w:id="157" w:name="_Toc84597881"/>
      <w:bookmarkStart w:id="158" w:name="_Toc84926101"/>
      <w:bookmarkStart w:id="159" w:name="_Toc84933036"/>
      <w:bookmarkStart w:id="160" w:name="_Toc85552931"/>
      <w:r>
        <w:t>By</w:t>
      </w:r>
      <w:r>
        <w:t xml:space="preserve"> Wireless Provider</w:t>
      </w:r>
      <w:bookmarkEnd w:id="154"/>
      <w:bookmarkEnd w:id="155"/>
      <w:bookmarkEnd w:id="156"/>
      <w:bookmarkEnd w:id="157"/>
      <w:bookmarkEnd w:id="158"/>
      <w:bookmarkEnd w:id="159"/>
      <w:bookmarkEnd w:id="160"/>
    </w:p>
    <w:p w:rsidR="00E13BF3" w:rsidP="00066793" w14:paraId="6D0E35B0" w14:textId="4738E986">
      <w:pPr>
        <w:pStyle w:val="ParaNum"/>
        <w:widowControl/>
      </w:pPr>
      <w:r>
        <w:t>Based on the Nationwide WEA Test Survey data, PSHSB finds that AT&amp;T’s network delivered the nationwide WEA test at a speed that was statistically different and quicker than Verizon’s network.</w:t>
      </w:r>
      <w:r>
        <w:rPr>
          <w:rStyle w:val="FootnoteReference"/>
        </w:rPr>
        <w:footnoteReference w:id="89"/>
      </w:r>
      <w:r>
        <w:t xml:space="preserve">  T-Mobile’s delivery of the nationwide WEA test appear</w:t>
      </w:r>
      <w:r w:rsidR="00112C6F">
        <w:t>s</w:t>
      </w:r>
      <w:r>
        <w:t xml:space="preserve"> to be faster than both AT&amp;T’s and Verizon’s but there are not enough </w:t>
      </w:r>
      <w:r w:rsidR="007B30CE">
        <w:t xml:space="preserve">completed survey </w:t>
      </w:r>
      <w:r>
        <w:t xml:space="preserve">respondents </w:t>
      </w:r>
      <w:r w:rsidR="007B30CE">
        <w:t>who</w:t>
      </w:r>
      <w:r>
        <w:t xml:space="preserve"> identify T-Mobile as their CMS </w:t>
      </w:r>
      <w:r w:rsidR="00925C5C">
        <w:t>P</w:t>
      </w:r>
      <w:r>
        <w:t xml:space="preserve">rovider to make a statistically significant finding in this regard.  </w:t>
      </w:r>
      <w:r w:rsidRPr="00D3027B">
        <w:rPr>
          <w:b/>
          <w:bCs/>
        </w:rPr>
        <w:t xml:space="preserve">Table </w:t>
      </w:r>
      <w:r w:rsidR="00DE049F">
        <w:rPr>
          <w:b/>
          <w:bCs/>
        </w:rPr>
        <w:t>1</w:t>
      </w:r>
      <w:r w:rsidR="006C0071">
        <w:rPr>
          <w:b/>
          <w:bCs/>
        </w:rPr>
        <w:t>1</w:t>
      </w:r>
      <w:r w:rsidRPr="00D3027B">
        <w:t xml:space="preserve"> shows how quickly mobile devices received the nationwide WEA test from the minute that FEMA transmitted it from its alert gateway</w:t>
      </w:r>
      <w:r>
        <w:t xml:space="preserve">.  </w:t>
      </w:r>
    </w:p>
    <w:tbl>
      <w:tblPr>
        <w:tblStyle w:val="TableGrid"/>
        <w:tblW w:w="0" w:type="auto"/>
        <w:jc w:val="center"/>
        <w:tblLook w:val="04A0"/>
      </w:tblPr>
      <w:tblGrid>
        <w:gridCol w:w="963"/>
        <w:gridCol w:w="1463"/>
        <w:gridCol w:w="1066"/>
        <w:gridCol w:w="803"/>
        <w:gridCol w:w="938"/>
        <w:gridCol w:w="803"/>
        <w:gridCol w:w="803"/>
        <w:gridCol w:w="816"/>
        <w:gridCol w:w="829"/>
        <w:gridCol w:w="866"/>
      </w:tblGrid>
      <w:tr w14:paraId="6F7AC776" w14:textId="77777777" w:rsidTr="00905400">
        <w:tblPrEx>
          <w:tblW w:w="0" w:type="auto"/>
          <w:jc w:val="center"/>
          <w:tblLook w:val="04A0"/>
        </w:tblPrEx>
        <w:trPr>
          <w:jc w:val="center"/>
        </w:trPr>
        <w:tc>
          <w:tcPr>
            <w:tcW w:w="9350" w:type="dxa"/>
            <w:gridSpan w:val="10"/>
            <w:shd w:val="clear" w:color="auto" w:fill="E7E6E6" w:themeFill="background2"/>
          </w:tcPr>
          <w:p w:rsidR="00DE049F" w:rsidRPr="00DE049F" w:rsidP="00066793" w14:paraId="308AF78B" w14:textId="5EDA1465">
            <w:pPr>
              <w:pStyle w:val="ParaNum"/>
              <w:widowControl/>
              <w:numPr>
                <w:ilvl w:val="0"/>
                <w:numId w:val="0"/>
              </w:numPr>
              <w:jc w:val="center"/>
              <w:rPr>
                <w:b/>
                <w:bCs/>
              </w:rPr>
            </w:pPr>
            <w:r>
              <w:rPr>
                <w:b/>
                <w:bCs/>
              </w:rPr>
              <w:t>Table 1</w:t>
            </w:r>
            <w:r w:rsidR="006C0071">
              <w:rPr>
                <w:b/>
                <w:bCs/>
              </w:rPr>
              <w:t>1</w:t>
            </w:r>
          </w:p>
          <w:p w:rsidR="00E13BF3" w:rsidP="00066793" w14:paraId="79085279" w14:textId="491EB989">
            <w:pPr>
              <w:pStyle w:val="ParaNum"/>
              <w:widowControl/>
              <w:numPr>
                <w:ilvl w:val="0"/>
                <w:numId w:val="0"/>
              </w:numPr>
              <w:jc w:val="center"/>
            </w:pPr>
            <w:r>
              <w:t>Completed Survey Response</w:t>
            </w:r>
            <w:r>
              <w:t xml:space="preserve"> Results</w:t>
            </w:r>
          </w:p>
          <w:p w:rsidR="00E13BF3" w:rsidP="00066793" w14:paraId="4F50F2AD" w14:textId="033BE5F6">
            <w:pPr>
              <w:pStyle w:val="ParaNum"/>
              <w:widowControl/>
              <w:numPr>
                <w:ilvl w:val="0"/>
                <w:numId w:val="0"/>
              </w:numPr>
              <w:jc w:val="center"/>
            </w:pPr>
            <w:r>
              <w:t>Latency by Wireless Provider</w:t>
            </w:r>
            <w:r w:rsidR="00F01B97">
              <w:t xml:space="preserve"> (Minutes)</w:t>
            </w:r>
          </w:p>
        </w:tc>
      </w:tr>
      <w:tr w14:paraId="1F69BDC3" w14:textId="77777777" w:rsidTr="00150B90">
        <w:tblPrEx>
          <w:tblW w:w="0" w:type="auto"/>
          <w:jc w:val="center"/>
          <w:tblLook w:val="04A0"/>
        </w:tblPrEx>
        <w:trPr>
          <w:jc w:val="center"/>
        </w:trPr>
        <w:tc>
          <w:tcPr>
            <w:tcW w:w="931" w:type="dxa"/>
            <w:shd w:val="clear" w:color="auto" w:fill="4472C4" w:themeFill="accent1"/>
          </w:tcPr>
          <w:p w:rsidR="00E13BF3" w:rsidRPr="007B1F16" w:rsidP="00066793" w14:paraId="5442FA4B" w14:textId="74B1E0CF">
            <w:pPr>
              <w:pStyle w:val="ParaNum"/>
              <w:widowControl/>
              <w:numPr>
                <w:ilvl w:val="0"/>
                <w:numId w:val="0"/>
              </w:numPr>
              <w:jc w:val="center"/>
              <w:rPr>
                <w:b/>
                <w:bCs/>
              </w:rPr>
            </w:pPr>
          </w:p>
        </w:tc>
        <w:tc>
          <w:tcPr>
            <w:tcW w:w="1377" w:type="dxa"/>
            <w:shd w:val="clear" w:color="auto" w:fill="4472C4" w:themeFill="accent1"/>
            <w:vAlign w:val="center"/>
          </w:tcPr>
          <w:p w:rsidR="00E13BF3" w:rsidRPr="007B1F16" w:rsidP="00066793" w14:paraId="2888F5F9" w14:textId="53780835">
            <w:pPr>
              <w:pStyle w:val="ParaNum"/>
              <w:widowControl/>
              <w:numPr>
                <w:ilvl w:val="0"/>
                <w:numId w:val="0"/>
              </w:numPr>
              <w:jc w:val="center"/>
              <w:rPr>
                <w:b/>
                <w:bCs/>
              </w:rPr>
            </w:pPr>
            <w:r w:rsidRPr="007B1F16">
              <w:rPr>
                <w:b/>
                <w:bCs/>
              </w:rPr>
              <w:t>Respondent Observations</w:t>
            </w:r>
          </w:p>
        </w:tc>
        <w:tc>
          <w:tcPr>
            <w:tcW w:w="1093" w:type="dxa"/>
            <w:shd w:val="clear" w:color="auto" w:fill="4472C4" w:themeFill="accent1"/>
            <w:vAlign w:val="center"/>
          </w:tcPr>
          <w:p w:rsidR="00E13BF3" w:rsidRPr="007B1F16" w:rsidP="00066793" w14:paraId="29512C6C" w14:textId="77777777">
            <w:pPr>
              <w:pStyle w:val="ParaNum"/>
              <w:widowControl/>
              <w:numPr>
                <w:ilvl w:val="0"/>
                <w:numId w:val="0"/>
              </w:numPr>
              <w:jc w:val="center"/>
              <w:rPr>
                <w:b/>
                <w:bCs/>
              </w:rPr>
            </w:pPr>
            <w:r w:rsidRPr="007B1F16">
              <w:rPr>
                <w:b/>
                <w:bCs/>
              </w:rPr>
              <w:t>Mean</w:t>
            </w:r>
          </w:p>
        </w:tc>
        <w:tc>
          <w:tcPr>
            <w:tcW w:w="824" w:type="dxa"/>
            <w:shd w:val="clear" w:color="auto" w:fill="4472C4" w:themeFill="accent1"/>
            <w:vAlign w:val="center"/>
          </w:tcPr>
          <w:p w:rsidR="00E13BF3" w:rsidRPr="007B1F16" w:rsidP="00066793" w14:paraId="2A21F258" w14:textId="77777777">
            <w:pPr>
              <w:pStyle w:val="ParaNum"/>
              <w:widowControl/>
              <w:numPr>
                <w:ilvl w:val="0"/>
                <w:numId w:val="0"/>
              </w:numPr>
              <w:jc w:val="center"/>
              <w:rPr>
                <w:b/>
                <w:bCs/>
              </w:rPr>
            </w:pPr>
            <w:r w:rsidRPr="007B1F16">
              <w:rPr>
                <w:b/>
                <w:bCs/>
              </w:rPr>
              <w:t>25</w:t>
            </w:r>
            <w:r w:rsidRPr="007B1F16">
              <w:rPr>
                <w:b/>
                <w:bCs/>
                <w:vertAlign w:val="superscript"/>
              </w:rPr>
              <w:t>th</w:t>
            </w:r>
            <w:r w:rsidRPr="007B1F16">
              <w:rPr>
                <w:b/>
                <w:bCs/>
              </w:rPr>
              <w:t xml:space="preserve"> %</w:t>
            </w:r>
          </w:p>
        </w:tc>
        <w:tc>
          <w:tcPr>
            <w:tcW w:w="922" w:type="dxa"/>
            <w:shd w:val="clear" w:color="auto" w:fill="4472C4" w:themeFill="accent1"/>
            <w:vAlign w:val="center"/>
          </w:tcPr>
          <w:p w:rsidR="00E13BF3" w:rsidRPr="007B1F16" w:rsidP="00066793" w14:paraId="735ADBE7" w14:textId="77777777">
            <w:pPr>
              <w:pStyle w:val="ParaNum"/>
              <w:widowControl/>
              <w:numPr>
                <w:ilvl w:val="0"/>
                <w:numId w:val="0"/>
              </w:numPr>
              <w:jc w:val="center"/>
              <w:rPr>
                <w:b/>
                <w:bCs/>
              </w:rPr>
            </w:pPr>
            <w:r w:rsidRPr="007B1F16">
              <w:rPr>
                <w:b/>
                <w:bCs/>
              </w:rPr>
              <w:t>Median (50</w:t>
            </w:r>
            <w:r w:rsidRPr="007B1F16">
              <w:rPr>
                <w:b/>
                <w:bCs/>
                <w:vertAlign w:val="superscript"/>
              </w:rPr>
              <w:t>th</w:t>
            </w:r>
            <w:r w:rsidRPr="007B1F16">
              <w:rPr>
                <w:b/>
                <w:bCs/>
              </w:rPr>
              <w:t xml:space="preserve"> %)</w:t>
            </w:r>
          </w:p>
        </w:tc>
        <w:tc>
          <w:tcPr>
            <w:tcW w:w="824" w:type="dxa"/>
            <w:shd w:val="clear" w:color="auto" w:fill="4472C4" w:themeFill="accent1"/>
            <w:vAlign w:val="center"/>
          </w:tcPr>
          <w:p w:rsidR="00E13BF3" w:rsidRPr="007B1F16" w:rsidP="00066793" w14:paraId="7FB3271F" w14:textId="77777777">
            <w:pPr>
              <w:pStyle w:val="ParaNum"/>
              <w:widowControl/>
              <w:numPr>
                <w:ilvl w:val="0"/>
                <w:numId w:val="0"/>
              </w:numPr>
              <w:jc w:val="center"/>
              <w:rPr>
                <w:b/>
                <w:bCs/>
              </w:rPr>
            </w:pPr>
            <w:r w:rsidRPr="007B1F16">
              <w:rPr>
                <w:b/>
                <w:bCs/>
              </w:rPr>
              <w:t>90</w:t>
            </w:r>
            <w:r w:rsidRPr="007B1F16">
              <w:rPr>
                <w:b/>
                <w:bCs/>
                <w:vertAlign w:val="superscript"/>
              </w:rPr>
              <w:t>th</w:t>
            </w:r>
            <w:r w:rsidRPr="007B1F16">
              <w:rPr>
                <w:b/>
                <w:bCs/>
              </w:rPr>
              <w:t xml:space="preserve"> %</w:t>
            </w:r>
          </w:p>
        </w:tc>
        <w:tc>
          <w:tcPr>
            <w:tcW w:w="824" w:type="dxa"/>
            <w:shd w:val="clear" w:color="auto" w:fill="4472C4" w:themeFill="accent1"/>
            <w:vAlign w:val="center"/>
          </w:tcPr>
          <w:p w:rsidR="00E13BF3" w:rsidRPr="007B1F16" w:rsidP="00066793" w14:paraId="16F0DA5B" w14:textId="77777777">
            <w:pPr>
              <w:pStyle w:val="ParaNum"/>
              <w:widowControl/>
              <w:numPr>
                <w:ilvl w:val="0"/>
                <w:numId w:val="0"/>
              </w:numPr>
              <w:jc w:val="center"/>
              <w:rPr>
                <w:b/>
                <w:bCs/>
              </w:rPr>
            </w:pPr>
            <w:r w:rsidRPr="007B1F16">
              <w:rPr>
                <w:b/>
                <w:bCs/>
              </w:rPr>
              <w:t>99</w:t>
            </w:r>
            <w:r w:rsidRPr="007B1F16">
              <w:rPr>
                <w:b/>
                <w:bCs/>
                <w:vertAlign w:val="superscript"/>
              </w:rPr>
              <w:t>th</w:t>
            </w:r>
            <w:r w:rsidRPr="007B1F16">
              <w:rPr>
                <w:b/>
                <w:bCs/>
              </w:rPr>
              <w:t xml:space="preserve"> %</w:t>
            </w:r>
          </w:p>
        </w:tc>
        <w:tc>
          <w:tcPr>
            <w:tcW w:w="834" w:type="dxa"/>
            <w:shd w:val="clear" w:color="auto" w:fill="4472C4" w:themeFill="accent1"/>
            <w:vAlign w:val="center"/>
          </w:tcPr>
          <w:p w:rsidR="00E13BF3" w:rsidRPr="007B1F16" w:rsidP="00066793" w14:paraId="30F5A5E8" w14:textId="77777777">
            <w:pPr>
              <w:pStyle w:val="ParaNum"/>
              <w:widowControl/>
              <w:numPr>
                <w:ilvl w:val="0"/>
                <w:numId w:val="0"/>
              </w:numPr>
              <w:jc w:val="center"/>
              <w:rPr>
                <w:b/>
                <w:bCs/>
              </w:rPr>
            </w:pPr>
            <w:r w:rsidRPr="007B1F16">
              <w:rPr>
                <w:b/>
                <w:bCs/>
              </w:rPr>
              <w:t>Min</w:t>
            </w:r>
          </w:p>
        </w:tc>
        <w:tc>
          <w:tcPr>
            <w:tcW w:w="845" w:type="dxa"/>
            <w:shd w:val="clear" w:color="auto" w:fill="4472C4" w:themeFill="accent1"/>
            <w:vAlign w:val="center"/>
          </w:tcPr>
          <w:p w:rsidR="00E13BF3" w:rsidRPr="007B1F16" w:rsidP="00066793" w14:paraId="5AEA8EBF" w14:textId="77777777">
            <w:pPr>
              <w:pStyle w:val="ParaNum"/>
              <w:widowControl/>
              <w:numPr>
                <w:ilvl w:val="0"/>
                <w:numId w:val="0"/>
              </w:numPr>
              <w:jc w:val="center"/>
              <w:rPr>
                <w:b/>
                <w:bCs/>
              </w:rPr>
            </w:pPr>
            <w:r w:rsidRPr="007B1F16">
              <w:rPr>
                <w:b/>
                <w:bCs/>
              </w:rPr>
              <w:t>Max</w:t>
            </w:r>
          </w:p>
        </w:tc>
        <w:tc>
          <w:tcPr>
            <w:tcW w:w="876" w:type="dxa"/>
            <w:shd w:val="clear" w:color="auto" w:fill="4472C4" w:themeFill="accent1"/>
            <w:vAlign w:val="center"/>
          </w:tcPr>
          <w:p w:rsidR="00E13BF3" w:rsidRPr="007B1F16" w:rsidP="00066793" w14:paraId="73730A94" w14:textId="77777777">
            <w:pPr>
              <w:pStyle w:val="ParaNum"/>
              <w:widowControl/>
              <w:numPr>
                <w:ilvl w:val="0"/>
                <w:numId w:val="0"/>
              </w:numPr>
              <w:jc w:val="center"/>
              <w:rPr>
                <w:b/>
                <w:bCs/>
              </w:rPr>
            </w:pPr>
            <w:r w:rsidRPr="007B1F16">
              <w:rPr>
                <w:b/>
                <w:bCs/>
              </w:rPr>
              <w:t>Mode</w:t>
            </w:r>
          </w:p>
        </w:tc>
      </w:tr>
      <w:tr w14:paraId="5CFD276D" w14:textId="77777777" w:rsidTr="00150B90">
        <w:tblPrEx>
          <w:tblW w:w="0" w:type="auto"/>
          <w:jc w:val="center"/>
          <w:tblLook w:val="04A0"/>
        </w:tblPrEx>
        <w:trPr>
          <w:jc w:val="center"/>
        </w:trPr>
        <w:tc>
          <w:tcPr>
            <w:tcW w:w="931" w:type="dxa"/>
          </w:tcPr>
          <w:p w:rsidR="00E13BF3" w:rsidRPr="007B1F16" w:rsidP="00066793" w14:paraId="36A1AE31" w14:textId="77777777">
            <w:pPr>
              <w:pStyle w:val="ParaNum"/>
              <w:widowControl/>
              <w:numPr>
                <w:ilvl w:val="0"/>
                <w:numId w:val="0"/>
              </w:numPr>
              <w:jc w:val="center"/>
              <w:rPr>
                <w:b/>
                <w:bCs/>
              </w:rPr>
            </w:pPr>
            <w:r w:rsidRPr="007B1F16">
              <w:rPr>
                <w:b/>
                <w:bCs/>
              </w:rPr>
              <w:t>AT&amp;T</w:t>
            </w:r>
          </w:p>
        </w:tc>
        <w:tc>
          <w:tcPr>
            <w:tcW w:w="1377" w:type="dxa"/>
          </w:tcPr>
          <w:p w:rsidR="00E13BF3" w:rsidRPr="003C6EE0" w:rsidP="00066793" w14:paraId="73A46B29" w14:textId="77777777">
            <w:pPr>
              <w:pStyle w:val="ParaNum"/>
              <w:widowControl/>
              <w:numPr>
                <w:ilvl w:val="0"/>
                <w:numId w:val="0"/>
              </w:numPr>
              <w:jc w:val="center"/>
            </w:pPr>
            <w:r w:rsidRPr="003C6EE0">
              <w:t>85</w:t>
            </w:r>
          </w:p>
        </w:tc>
        <w:tc>
          <w:tcPr>
            <w:tcW w:w="1093" w:type="dxa"/>
          </w:tcPr>
          <w:p w:rsidR="00E13BF3" w:rsidRPr="003C6EE0" w:rsidP="00066793" w14:paraId="05AFEA2D" w14:textId="77777777">
            <w:pPr>
              <w:pStyle w:val="ParaNum"/>
              <w:widowControl/>
              <w:numPr>
                <w:ilvl w:val="0"/>
                <w:numId w:val="0"/>
              </w:numPr>
              <w:jc w:val="center"/>
            </w:pPr>
            <w:r w:rsidRPr="003C6EE0">
              <w:t>1.34</w:t>
            </w:r>
          </w:p>
        </w:tc>
        <w:tc>
          <w:tcPr>
            <w:tcW w:w="824" w:type="dxa"/>
          </w:tcPr>
          <w:p w:rsidR="00E13BF3" w:rsidRPr="003C6EE0" w:rsidP="00066793" w14:paraId="48B77193" w14:textId="77777777">
            <w:pPr>
              <w:pStyle w:val="ParaNum"/>
              <w:widowControl/>
              <w:numPr>
                <w:ilvl w:val="0"/>
                <w:numId w:val="0"/>
              </w:numPr>
              <w:jc w:val="center"/>
            </w:pPr>
            <w:r w:rsidRPr="003C6EE0">
              <w:t>0</w:t>
            </w:r>
          </w:p>
        </w:tc>
        <w:tc>
          <w:tcPr>
            <w:tcW w:w="922" w:type="dxa"/>
          </w:tcPr>
          <w:p w:rsidR="00E13BF3" w:rsidRPr="003C6EE0" w:rsidP="00066793" w14:paraId="408CFB34" w14:textId="77777777">
            <w:pPr>
              <w:pStyle w:val="ParaNum"/>
              <w:widowControl/>
              <w:numPr>
                <w:ilvl w:val="0"/>
                <w:numId w:val="0"/>
              </w:numPr>
              <w:jc w:val="center"/>
            </w:pPr>
            <w:r w:rsidRPr="003C6EE0">
              <w:t>1</w:t>
            </w:r>
          </w:p>
        </w:tc>
        <w:tc>
          <w:tcPr>
            <w:tcW w:w="824" w:type="dxa"/>
          </w:tcPr>
          <w:p w:rsidR="00E13BF3" w:rsidRPr="003C6EE0" w:rsidP="00066793" w14:paraId="7B8DDBD2" w14:textId="77777777">
            <w:pPr>
              <w:pStyle w:val="ParaNum"/>
              <w:widowControl/>
              <w:numPr>
                <w:ilvl w:val="0"/>
                <w:numId w:val="0"/>
              </w:numPr>
              <w:jc w:val="center"/>
            </w:pPr>
            <w:r w:rsidRPr="003C6EE0">
              <w:t>2</w:t>
            </w:r>
          </w:p>
        </w:tc>
        <w:tc>
          <w:tcPr>
            <w:tcW w:w="824" w:type="dxa"/>
          </w:tcPr>
          <w:p w:rsidR="00E13BF3" w:rsidRPr="003C6EE0" w:rsidP="00066793" w14:paraId="0C36F0A4" w14:textId="77777777">
            <w:pPr>
              <w:pStyle w:val="ParaNum"/>
              <w:widowControl/>
              <w:numPr>
                <w:ilvl w:val="0"/>
                <w:numId w:val="0"/>
              </w:numPr>
              <w:jc w:val="center"/>
            </w:pPr>
            <w:r w:rsidRPr="003C6EE0">
              <w:t>29</w:t>
            </w:r>
          </w:p>
        </w:tc>
        <w:tc>
          <w:tcPr>
            <w:tcW w:w="834" w:type="dxa"/>
          </w:tcPr>
          <w:p w:rsidR="00E13BF3" w:rsidRPr="003C6EE0" w:rsidP="00066793" w14:paraId="32BA860A" w14:textId="77777777">
            <w:pPr>
              <w:pStyle w:val="ParaNum"/>
              <w:widowControl/>
              <w:numPr>
                <w:ilvl w:val="0"/>
                <w:numId w:val="0"/>
              </w:numPr>
              <w:jc w:val="center"/>
            </w:pPr>
            <w:r w:rsidRPr="003C6EE0">
              <w:t>0</w:t>
            </w:r>
          </w:p>
        </w:tc>
        <w:tc>
          <w:tcPr>
            <w:tcW w:w="845" w:type="dxa"/>
          </w:tcPr>
          <w:p w:rsidR="00E13BF3" w:rsidRPr="003C6EE0" w:rsidP="00066793" w14:paraId="38B50BE5" w14:textId="77777777">
            <w:pPr>
              <w:pStyle w:val="ParaNum"/>
              <w:widowControl/>
              <w:numPr>
                <w:ilvl w:val="0"/>
                <w:numId w:val="0"/>
              </w:numPr>
              <w:jc w:val="center"/>
            </w:pPr>
            <w:r w:rsidRPr="003C6EE0">
              <w:t>29</w:t>
            </w:r>
          </w:p>
        </w:tc>
        <w:tc>
          <w:tcPr>
            <w:tcW w:w="876" w:type="dxa"/>
          </w:tcPr>
          <w:p w:rsidR="00E13BF3" w:rsidRPr="003C6EE0" w:rsidP="00066793" w14:paraId="14961700" w14:textId="77777777">
            <w:pPr>
              <w:pStyle w:val="ParaNum"/>
              <w:widowControl/>
              <w:numPr>
                <w:ilvl w:val="0"/>
                <w:numId w:val="0"/>
              </w:numPr>
              <w:jc w:val="center"/>
            </w:pPr>
            <w:r w:rsidRPr="003C6EE0">
              <w:t>0</w:t>
            </w:r>
          </w:p>
        </w:tc>
      </w:tr>
      <w:tr w14:paraId="59692DE0" w14:textId="77777777" w:rsidTr="00150B90">
        <w:tblPrEx>
          <w:tblW w:w="0" w:type="auto"/>
          <w:jc w:val="center"/>
          <w:tblLook w:val="04A0"/>
        </w:tblPrEx>
        <w:trPr>
          <w:jc w:val="center"/>
        </w:trPr>
        <w:tc>
          <w:tcPr>
            <w:tcW w:w="931" w:type="dxa"/>
          </w:tcPr>
          <w:p w:rsidR="00E13BF3" w:rsidRPr="007B1F16" w:rsidP="00066793" w14:paraId="76DE64EC" w14:textId="77777777">
            <w:pPr>
              <w:pStyle w:val="ParaNum"/>
              <w:widowControl/>
              <w:numPr>
                <w:ilvl w:val="0"/>
                <w:numId w:val="0"/>
              </w:numPr>
              <w:jc w:val="center"/>
              <w:rPr>
                <w:b/>
                <w:bCs/>
              </w:rPr>
            </w:pPr>
            <w:r w:rsidRPr="007B1F16">
              <w:rPr>
                <w:b/>
                <w:bCs/>
              </w:rPr>
              <w:t>T-Mobile</w:t>
            </w:r>
          </w:p>
        </w:tc>
        <w:tc>
          <w:tcPr>
            <w:tcW w:w="1377" w:type="dxa"/>
          </w:tcPr>
          <w:p w:rsidR="00E13BF3" w:rsidRPr="003C6EE0" w:rsidP="00066793" w14:paraId="4CD2BA41" w14:textId="77777777">
            <w:pPr>
              <w:pStyle w:val="ParaNum"/>
              <w:widowControl/>
              <w:numPr>
                <w:ilvl w:val="0"/>
                <w:numId w:val="0"/>
              </w:numPr>
              <w:jc w:val="center"/>
            </w:pPr>
            <w:r w:rsidRPr="003C6EE0">
              <w:t>39</w:t>
            </w:r>
          </w:p>
        </w:tc>
        <w:tc>
          <w:tcPr>
            <w:tcW w:w="1093" w:type="dxa"/>
          </w:tcPr>
          <w:p w:rsidR="00E13BF3" w:rsidRPr="003C6EE0" w:rsidP="00066793" w14:paraId="4B4027A7" w14:textId="3EDFC4DA">
            <w:pPr>
              <w:pStyle w:val="ParaNum"/>
              <w:widowControl/>
              <w:numPr>
                <w:ilvl w:val="0"/>
                <w:numId w:val="0"/>
              </w:numPr>
              <w:jc w:val="center"/>
            </w:pPr>
            <w:r w:rsidRPr="003C6EE0">
              <w:t>2.28</w:t>
            </w:r>
          </w:p>
        </w:tc>
        <w:tc>
          <w:tcPr>
            <w:tcW w:w="824" w:type="dxa"/>
          </w:tcPr>
          <w:p w:rsidR="00E13BF3" w:rsidRPr="003C6EE0" w:rsidP="00066793" w14:paraId="773E1BEA" w14:textId="77777777">
            <w:pPr>
              <w:pStyle w:val="ParaNum"/>
              <w:widowControl/>
              <w:numPr>
                <w:ilvl w:val="0"/>
                <w:numId w:val="0"/>
              </w:numPr>
              <w:jc w:val="center"/>
            </w:pPr>
            <w:r w:rsidRPr="003C6EE0">
              <w:t>0</w:t>
            </w:r>
          </w:p>
        </w:tc>
        <w:tc>
          <w:tcPr>
            <w:tcW w:w="922" w:type="dxa"/>
          </w:tcPr>
          <w:p w:rsidR="00E13BF3" w:rsidRPr="003C6EE0" w:rsidP="00066793" w14:paraId="24C1CF94" w14:textId="77777777">
            <w:pPr>
              <w:pStyle w:val="ParaNum"/>
              <w:widowControl/>
              <w:numPr>
                <w:ilvl w:val="0"/>
                <w:numId w:val="0"/>
              </w:numPr>
              <w:jc w:val="center"/>
            </w:pPr>
            <w:r w:rsidRPr="003C6EE0">
              <w:t>0</w:t>
            </w:r>
          </w:p>
        </w:tc>
        <w:tc>
          <w:tcPr>
            <w:tcW w:w="824" w:type="dxa"/>
          </w:tcPr>
          <w:p w:rsidR="00E13BF3" w:rsidRPr="003C6EE0" w:rsidP="00066793" w14:paraId="3A452613" w14:textId="77777777">
            <w:pPr>
              <w:pStyle w:val="ParaNum"/>
              <w:widowControl/>
              <w:numPr>
                <w:ilvl w:val="0"/>
                <w:numId w:val="0"/>
              </w:numPr>
              <w:jc w:val="center"/>
            </w:pPr>
            <w:r w:rsidRPr="003C6EE0">
              <w:t>3</w:t>
            </w:r>
          </w:p>
        </w:tc>
        <w:tc>
          <w:tcPr>
            <w:tcW w:w="824" w:type="dxa"/>
          </w:tcPr>
          <w:p w:rsidR="00E13BF3" w:rsidRPr="003C6EE0" w:rsidP="00066793" w14:paraId="09D2816B" w14:textId="77777777">
            <w:pPr>
              <w:pStyle w:val="ParaNum"/>
              <w:widowControl/>
              <w:numPr>
                <w:ilvl w:val="0"/>
                <w:numId w:val="0"/>
              </w:numPr>
              <w:jc w:val="center"/>
            </w:pPr>
            <w:r w:rsidRPr="003C6EE0">
              <w:t>40</w:t>
            </w:r>
          </w:p>
        </w:tc>
        <w:tc>
          <w:tcPr>
            <w:tcW w:w="834" w:type="dxa"/>
          </w:tcPr>
          <w:p w:rsidR="00E13BF3" w:rsidRPr="003C6EE0" w:rsidP="00066793" w14:paraId="6BBBA987" w14:textId="77777777">
            <w:pPr>
              <w:pStyle w:val="ParaNum"/>
              <w:widowControl/>
              <w:numPr>
                <w:ilvl w:val="0"/>
                <w:numId w:val="0"/>
              </w:numPr>
              <w:jc w:val="center"/>
            </w:pPr>
            <w:r w:rsidRPr="003C6EE0">
              <w:t>0</w:t>
            </w:r>
          </w:p>
        </w:tc>
        <w:tc>
          <w:tcPr>
            <w:tcW w:w="845" w:type="dxa"/>
          </w:tcPr>
          <w:p w:rsidR="00E13BF3" w:rsidRPr="003C6EE0" w:rsidP="00066793" w14:paraId="1963A112" w14:textId="77777777">
            <w:pPr>
              <w:pStyle w:val="ParaNum"/>
              <w:widowControl/>
              <w:numPr>
                <w:ilvl w:val="0"/>
                <w:numId w:val="0"/>
              </w:numPr>
              <w:jc w:val="center"/>
            </w:pPr>
            <w:r w:rsidRPr="003C6EE0">
              <w:t>40</w:t>
            </w:r>
          </w:p>
        </w:tc>
        <w:tc>
          <w:tcPr>
            <w:tcW w:w="876" w:type="dxa"/>
          </w:tcPr>
          <w:p w:rsidR="00E13BF3" w:rsidRPr="003C6EE0" w:rsidP="00066793" w14:paraId="1E27014A" w14:textId="77777777">
            <w:pPr>
              <w:pStyle w:val="ParaNum"/>
              <w:widowControl/>
              <w:numPr>
                <w:ilvl w:val="0"/>
                <w:numId w:val="0"/>
              </w:numPr>
              <w:jc w:val="center"/>
            </w:pPr>
            <w:r w:rsidRPr="003C6EE0">
              <w:t>0</w:t>
            </w:r>
          </w:p>
        </w:tc>
      </w:tr>
      <w:tr w14:paraId="3FBA0A32" w14:textId="77777777" w:rsidTr="00150B90">
        <w:tblPrEx>
          <w:tblW w:w="0" w:type="auto"/>
          <w:jc w:val="center"/>
          <w:tblLook w:val="04A0"/>
        </w:tblPrEx>
        <w:trPr>
          <w:jc w:val="center"/>
        </w:trPr>
        <w:tc>
          <w:tcPr>
            <w:tcW w:w="931" w:type="dxa"/>
          </w:tcPr>
          <w:p w:rsidR="00E13BF3" w:rsidRPr="007B1F16" w:rsidP="00066793" w14:paraId="3311DAD8" w14:textId="77777777">
            <w:pPr>
              <w:pStyle w:val="ParaNum"/>
              <w:widowControl/>
              <w:numPr>
                <w:ilvl w:val="0"/>
                <w:numId w:val="0"/>
              </w:numPr>
              <w:jc w:val="center"/>
              <w:rPr>
                <w:b/>
                <w:bCs/>
              </w:rPr>
            </w:pPr>
            <w:r w:rsidRPr="007B1F16">
              <w:rPr>
                <w:b/>
                <w:bCs/>
              </w:rPr>
              <w:t>Verizon</w:t>
            </w:r>
          </w:p>
        </w:tc>
        <w:tc>
          <w:tcPr>
            <w:tcW w:w="1377" w:type="dxa"/>
          </w:tcPr>
          <w:p w:rsidR="00E13BF3" w:rsidRPr="003C6EE0" w:rsidP="00066793" w14:paraId="4F055C98" w14:textId="77777777">
            <w:pPr>
              <w:pStyle w:val="ParaNum"/>
              <w:widowControl/>
              <w:numPr>
                <w:ilvl w:val="0"/>
                <w:numId w:val="0"/>
              </w:numPr>
              <w:jc w:val="center"/>
            </w:pPr>
            <w:r w:rsidRPr="003C6EE0">
              <w:t>137</w:t>
            </w:r>
          </w:p>
        </w:tc>
        <w:tc>
          <w:tcPr>
            <w:tcW w:w="1093" w:type="dxa"/>
          </w:tcPr>
          <w:p w:rsidR="00E13BF3" w:rsidRPr="003C6EE0" w:rsidP="00066793" w14:paraId="1BBE220A" w14:textId="77777777">
            <w:pPr>
              <w:pStyle w:val="ParaNum"/>
              <w:widowControl/>
              <w:numPr>
                <w:ilvl w:val="0"/>
                <w:numId w:val="0"/>
              </w:numPr>
              <w:jc w:val="center"/>
            </w:pPr>
            <w:r w:rsidRPr="003C6EE0">
              <w:t>7.85</w:t>
            </w:r>
          </w:p>
        </w:tc>
        <w:tc>
          <w:tcPr>
            <w:tcW w:w="824" w:type="dxa"/>
          </w:tcPr>
          <w:p w:rsidR="00E13BF3" w:rsidRPr="003C6EE0" w:rsidP="00066793" w14:paraId="682CA5E8" w14:textId="77777777">
            <w:pPr>
              <w:pStyle w:val="ParaNum"/>
              <w:widowControl/>
              <w:numPr>
                <w:ilvl w:val="0"/>
                <w:numId w:val="0"/>
              </w:numPr>
              <w:jc w:val="center"/>
            </w:pPr>
            <w:r w:rsidRPr="003C6EE0">
              <w:t>1</w:t>
            </w:r>
          </w:p>
        </w:tc>
        <w:tc>
          <w:tcPr>
            <w:tcW w:w="922" w:type="dxa"/>
          </w:tcPr>
          <w:p w:rsidR="00E13BF3" w:rsidRPr="003C6EE0" w:rsidP="00066793" w14:paraId="13E5B20A" w14:textId="77777777">
            <w:pPr>
              <w:pStyle w:val="ParaNum"/>
              <w:widowControl/>
              <w:numPr>
                <w:ilvl w:val="0"/>
                <w:numId w:val="0"/>
              </w:numPr>
              <w:jc w:val="center"/>
            </w:pPr>
            <w:r w:rsidRPr="003C6EE0">
              <w:t>1</w:t>
            </w:r>
          </w:p>
        </w:tc>
        <w:tc>
          <w:tcPr>
            <w:tcW w:w="824" w:type="dxa"/>
          </w:tcPr>
          <w:p w:rsidR="00E13BF3" w:rsidRPr="003C6EE0" w:rsidP="00066793" w14:paraId="6DEBEDAA" w14:textId="77777777">
            <w:pPr>
              <w:pStyle w:val="ParaNum"/>
              <w:widowControl/>
              <w:numPr>
                <w:ilvl w:val="0"/>
                <w:numId w:val="0"/>
              </w:numPr>
              <w:jc w:val="center"/>
            </w:pPr>
            <w:r w:rsidRPr="003C6EE0">
              <w:t>4</w:t>
            </w:r>
          </w:p>
        </w:tc>
        <w:tc>
          <w:tcPr>
            <w:tcW w:w="824" w:type="dxa"/>
          </w:tcPr>
          <w:p w:rsidR="00E13BF3" w:rsidRPr="003C6EE0" w:rsidP="00066793" w14:paraId="0F099044" w14:textId="77777777">
            <w:pPr>
              <w:pStyle w:val="ParaNum"/>
              <w:widowControl/>
              <w:numPr>
                <w:ilvl w:val="0"/>
                <w:numId w:val="0"/>
              </w:numPr>
              <w:jc w:val="center"/>
            </w:pPr>
            <w:r w:rsidRPr="003C6EE0">
              <w:t>231</w:t>
            </w:r>
          </w:p>
        </w:tc>
        <w:tc>
          <w:tcPr>
            <w:tcW w:w="834" w:type="dxa"/>
          </w:tcPr>
          <w:p w:rsidR="00E13BF3" w:rsidRPr="003C6EE0" w:rsidP="00066793" w14:paraId="7CF03DC4" w14:textId="77777777">
            <w:pPr>
              <w:pStyle w:val="ParaNum"/>
              <w:widowControl/>
              <w:numPr>
                <w:ilvl w:val="0"/>
                <w:numId w:val="0"/>
              </w:numPr>
              <w:jc w:val="center"/>
            </w:pPr>
            <w:r w:rsidRPr="003C6EE0">
              <w:t>0</w:t>
            </w:r>
          </w:p>
        </w:tc>
        <w:tc>
          <w:tcPr>
            <w:tcW w:w="845" w:type="dxa"/>
          </w:tcPr>
          <w:p w:rsidR="00E13BF3" w:rsidRPr="003C6EE0" w:rsidP="00066793" w14:paraId="277E89D5" w14:textId="77777777">
            <w:pPr>
              <w:pStyle w:val="ParaNum"/>
              <w:widowControl/>
              <w:numPr>
                <w:ilvl w:val="0"/>
                <w:numId w:val="0"/>
              </w:numPr>
              <w:jc w:val="center"/>
            </w:pPr>
            <w:r w:rsidRPr="003C6EE0">
              <w:t>241</w:t>
            </w:r>
          </w:p>
        </w:tc>
        <w:tc>
          <w:tcPr>
            <w:tcW w:w="876" w:type="dxa"/>
          </w:tcPr>
          <w:p w:rsidR="00E13BF3" w:rsidRPr="003C6EE0" w:rsidP="00066793" w14:paraId="3C7A6D25" w14:textId="77777777">
            <w:pPr>
              <w:pStyle w:val="ParaNum"/>
              <w:widowControl/>
              <w:numPr>
                <w:ilvl w:val="0"/>
                <w:numId w:val="0"/>
              </w:numPr>
              <w:jc w:val="center"/>
            </w:pPr>
            <w:r w:rsidRPr="003C6EE0">
              <w:t>1</w:t>
            </w:r>
          </w:p>
        </w:tc>
      </w:tr>
      <w:tr w14:paraId="1250FD69" w14:textId="77777777" w:rsidTr="00150B90">
        <w:tblPrEx>
          <w:tblW w:w="0" w:type="auto"/>
          <w:jc w:val="center"/>
          <w:tblLook w:val="04A0"/>
        </w:tblPrEx>
        <w:trPr>
          <w:jc w:val="center"/>
        </w:trPr>
        <w:tc>
          <w:tcPr>
            <w:tcW w:w="931" w:type="dxa"/>
          </w:tcPr>
          <w:p w:rsidR="00E13BF3" w:rsidRPr="007B1F16" w:rsidP="00066793" w14:paraId="5F25ED44" w14:textId="77777777">
            <w:pPr>
              <w:pStyle w:val="ParaNum"/>
              <w:widowControl/>
              <w:numPr>
                <w:ilvl w:val="0"/>
                <w:numId w:val="0"/>
              </w:numPr>
              <w:jc w:val="center"/>
              <w:rPr>
                <w:b/>
                <w:bCs/>
              </w:rPr>
            </w:pPr>
            <w:r w:rsidRPr="007B1F16">
              <w:rPr>
                <w:b/>
                <w:bCs/>
              </w:rPr>
              <w:t>Other</w:t>
            </w:r>
          </w:p>
        </w:tc>
        <w:tc>
          <w:tcPr>
            <w:tcW w:w="1377" w:type="dxa"/>
          </w:tcPr>
          <w:p w:rsidR="00E13BF3" w:rsidRPr="003C6EE0" w:rsidP="00066793" w14:paraId="4D0C2005" w14:textId="77777777">
            <w:pPr>
              <w:pStyle w:val="ParaNum"/>
              <w:widowControl/>
              <w:numPr>
                <w:ilvl w:val="0"/>
                <w:numId w:val="0"/>
              </w:numPr>
              <w:jc w:val="center"/>
            </w:pPr>
            <w:r w:rsidRPr="003C6EE0">
              <w:t>34</w:t>
            </w:r>
          </w:p>
        </w:tc>
        <w:tc>
          <w:tcPr>
            <w:tcW w:w="1093" w:type="dxa"/>
          </w:tcPr>
          <w:p w:rsidR="00E13BF3" w:rsidRPr="003C6EE0" w:rsidP="00066793" w14:paraId="6535433F" w14:textId="77777777">
            <w:pPr>
              <w:pStyle w:val="ParaNum"/>
              <w:widowControl/>
              <w:numPr>
                <w:ilvl w:val="0"/>
                <w:numId w:val="0"/>
              </w:numPr>
              <w:jc w:val="center"/>
            </w:pPr>
            <w:r w:rsidRPr="003C6EE0">
              <w:t>1.29</w:t>
            </w:r>
          </w:p>
        </w:tc>
        <w:tc>
          <w:tcPr>
            <w:tcW w:w="824" w:type="dxa"/>
          </w:tcPr>
          <w:p w:rsidR="00E13BF3" w:rsidRPr="003C6EE0" w:rsidP="00066793" w14:paraId="4761A326" w14:textId="77777777">
            <w:pPr>
              <w:pStyle w:val="ParaNum"/>
              <w:widowControl/>
              <w:numPr>
                <w:ilvl w:val="0"/>
                <w:numId w:val="0"/>
              </w:numPr>
              <w:jc w:val="center"/>
            </w:pPr>
            <w:r w:rsidRPr="003C6EE0">
              <w:t>0</w:t>
            </w:r>
          </w:p>
        </w:tc>
        <w:tc>
          <w:tcPr>
            <w:tcW w:w="922" w:type="dxa"/>
          </w:tcPr>
          <w:p w:rsidR="00E13BF3" w:rsidRPr="003C6EE0" w:rsidP="00066793" w14:paraId="07BCCBCA" w14:textId="77777777">
            <w:pPr>
              <w:pStyle w:val="ParaNum"/>
              <w:widowControl/>
              <w:numPr>
                <w:ilvl w:val="0"/>
                <w:numId w:val="0"/>
              </w:numPr>
              <w:jc w:val="center"/>
            </w:pPr>
            <w:r w:rsidRPr="003C6EE0">
              <w:t>1</w:t>
            </w:r>
          </w:p>
        </w:tc>
        <w:tc>
          <w:tcPr>
            <w:tcW w:w="824" w:type="dxa"/>
          </w:tcPr>
          <w:p w:rsidR="00E13BF3" w:rsidRPr="003C6EE0" w:rsidP="00066793" w14:paraId="70E2B5D5" w14:textId="77777777">
            <w:pPr>
              <w:pStyle w:val="ParaNum"/>
              <w:widowControl/>
              <w:numPr>
                <w:ilvl w:val="0"/>
                <w:numId w:val="0"/>
              </w:numPr>
              <w:jc w:val="center"/>
            </w:pPr>
            <w:r w:rsidRPr="003C6EE0">
              <w:t>2</w:t>
            </w:r>
          </w:p>
        </w:tc>
        <w:tc>
          <w:tcPr>
            <w:tcW w:w="824" w:type="dxa"/>
          </w:tcPr>
          <w:p w:rsidR="00E13BF3" w:rsidRPr="003C6EE0" w:rsidP="00066793" w14:paraId="4466A816" w14:textId="77777777">
            <w:pPr>
              <w:pStyle w:val="ParaNum"/>
              <w:widowControl/>
              <w:numPr>
                <w:ilvl w:val="0"/>
                <w:numId w:val="0"/>
              </w:numPr>
              <w:jc w:val="center"/>
            </w:pPr>
            <w:r w:rsidRPr="003C6EE0">
              <w:t>18</w:t>
            </w:r>
          </w:p>
        </w:tc>
        <w:tc>
          <w:tcPr>
            <w:tcW w:w="834" w:type="dxa"/>
          </w:tcPr>
          <w:p w:rsidR="00E13BF3" w:rsidRPr="003C6EE0" w:rsidP="00066793" w14:paraId="314B29A3" w14:textId="77777777">
            <w:pPr>
              <w:pStyle w:val="ParaNum"/>
              <w:widowControl/>
              <w:numPr>
                <w:ilvl w:val="0"/>
                <w:numId w:val="0"/>
              </w:numPr>
              <w:jc w:val="center"/>
            </w:pPr>
            <w:r w:rsidRPr="003C6EE0">
              <w:t>0</w:t>
            </w:r>
          </w:p>
        </w:tc>
        <w:tc>
          <w:tcPr>
            <w:tcW w:w="845" w:type="dxa"/>
          </w:tcPr>
          <w:p w:rsidR="00E13BF3" w:rsidRPr="003C6EE0" w:rsidP="00066793" w14:paraId="2B891D4B" w14:textId="77777777">
            <w:pPr>
              <w:pStyle w:val="ParaNum"/>
              <w:widowControl/>
              <w:numPr>
                <w:ilvl w:val="0"/>
                <w:numId w:val="0"/>
              </w:numPr>
              <w:jc w:val="center"/>
            </w:pPr>
            <w:r w:rsidRPr="003C6EE0">
              <w:t>18</w:t>
            </w:r>
          </w:p>
        </w:tc>
        <w:tc>
          <w:tcPr>
            <w:tcW w:w="876" w:type="dxa"/>
          </w:tcPr>
          <w:p w:rsidR="00E13BF3" w:rsidRPr="003C6EE0" w:rsidP="00066793" w14:paraId="4635A03C" w14:textId="77777777">
            <w:pPr>
              <w:pStyle w:val="ParaNum"/>
              <w:widowControl/>
              <w:numPr>
                <w:ilvl w:val="0"/>
                <w:numId w:val="0"/>
              </w:numPr>
              <w:jc w:val="center"/>
            </w:pPr>
            <w:r w:rsidRPr="003C6EE0">
              <w:t>1</w:t>
            </w:r>
          </w:p>
        </w:tc>
      </w:tr>
      <w:tr w14:paraId="28131C36" w14:textId="77777777" w:rsidTr="00150B90">
        <w:tblPrEx>
          <w:tblW w:w="0" w:type="auto"/>
          <w:jc w:val="center"/>
          <w:tblLook w:val="04A0"/>
        </w:tblPrEx>
        <w:trPr>
          <w:jc w:val="center"/>
        </w:trPr>
        <w:tc>
          <w:tcPr>
            <w:tcW w:w="931" w:type="dxa"/>
          </w:tcPr>
          <w:p w:rsidR="00E13BF3" w:rsidRPr="007B1F16" w:rsidP="00066793" w14:paraId="48164FEE" w14:textId="77777777">
            <w:pPr>
              <w:pStyle w:val="ParaNum"/>
              <w:widowControl/>
              <w:numPr>
                <w:ilvl w:val="0"/>
                <w:numId w:val="0"/>
              </w:numPr>
              <w:jc w:val="center"/>
              <w:rPr>
                <w:b/>
                <w:bCs/>
              </w:rPr>
            </w:pPr>
            <w:r w:rsidRPr="007B1F16">
              <w:rPr>
                <w:b/>
                <w:bCs/>
              </w:rPr>
              <w:t>Total</w:t>
            </w:r>
          </w:p>
        </w:tc>
        <w:tc>
          <w:tcPr>
            <w:tcW w:w="1377" w:type="dxa"/>
          </w:tcPr>
          <w:p w:rsidR="00E13BF3" w:rsidRPr="003C6EE0" w:rsidP="00066793" w14:paraId="1B052C70" w14:textId="77777777">
            <w:pPr>
              <w:pStyle w:val="ParaNum"/>
              <w:widowControl/>
              <w:numPr>
                <w:ilvl w:val="0"/>
                <w:numId w:val="0"/>
              </w:numPr>
              <w:jc w:val="center"/>
            </w:pPr>
            <w:r w:rsidRPr="003C6EE0">
              <w:t>295</w:t>
            </w:r>
          </w:p>
        </w:tc>
        <w:tc>
          <w:tcPr>
            <w:tcW w:w="1093" w:type="dxa"/>
          </w:tcPr>
          <w:p w:rsidR="00E13BF3" w:rsidRPr="003C6EE0" w:rsidP="00066793" w14:paraId="30868966" w14:textId="77777777">
            <w:pPr>
              <w:pStyle w:val="ParaNum"/>
              <w:widowControl/>
              <w:numPr>
                <w:ilvl w:val="0"/>
                <w:numId w:val="0"/>
              </w:numPr>
              <w:jc w:val="center"/>
            </w:pPr>
          </w:p>
        </w:tc>
        <w:tc>
          <w:tcPr>
            <w:tcW w:w="824" w:type="dxa"/>
          </w:tcPr>
          <w:p w:rsidR="00E13BF3" w:rsidRPr="003C6EE0" w:rsidP="00066793" w14:paraId="3451D730" w14:textId="77777777">
            <w:pPr>
              <w:pStyle w:val="ParaNum"/>
              <w:widowControl/>
              <w:numPr>
                <w:ilvl w:val="0"/>
                <w:numId w:val="0"/>
              </w:numPr>
              <w:jc w:val="center"/>
            </w:pPr>
          </w:p>
        </w:tc>
        <w:tc>
          <w:tcPr>
            <w:tcW w:w="922" w:type="dxa"/>
          </w:tcPr>
          <w:p w:rsidR="00E13BF3" w:rsidRPr="003C6EE0" w:rsidP="00066793" w14:paraId="42B90AB4" w14:textId="77777777">
            <w:pPr>
              <w:pStyle w:val="ParaNum"/>
              <w:widowControl/>
              <w:numPr>
                <w:ilvl w:val="0"/>
                <w:numId w:val="0"/>
              </w:numPr>
              <w:jc w:val="center"/>
            </w:pPr>
          </w:p>
        </w:tc>
        <w:tc>
          <w:tcPr>
            <w:tcW w:w="824" w:type="dxa"/>
          </w:tcPr>
          <w:p w:rsidR="00E13BF3" w:rsidRPr="003C6EE0" w:rsidP="00066793" w14:paraId="4FDC730E" w14:textId="77777777">
            <w:pPr>
              <w:pStyle w:val="ParaNum"/>
              <w:widowControl/>
              <w:numPr>
                <w:ilvl w:val="0"/>
                <w:numId w:val="0"/>
              </w:numPr>
              <w:jc w:val="center"/>
            </w:pPr>
          </w:p>
        </w:tc>
        <w:tc>
          <w:tcPr>
            <w:tcW w:w="824" w:type="dxa"/>
          </w:tcPr>
          <w:p w:rsidR="00E13BF3" w:rsidRPr="003C6EE0" w:rsidP="00066793" w14:paraId="5736CDDB" w14:textId="77777777">
            <w:pPr>
              <w:pStyle w:val="ParaNum"/>
              <w:widowControl/>
              <w:numPr>
                <w:ilvl w:val="0"/>
                <w:numId w:val="0"/>
              </w:numPr>
              <w:jc w:val="center"/>
            </w:pPr>
          </w:p>
        </w:tc>
        <w:tc>
          <w:tcPr>
            <w:tcW w:w="834" w:type="dxa"/>
          </w:tcPr>
          <w:p w:rsidR="00E13BF3" w:rsidRPr="003C6EE0" w:rsidP="00066793" w14:paraId="6C84285E" w14:textId="77777777">
            <w:pPr>
              <w:pStyle w:val="ParaNum"/>
              <w:widowControl/>
              <w:numPr>
                <w:ilvl w:val="0"/>
                <w:numId w:val="0"/>
              </w:numPr>
              <w:jc w:val="center"/>
            </w:pPr>
          </w:p>
        </w:tc>
        <w:tc>
          <w:tcPr>
            <w:tcW w:w="845" w:type="dxa"/>
          </w:tcPr>
          <w:p w:rsidR="00E13BF3" w:rsidRPr="003C6EE0" w:rsidP="00066793" w14:paraId="250D87E0" w14:textId="77777777">
            <w:pPr>
              <w:pStyle w:val="ParaNum"/>
              <w:widowControl/>
              <w:numPr>
                <w:ilvl w:val="0"/>
                <w:numId w:val="0"/>
              </w:numPr>
              <w:jc w:val="center"/>
            </w:pPr>
          </w:p>
        </w:tc>
        <w:tc>
          <w:tcPr>
            <w:tcW w:w="876" w:type="dxa"/>
          </w:tcPr>
          <w:p w:rsidR="00E13BF3" w:rsidRPr="003C6EE0" w:rsidP="00066793" w14:paraId="13225B3E" w14:textId="77777777">
            <w:pPr>
              <w:pStyle w:val="ParaNum"/>
              <w:widowControl/>
              <w:numPr>
                <w:ilvl w:val="0"/>
                <w:numId w:val="0"/>
              </w:numPr>
              <w:jc w:val="center"/>
            </w:pPr>
          </w:p>
        </w:tc>
      </w:tr>
    </w:tbl>
    <w:p w:rsidR="00E13BF3" w:rsidP="00066793" w14:paraId="002E106C" w14:textId="77777777">
      <w:pPr>
        <w:pStyle w:val="ParaNum"/>
        <w:widowControl/>
        <w:numPr>
          <w:ilvl w:val="0"/>
          <w:numId w:val="0"/>
        </w:numPr>
        <w:ind w:firstLine="720"/>
      </w:pPr>
    </w:p>
    <w:p w:rsidR="000E1B93" w:rsidP="00066793" w14:paraId="18D9A4FB" w14:textId="4C374875">
      <w:pPr>
        <w:pStyle w:val="ParaNum"/>
        <w:widowControl/>
        <w:numPr>
          <w:ilvl w:val="0"/>
          <w:numId w:val="0"/>
        </w:numPr>
      </w:pPr>
      <w:r>
        <w:t xml:space="preserve">The </w:t>
      </w:r>
      <w:r w:rsidR="007B30CE">
        <w:t xml:space="preserve">completed survey </w:t>
      </w:r>
      <w:r>
        <w:t>data indicate that at least half of the</w:t>
      </w:r>
      <w:r w:rsidR="00EC625C">
        <w:t xml:space="preserve"> WEA-capable</w:t>
      </w:r>
      <w:r>
        <w:t xml:space="preserve"> mobile devices </w:t>
      </w:r>
      <w:r w:rsidR="00EC625C">
        <w:t xml:space="preserve">that were </w:t>
      </w:r>
      <w:r>
        <w:t xml:space="preserve">connected to AT&amp;T’s and Verizon’s networks </w:t>
      </w:r>
      <w:r w:rsidR="00AB52F3">
        <w:t xml:space="preserve">and </w:t>
      </w:r>
      <w:r>
        <w:t>received the nationwide WEA test</w:t>
      </w:r>
      <w:r w:rsidR="00AB52F3">
        <w:t xml:space="preserve"> received it</w:t>
      </w:r>
      <w:r>
        <w:t xml:space="preserve"> </w:t>
      </w:r>
      <w:r w:rsidR="00AB19F3">
        <w:t>with</w:t>
      </w:r>
      <w:r>
        <w:t xml:space="preserve">in </w:t>
      </w:r>
      <w:r w:rsidR="00917F02">
        <w:t>two</w:t>
      </w:r>
      <w:r>
        <w:t xml:space="preserve"> minute</w:t>
      </w:r>
      <w:r w:rsidR="00917F02">
        <w:t>s</w:t>
      </w:r>
      <w:r w:rsidR="00AB52F3">
        <w:t xml:space="preserve"> of transmission</w:t>
      </w:r>
      <w:r>
        <w:t xml:space="preserve">.  </w:t>
      </w:r>
      <w:r w:rsidR="00F01B97">
        <w:t xml:space="preserve">Verizon’s network took statistically longer than other wireless providers to </w:t>
      </w:r>
      <w:r w:rsidR="00F01B97">
        <w:t>deliver the nationwide WEA test.</w:t>
      </w:r>
      <w:r>
        <w:rPr>
          <w:rStyle w:val="FootnoteReference"/>
        </w:rPr>
        <w:footnoteReference w:id="90"/>
      </w:r>
      <w:r w:rsidR="00F01B97">
        <w:t xml:space="preserve">  At least 90% of mobile devices connected to Verizon’s network received the nationwide WEA test within five minutes.  </w:t>
      </w:r>
      <w:r w:rsidR="00AB19F3">
        <w:t xml:space="preserve">At least 90% of mobile devices connected to AT&amp;T’s network received the nationwide WEA test within </w:t>
      </w:r>
      <w:r w:rsidR="00917F02">
        <w:t xml:space="preserve">three </w:t>
      </w:r>
      <w:r w:rsidR="00AB19F3">
        <w:t>minutes</w:t>
      </w:r>
      <w:r w:rsidR="001A014A">
        <w:t>.</w:t>
      </w:r>
      <w:r w:rsidR="00AB19F3">
        <w:t xml:space="preserve"> </w:t>
      </w:r>
      <w:r w:rsidR="001A014A">
        <w:t xml:space="preserve"> </w:t>
      </w:r>
      <w:r w:rsidR="00AB19F3">
        <w:t xml:space="preserve">  </w:t>
      </w:r>
      <w:r w:rsidR="002A198E">
        <w:t xml:space="preserve">Although it appears that at least 90% of mobile devices connected to T-Mobile’s network </w:t>
      </w:r>
      <w:r w:rsidR="00B45C60">
        <w:t xml:space="preserve">also </w:t>
      </w:r>
      <w:r w:rsidR="002A198E">
        <w:t xml:space="preserve">received the nationwide WEA test within </w:t>
      </w:r>
      <w:r w:rsidR="00B45C60">
        <w:t>three</w:t>
      </w:r>
      <w:r w:rsidR="002A198E">
        <w:t xml:space="preserve"> minutes, there </w:t>
      </w:r>
      <w:r w:rsidR="00B45C60">
        <w:t>are</w:t>
      </w:r>
      <w:r w:rsidR="002A198E">
        <w:t xml:space="preserve"> not enough</w:t>
      </w:r>
      <w:r w:rsidR="007B30CE">
        <w:t xml:space="preserve"> completed survey</w:t>
      </w:r>
      <w:r w:rsidR="002A198E">
        <w:t xml:space="preserve"> responses to reach a statistically significant finding in this regard. </w:t>
      </w:r>
    </w:p>
    <w:p w:rsidR="00556F9A" w:rsidP="00066793" w14:paraId="5C6E167E" w14:textId="2D7F91C1">
      <w:pPr>
        <w:pStyle w:val="ParaNum"/>
        <w:widowControl/>
      </w:pPr>
      <w:r>
        <w:t>AT&amp;T</w:t>
      </w:r>
      <w:r w:rsidR="0087082F">
        <w:t>’s</w:t>
      </w:r>
      <w:r>
        <w:t xml:space="preserve"> and Verizon’s </w:t>
      </w:r>
      <w:r w:rsidR="00C10708">
        <w:t>own</w:t>
      </w:r>
      <w:r w:rsidR="00F523F1">
        <w:t xml:space="preserve"> </w:t>
      </w:r>
      <w:r>
        <w:t xml:space="preserve">network latency analyses explain an approximately 15 second difference between the speed at which their networks delivered the nationwide WEA test.  </w:t>
      </w:r>
      <w:r w:rsidR="000E1B93">
        <w:t xml:space="preserve">However, </w:t>
      </w:r>
      <w:r w:rsidR="00B9215D">
        <w:t>PSHSB cannot explain th</w:t>
      </w:r>
      <w:r>
        <w:t>e remainder of this</w:t>
      </w:r>
      <w:r w:rsidR="00B9215D">
        <w:t xml:space="preserve"> difference with confidence except to attribute it to </w:t>
      </w:r>
      <w:r w:rsidR="00275A5A">
        <w:t>a</w:t>
      </w:r>
      <w:r w:rsidR="00B9215D">
        <w:t xml:space="preserve"> step in the test transmission process on which AT&amp;T and Verizon did not report: the speed at which </w:t>
      </w:r>
      <w:r w:rsidR="008043C9">
        <w:t>the CMS Providers</w:t>
      </w:r>
      <w:r w:rsidR="00B9215D">
        <w:t xml:space="preserve"> were able to deliver the test across their wireless networks</w:t>
      </w:r>
      <w:r w:rsidR="008043C9">
        <w:t>,</w:t>
      </w:r>
      <w:r w:rsidR="00B9215D">
        <w:t xml:space="preserve"> </w:t>
      </w:r>
      <w:r w:rsidR="008043C9">
        <w:t>given their respective retransmission policies</w:t>
      </w:r>
      <w:r w:rsidR="00275A5A">
        <w:t>.</w:t>
      </w:r>
      <w:r>
        <w:rPr>
          <w:rStyle w:val="FootnoteReference"/>
        </w:rPr>
        <w:footnoteReference w:id="91"/>
      </w:r>
      <w:r w:rsidR="00275A5A">
        <w:t xml:space="preserve">  </w:t>
      </w:r>
      <w:r w:rsidR="00B9215D">
        <w:t xml:space="preserve">PSHSB finds therefore that </w:t>
      </w:r>
      <w:r w:rsidR="000E1B93">
        <w:t xml:space="preserve">it is likely that </w:t>
      </w:r>
      <w:r w:rsidR="00B9215D">
        <w:t>AT&amp;T’s network was able to deliver the nationwide WEA test across its wireless network</w:t>
      </w:r>
      <w:r w:rsidR="0087082F">
        <w:t>, on average,</w:t>
      </w:r>
      <w:r w:rsidR="00B9215D">
        <w:t xml:space="preserve"> faster than Verizon</w:t>
      </w:r>
      <w:r w:rsidR="00D120A7">
        <w:t>,</w:t>
      </w:r>
      <w:r w:rsidRPr="00D120A7" w:rsidR="00D120A7">
        <w:t xml:space="preserve"> </w:t>
      </w:r>
      <w:r w:rsidR="00D120A7">
        <w:t>given that AT&amp;T retransmitted the nationwide WEA alert once a minute for the duration of the nationwide WEA test’s 30-minute active period and Verizon retransmitted the nationwide WEA test only once, one minute after its initial transmittal</w:t>
      </w:r>
      <w:r w:rsidR="00B9215D">
        <w:t>.</w:t>
      </w:r>
      <w:r>
        <w:rPr>
          <w:rStyle w:val="FootnoteReference"/>
        </w:rPr>
        <w:footnoteReference w:id="92"/>
      </w:r>
      <w:r w:rsidR="00B9215D">
        <w:t xml:space="preserve">  </w:t>
      </w:r>
    </w:p>
    <w:p w:rsidR="00556F9A" w:rsidP="00066793" w14:paraId="6936B0DB" w14:textId="1ECB1325">
      <w:pPr>
        <w:pStyle w:val="Heading4"/>
        <w:widowControl/>
      </w:pPr>
      <w:bookmarkStart w:id="161" w:name="_Toc83909797"/>
      <w:bookmarkStart w:id="162" w:name="_Toc83911822"/>
      <w:bookmarkStart w:id="163" w:name="_Toc84335327"/>
      <w:bookmarkStart w:id="164" w:name="_Toc84597882"/>
      <w:bookmarkStart w:id="165" w:name="_Toc84926102"/>
      <w:bookmarkStart w:id="166" w:name="_Toc84933037"/>
      <w:bookmarkStart w:id="167" w:name="_Toc85552932"/>
      <w:r>
        <w:t>By</w:t>
      </w:r>
      <w:r>
        <w:t xml:space="preserve"> Generation of Wireless Network Technology</w:t>
      </w:r>
      <w:bookmarkEnd w:id="161"/>
      <w:bookmarkEnd w:id="162"/>
      <w:bookmarkEnd w:id="163"/>
      <w:bookmarkEnd w:id="164"/>
      <w:bookmarkEnd w:id="165"/>
      <w:bookmarkEnd w:id="166"/>
      <w:bookmarkEnd w:id="167"/>
      <w:r>
        <w:t xml:space="preserve"> </w:t>
      </w:r>
    </w:p>
    <w:p w:rsidR="00556F9A" w:rsidP="00066793" w14:paraId="722BB672" w14:textId="0E8D451E">
      <w:pPr>
        <w:pStyle w:val="ParaNum"/>
        <w:widowControl/>
      </w:pPr>
      <w:r>
        <w:t xml:space="preserve">Based on the Nationwide WEA Test Survey data, PSHSB finds no statistically significant difference </w:t>
      </w:r>
      <w:r w:rsidR="00B45C60">
        <w:t>between the time it takes</w:t>
      </w:r>
      <w:r>
        <w:t xml:space="preserve"> 4G and 5G networks</w:t>
      </w:r>
      <w:r w:rsidR="00B45C60">
        <w:t xml:space="preserve"> to deliver WEA alerts</w:t>
      </w:r>
      <w:r>
        <w:t>.</w:t>
      </w:r>
      <w:r>
        <w:rPr>
          <w:rStyle w:val="FootnoteReference"/>
        </w:rPr>
        <w:footnoteReference w:id="93"/>
      </w:r>
      <w:r>
        <w:t xml:space="preserve">  </w:t>
      </w:r>
      <w:r w:rsidRPr="00D3027B">
        <w:rPr>
          <w:b/>
          <w:bCs/>
        </w:rPr>
        <w:t xml:space="preserve">Table </w:t>
      </w:r>
      <w:r w:rsidR="00DE049F">
        <w:rPr>
          <w:b/>
          <w:bCs/>
        </w:rPr>
        <w:t>1</w:t>
      </w:r>
      <w:r w:rsidR="006C0071">
        <w:rPr>
          <w:b/>
          <w:bCs/>
        </w:rPr>
        <w:t>2</w:t>
      </w:r>
      <w:r w:rsidRPr="00D3027B">
        <w:t xml:space="preserve"> shows how quickly mobile devices received the nationwide WEA test from the minute that FEMA transmitted it from its alert gateway</w:t>
      </w:r>
      <w:r>
        <w:t xml:space="preserve">.  </w:t>
      </w:r>
    </w:p>
    <w:tbl>
      <w:tblPr>
        <w:tblStyle w:val="TableGrid"/>
        <w:tblW w:w="0" w:type="auto"/>
        <w:jc w:val="center"/>
        <w:tblLook w:val="04A0"/>
      </w:tblPr>
      <w:tblGrid>
        <w:gridCol w:w="843"/>
        <w:gridCol w:w="1463"/>
        <w:gridCol w:w="897"/>
        <w:gridCol w:w="857"/>
        <w:gridCol w:w="938"/>
        <w:gridCol w:w="857"/>
        <w:gridCol w:w="857"/>
        <w:gridCol w:w="867"/>
        <w:gridCol w:w="874"/>
        <w:gridCol w:w="897"/>
      </w:tblGrid>
      <w:tr w14:paraId="584A5511" w14:textId="77777777" w:rsidTr="00905400">
        <w:tblPrEx>
          <w:tblW w:w="0" w:type="auto"/>
          <w:jc w:val="center"/>
          <w:tblLook w:val="04A0"/>
        </w:tblPrEx>
        <w:trPr>
          <w:jc w:val="center"/>
        </w:trPr>
        <w:tc>
          <w:tcPr>
            <w:tcW w:w="9350" w:type="dxa"/>
            <w:gridSpan w:val="10"/>
            <w:shd w:val="clear" w:color="auto" w:fill="E7E6E6" w:themeFill="background2"/>
          </w:tcPr>
          <w:p w:rsidR="00DE049F" w:rsidRPr="00DE049F" w:rsidP="00066793" w14:paraId="020628BD" w14:textId="6589D6C6">
            <w:pPr>
              <w:pStyle w:val="ParaNum"/>
              <w:widowControl/>
              <w:numPr>
                <w:ilvl w:val="0"/>
                <w:numId w:val="0"/>
              </w:numPr>
              <w:jc w:val="center"/>
              <w:rPr>
                <w:b/>
                <w:bCs/>
              </w:rPr>
            </w:pPr>
            <w:r>
              <w:rPr>
                <w:b/>
                <w:bCs/>
              </w:rPr>
              <w:t>Table 1</w:t>
            </w:r>
            <w:r w:rsidR="006C0071">
              <w:rPr>
                <w:b/>
                <w:bCs/>
              </w:rPr>
              <w:t>2</w:t>
            </w:r>
          </w:p>
          <w:p w:rsidR="00556F9A" w:rsidP="00066793" w14:paraId="1C313091" w14:textId="5A15B1D4">
            <w:pPr>
              <w:pStyle w:val="ParaNum"/>
              <w:widowControl/>
              <w:numPr>
                <w:ilvl w:val="0"/>
                <w:numId w:val="0"/>
              </w:numPr>
              <w:jc w:val="center"/>
            </w:pPr>
            <w:r>
              <w:t>Completed Survey Response</w:t>
            </w:r>
            <w:r>
              <w:t xml:space="preserve"> Results</w:t>
            </w:r>
          </w:p>
          <w:p w:rsidR="00556F9A" w:rsidP="00066793" w14:paraId="2620EDAA" w14:textId="201890D8">
            <w:pPr>
              <w:pStyle w:val="ParaNum"/>
              <w:widowControl/>
              <w:numPr>
                <w:ilvl w:val="0"/>
                <w:numId w:val="0"/>
              </w:numPr>
              <w:jc w:val="center"/>
            </w:pPr>
            <w:r>
              <w:t>Latency by Generation of Wireless Network Technology</w:t>
            </w:r>
            <w:r w:rsidR="00F01B97">
              <w:t xml:space="preserve"> (Minutes)</w:t>
            </w:r>
          </w:p>
        </w:tc>
      </w:tr>
      <w:tr w14:paraId="322012D8" w14:textId="77777777" w:rsidTr="00D120A7">
        <w:tblPrEx>
          <w:tblW w:w="0" w:type="auto"/>
          <w:jc w:val="center"/>
          <w:tblLook w:val="04A0"/>
        </w:tblPrEx>
        <w:trPr>
          <w:jc w:val="center"/>
        </w:trPr>
        <w:tc>
          <w:tcPr>
            <w:tcW w:w="935" w:type="dxa"/>
            <w:shd w:val="clear" w:color="auto" w:fill="4472C4" w:themeFill="accent1"/>
          </w:tcPr>
          <w:p w:rsidR="00556F9A" w:rsidRPr="007B1F16" w:rsidP="00066793" w14:paraId="36AE63DD" w14:textId="24ABFA66">
            <w:pPr>
              <w:pStyle w:val="ParaNum"/>
              <w:widowControl/>
              <w:numPr>
                <w:ilvl w:val="0"/>
                <w:numId w:val="0"/>
              </w:numPr>
              <w:jc w:val="center"/>
              <w:rPr>
                <w:b/>
                <w:bCs/>
              </w:rPr>
            </w:pPr>
          </w:p>
        </w:tc>
        <w:tc>
          <w:tcPr>
            <w:tcW w:w="935" w:type="dxa"/>
            <w:shd w:val="clear" w:color="auto" w:fill="4472C4" w:themeFill="accent1"/>
            <w:vAlign w:val="center"/>
          </w:tcPr>
          <w:p w:rsidR="00556F9A" w:rsidRPr="007B1F16" w:rsidP="00066793" w14:paraId="5B39E455" w14:textId="38979D16">
            <w:pPr>
              <w:pStyle w:val="ParaNum"/>
              <w:widowControl/>
              <w:numPr>
                <w:ilvl w:val="0"/>
                <w:numId w:val="0"/>
              </w:numPr>
              <w:jc w:val="center"/>
              <w:rPr>
                <w:b/>
                <w:bCs/>
              </w:rPr>
            </w:pPr>
            <w:r w:rsidRPr="007B1F16">
              <w:rPr>
                <w:b/>
                <w:bCs/>
              </w:rPr>
              <w:t>Respondent Observations</w:t>
            </w:r>
          </w:p>
        </w:tc>
        <w:tc>
          <w:tcPr>
            <w:tcW w:w="935" w:type="dxa"/>
            <w:shd w:val="clear" w:color="auto" w:fill="4472C4" w:themeFill="accent1"/>
            <w:vAlign w:val="center"/>
          </w:tcPr>
          <w:p w:rsidR="00556F9A" w:rsidRPr="007B1F16" w:rsidP="00066793" w14:paraId="56F982EB" w14:textId="77777777">
            <w:pPr>
              <w:pStyle w:val="ParaNum"/>
              <w:widowControl/>
              <w:numPr>
                <w:ilvl w:val="0"/>
                <w:numId w:val="0"/>
              </w:numPr>
              <w:jc w:val="center"/>
              <w:rPr>
                <w:b/>
                <w:bCs/>
              </w:rPr>
            </w:pPr>
            <w:r w:rsidRPr="007B1F16">
              <w:rPr>
                <w:b/>
                <w:bCs/>
              </w:rPr>
              <w:t>Mean</w:t>
            </w:r>
          </w:p>
        </w:tc>
        <w:tc>
          <w:tcPr>
            <w:tcW w:w="935" w:type="dxa"/>
            <w:shd w:val="clear" w:color="auto" w:fill="4472C4" w:themeFill="accent1"/>
            <w:vAlign w:val="center"/>
          </w:tcPr>
          <w:p w:rsidR="00556F9A" w:rsidRPr="007B1F16" w:rsidP="00066793" w14:paraId="3D205CBE" w14:textId="77777777">
            <w:pPr>
              <w:pStyle w:val="ParaNum"/>
              <w:widowControl/>
              <w:numPr>
                <w:ilvl w:val="0"/>
                <w:numId w:val="0"/>
              </w:numPr>
              <w:jc w:val="center"/>
              <w:rPr>
                <w:b/>
                <w:bCs/>
              </w:rPr>
            </w:pPr>
            <w:r w:rsidRPr="007B1F16">
              <w:rPr>
                <w:b/>
                <w:bCs/>
              </w:rPr>
              <w:t>25</w:t>
            </w:r>
            <w:r w:rsidRPr="007B1F16">
              <w:rPr>
                <w:b/>
                <w:bCs/>
                <w:vertAlign w:val="superscript"/>
              </w:rPr>
              <w:t>th</w:t>
            </w:r>
            <w:r w:rsidRPr="007B1F16">
              <w:rPr>
                <w:b/>
                <w:bCs/>
              </w:rPr>
              <w:t xml:space="preserve"> %</w:t>
            </w:r>
          </w:p>
        </w:tc>
        <w:tc>
          <w:tcPr>
            <w:tcW w:w="935" w:type="dxa"/>
            <w:shd w:val="clear" w:color="auto" w:fill="4472C4" w:themeFill="accent1"/>
            <w:vAlign w:val="center"/>
          </w:tcPr>
          <w:p w:rsidR="00556F9A" w:rsidRPr="007B1F16" w:rsidP="00066793" w14:paraId="1D92CA07" w14:textId="77777777">
            <w:pPr>
              <w:pStyle w:val="ParaNum"/>
              <w:widowControl/>
              <w:numPr>
                <w:ilvl w:val="0"/>
                <w:numId w:val="0"/>
              </w:numPr>
              <w:jc w:val="center"/>
              <w:rPr>
                <w:b/>
                <w:bCs/>
              </w:rPr>
            </w:pPr>
            <w:r w:rsidRPr="007B1F16">
              <w:rPr>
                <w:b/>
                <w:bCs/>
              </w:rPr>
              <w:t>Median (50</w:t>
            </w:r>
            <w:r w:rsidRPr="007B1F16">
              <w:rPr>
                <w:b/>
                <w:bCs/>
                <w:vertAlign w:val="superscript"/>
              </w:rPr>
              <w:t>th</w:t>
            </w:r>
            <w:r w:rsidRPr="007B1F16">
              <w:rPr>
                <w:b/>
                <w:bCs/>
              </w:rPr>
              <w:t xml:space="preserve"> %)</w:t>
            </w:r>
          </w:p>
        </w:tc>
        <w:tc>
          <w:tcPr>
            <w:tcW w:w="935" w:type="dxa"/>
            <w:shd w:val="clear" w:color="auto" w:fill="4472C4" w:themeFill="accent1"/>
            <w:vAlign w:val="center"/>
          </w:tcPr>
          <w:p w:rsidR="00556F9A" w:rsidRPr="007B1F16" w:rsidP="00066793" w14:paraId="235D42B1" w14:textId="77777777">
            <w:pPr>
              <w:pStyle w:val="ParaNum"/>
              <w:widowControl/>
              <w:numPr>
                <w:ilvl w:val="0"/>
                <w:numId w:val="0"/>
              </w:numPr>
              <w:jc w:val="center"/>
              <w:rPr>
                <w:b/>
                <w:bCs/>
              </w:rPr>
            </w:pPr>
            <w:r w:rsidRPr="007B1F16">
              <w:rPr>
                <w:b/>
                <w:bCs/>
              </w:rPr>
              <w:t>90</w:t>
            </w:r>
            <w:r w:rsidRPr="007B1F16">
              <w:rPr>
                <w:b/>
                <w:bCs/>
                <w:vertAlign w:val="superscript"/>
              </w:rPr>
              <w:t>th</w:t>
            </w:r>
            <w:r w:rsidRPr="007B1F16">
              <w:rPr>
                <w:b/>
                <w:bCs/>
              </w:rPr>
              <w:t xml:space="preserve"> %</w:t>
            </w:r>
          </w:p>
        </w:tc>
        <w:tc>
          <w:tcPr>
            <w:tcW w:w="935" w:type="dxa"/>
            <w:shd w:val="clear" w:color="auto" w:fill="4472C4" w:themeFill="accent1"/>
            <w:vAlign w:val="center"/>
          </w:tcPr>
          <w:p w:rsidR="00556F9A" w:rsidRPr="007B1F16" w:rsidP="00066793" w14:paraId="4BD4331A" w14:textId="77777777">
            <w:pPr>
              <w:pStyle w:val="ParaNum"/>
              <w:widowControl/>
              <w:numPr>
                <w:ilvl w:val="0"/>
                <w:numId w:val="0"/>
              </w:numPr>
              <w:jc w:val="center"/>
              <w:rPr>
                <w:b/>
                <w:bCs/>
              </w:rPr>
            </w:pPr>
            <w:r w:rsidRPr="007B1F16">
              <w:rPr>
                <w:b/>
                <w:bCs/>
              </w:rPr>
              <w:t>99</w:t>
            </w:r>
            <w:r w:rsidRPr="007B1F16">
              <w:rPr>
                <w:b/>
                <w:bCs/>
                <w:vertAlign w:val="superscript"/>
              </w:rPr>
              <w:t>th</w:t>
            </w:r>
            <w:r w:rsidRPr="007B1F16">
              <w:rPr>
                <w:b/>
                <w:bCs/>
              </w:rPr>
              <w:t xml:space="preserve"> %</w:t>
            </w:r>
          </w:p>
        </w:tc>
        <w:tc>
          <w:tcPr>
            <w:tcW w:w="935" w:type="dxa"/>
            <w:shd w:val="clear" w:color="auto" w:fill="4472C4" w:themeFill="accent1"/>
            <w:vAlign w:val="center"/>
          </w:tcPr>
          <w:p w:rsidR="00556F9A" w:rsidRPr="007B1F16" w:rsidP="00066793" w14:paraId="26B94C21" w14:textId="77777777">
            <w:pPr>
              <w:pStyle w:val="ParaNum"/>
              <w:widowControl/>
              <w:numPr>
                <w:ilvl w:val="0"/>
                <w:numId w:val="0"/>
              </w:numPr>
              <w:jc w:val="center"/>
              <w:rPr>
                <w:b/>
                <w:bCs/>
              </w:rPr>
            </w:pPr>
            <w:r w:rsidRPr="007B1F16">
              <w:rPr>
                <w:b/>
                <w:bCs/>
              </w:rPr>
              <w:t>Min</w:t>
            </w:r>
          </w:p>
        </w:tc>
        <w:tc>
          <w:tcPr>
            <w:tcW w:w="935" w:type="dxa"/>
            <w:shd w:val="clear" w:color="auto" w:fill="4472C4" w:themeFill="accent1"/>
            <w:vAlign w:val="center"/>
          </w:tcPr>
          <w:p w:rsidR="00556F9A" w:rsidRPr="007B1F16" w:rsidP="00066793" w14:paraId="2DAA661B" w14:textId="77777777">
            <w:pPr>
              <w:pStyle w:val="ParaNum"/>
              <w:widowControl/>
              <w:numPr>
                <w:ilvl w:val="0"/>
                <w:numId w:val="0"/>
              </w:numPr>
              <w:jc w:val="center"/>
              <w:rPr>
                <w:b/>
                <w:bCs/>
              </w:rPr>
            </w:pPr>
            <w:r w:rsidRPr="007B1F16">
              <w:rPr>
                <w:b/>
                <w:bCs/>
              </w:rPr>
              <w:t>Max</w:t>
            </w:r>
          </w:p>
        </w:tc>
        <w:tc>
          <w:tcPr>
            <w:tcW w:w="935" w:type="dxa"/>
            <w:shd w:val="clear" w:color="auto" w:fill="4472C4" w:themeFill="accent1"/>
            <w:vAlign w:val="center"/>
          </w:tcPr>
          <w:p w:rsidR="00556F9A" w:rsidRPr="007B1F16" w:rsidP="00066793" w14:paraId="7D1BE4A9" w14:textId="77777777">
            <w:pPr>
              <w:pStyle w:val="ParaNum"/>
              <w:widowControl/>
              <w:numPr>
                <w:ilvl w:val="0"/>
                <w:numId w:val="0"/>
              </w:numPr>
              <w:jc w:val="center"/>
              <w:rPr>
                <w:b/>
                <w:bCs/>
              </w:rPr>
            </w:pPr>
            <w:r w:rsidRPr="007B1F16">
              <w:rPr>
                <w:b/>
                <w:bCs/>
              </w:rPr>
              <w:t>Mode</w:t>
            </w:r>
          </w:p>
        </w:tc>
      </w:tr>
      <w:tr w14:paraId="264E7964" w14:textId="77777777" w:rsidTr="00905400">
        <w:tblPrEx>
          <w:tblW w:w="0" w:type="auto"/>
          <w:jc w:val="center"/>
          <w:tblLook w:val="04A0"/>
        </w:tblPrEx>
        <w:trPr>
          <w:jc w:val="center"/>
        </w:trPr>
        <w:tc>
          <w:tcPr>
            <w:tcW w:w="935" w:type="dxa"/>
          </w:tcPr>
          <w:p w:rsidR="00556F9A" w:rsidRPr="007B1F16" w:rsidP="00066793" w14:paraId="137FAE3B" w14:textId="7655C942">
            <w:pPr>
              <w:pStyle w:val="ParaNum"/>
              <w:widowControl/>
              <w:numPr>
                <w:ilvl w:val="0"/>
                <w:numId w:val="0"/>
              </w:numPr>
              <w:jc w:val="center"/>
              <w:rPr>
                <w:b/>
                <w:bCs/>
              </w:rPr>
            </w:pPr>
            <w:r w:rsidRPr="007B1F16">
              <w:rPr>
                <w:b/>
                <w:bCs/>
              </w:rPr>
              <w:t>4G</w:t>
            </w:r>
          </w:p>
        </w:tc>
        <w:tc>
          <w:tcPr>
            <w:tcW w:w="935" w:type="dxa"/>
          </w:tcPr>
          <w:p w:rsidR="00556F9A" w:rsidRPr="003C6EE0" w:rsidP="00066793" w14:paraId="244BC508" w14:textId="7B5889B7">
            <w:pPr>
              <w:pStyle w:val="ParaNum"/>
              <w:widowControl/>
              <w:numPr>
                <w:ilvl w:val="0"/>
                <w:numId w:val="0"/>
              </w:numPr>
              <w:jc w:val="center"/>
            </w:pPr>
            <w:r w:rsidRPr="003C6EE0">
              <w:t>158</w:t>
            </w:r>
          </w:p>
        </w:tc>
        <w:tc>
          <w:tcPr>
            <w:tcW w:w="935" w:type="dxa"/>
          </w:tcPr>
          <w:p w:rsidR="00556F9A" w:rsidRPr="003C6EE0" w:rsidP="00066793" w14:paraId="09D29535" w14:textId="358E567F">
            <w:pPr>
              <w:pStyle w:val="ParaNum"/>
              <w:widowControl/>
              <w:numPr>
                <w:ilvl w:val="0"/>
                <w:numId w:val="0"/>
              </w:numPr>
              <w:jc w:val="center"/>
            </w:pPr>
            <w:r w:rsidRPr="003C6EE0">
              <w:t>5.39</w:t>
            </w:r>
          </w:p>
        </w:tc>
        <w:tc>
          <w:tcPr>
            <w:tcW w:w="935" w:type="dxa"/>
          </w:tcPr>
          <w:p w:rsidR="00556F9A" w:rsidRPr="003C6EE0" w:rsidP="00066793" w14:paraId="6EB2C8CD" w14:textId="0885BBCF">
            <w:pPr>
              <w:pStyle w:val="ParaNum"/>
              <w:widowControl/>
              <w:numPr>
                <w:ilvl w:val="0"/>
                <w:numId w:val="0"/>
              </w:numPr>
              <w:jc w:val="center"/>
            </w:pPr>
            <w:r w:rsidRPr="003C6EE0">
              <w:t>0</w:t>
            </w:r>
          </w:p>
        </w:tc>
        <w:tc>
          <w:tcPr>
            <w:tcW w:w="935" w:type="dxa"/>
          </w:tcPr>
          <w:p w:rsidR="00556F9A" w:rsidRPr="003C6EE0" w:rsidP="00066793" w14:paraId="5BCE434D" w14:textId="77777777">
            <w:pPr>
              <w:pStyle w:val="ParaNum"/>
              <w:widowControl/>
              <w:numPr>
                <w:ilvl w:val="0"/>
                <w:numId w:val="0"/>
              </w:numPr>
              <w:jc w:val="center"/>
            </w:pPr>
            <w:r w:rsidRPr="003C6EE0">
              <w:t>1</w:t>
            </w:r>
          </w:p>
        </w:tc>
        <w:tc>
          <w:tcPr>
            <w:tcW w:w="935" w:type="dxa"/>
          </w:tcPr>
          <w:p w:rsidR="00556F9A" w:rsidRPr="003C6EE0" w:rsidP="00066793" w14:paraId="12F8D14B" w14:textId="3FB29684">
            <w:pPr>
              <w:pStyle w:val="ParaNum"/>
              <w:widowControl/>
              <w:numPr>
                <w:ilvl w:val="0"/>
                <w:numId w:val="0"/>
              </w:numPr>
              <w:jc w:val="center"/>
            </w:pPr>
            <w:r w:rsidRPr="003C6EE0">
              <w:t>3</w:t>
            </w:r>
          </w:p>
        </w:tc>
        <w:tc>
          <w:tcPr>
            <w:tcW w:w="935" w:type="dxa"/>
          </w:tcPr>
          <w:p w:rsidR="00556F9A" w:rsidRPr="003C6EE0" w:rsidP="00066793" w14:paraId="6E81E86F" w14:textId="72D9E734">
            <w:pPr>
              <w:pStyle w:val="ParaNum"/>
              <w:widowControl/>
              <w:numPr>
                <w:ilvl w:val="0"/>
                <w:numId w:val="0"/>
              </w:numPr>
              <w:jc w:val="center"/>
            </w:pPr>
            <w:r w:rsidRPr="003C6EE0">
              <w:t>208</w:t>
            </w:r>
          </w:p>
        </w:tc>
        <w:tc>
          <w:tcPr>
            <w:tcW w:w="935" w:type="dxa"/>
          </w:tcPr>
          <w:p w:rsidR="00556F9A" w:rsidRPr="003C6EE0" w:rsidP="00066793" w14:paraId="08BEE164" w14:textId="77777777">
            <w:pPr>
              <w:pStyle w:val="ParaNum"/>
              <w:widowControl/>
              <w:numPr>
                <w:ilvl w:val="0"/>
                <w:numId w:val="0"/>
              </w:numPr>
              <w:jc w:val="center"/>
            </w:pPr>
            <w:r w:rsidRPr="003C6EE0">
              <w:t>0</w:t>
            </w:r>
          </w:p>
        </w:tc>
        <w:tc>
          <w:tcPr>
            <w:tcW w:w="935" w:type="dxa"/>
          </w:tcPr>
          <w:p w:rsidR="00556F9A" w:rsidRPr="003C6EE0" w:rsidP="00066793" w14:paraId="1DD95E92" w14:textId="1C964D5E">
            <w:pPr>
              <w:pStyle w:val="ParaNum"/>
              <w:widowControl/>
              <w:numPr>
                <w:ilvl w:val="0"/>
                <w:numId w:val="0"/>
              </w:numPr>
              <w:jc w:val="center"/>
            </w:pPr>
            <w:r w:rsidRPr="003C6EE0">
              <w:t>231</w:t>
            </w:r>
          </w:p>
        </w:tc>
        <w:tc>
          <w:tcPr>
            <w:tcW w:w="935" w:type="dxa"/>
          </w:tcPr>
          <w:p w:rsidR="00556F9A" w:rsidRPr="003C6EE0" w:rsidP="00066793" w14:paraId="370DC515" w14:textId="6BD1CA4E">
            <w:pPr>
              <w:pStyle w:val="ParaNum"/>
              <w:widowControl/>
              <w:numPr>
                <w:ilvl w:val="0"/>
                <w:numId w:val="0"/>
              </w:numPr>
              <w:jc w:val="center"/>
            </w:pPr>
            <w:r w:rsidRPr="003C6EE0">
              <w:t>1</w:t>
            </w:r>
          </w:p>
        </w:tc>
      </w:tr>
      <w:tr w14:paraId="7D6446F9" w14:textId="77777777" w:rsidTr="00905400">
        <w:tblPrEx>
          <w:tblW w:w="0" w:type="auto"/>
          <w:jc w:val="center"/>
          <w:tblLook w:val="04A0"/>
        </w:tblPrEx>
        <w:trPr>
          <w:jc w:val="center"/>
        </w:trPr>
        <w:tc>
          <w:tcPr>
            <w:tcW w:w="935" w:type="dxa"/>
          </w:tcPr>
          <w:p w:rsidR="00556F9A" w:rsidRPr="007B1F16" w:rsidP="00066793" w14:paraId="2B93C519" w14:textId="0DA3DB39">
            <w:pPr>
              <w:pStyle w:val="ParaNum"/>
              <w:widowControl/>
              <w:numPr>
                <w:ilvl w:val="0"/>
                <w:numId w:val="0"/>
              </w:numPr>
              <w:jc w:val="center"/>
              <w:rPr>
                <w:b/>
                <w:bCs/>
              </w:rPr>
            </w:pPr>
            <w:r w:rsidRPr="007B1F16">
              <w:rPr>
                <w:b/>
                <w:bCs/>
              </w:rPr>
              <w:t>5G</w:t>
            </w:r>
          </w:p>
        </w:tc>
        <w:tc>
          <w:tcPr>
            <w:tcW w:w="935" w:type="dxa"/>
          </w:tcPr>
          <w:p w:rsidR="00556F9A" w:rsidRPr="003C6EE0" w:rsidP="00066793" w14:paraId="5EFD2CC4" w14:textId="79638B66">
            <w:pPr>
              <w:pStyle w:val="ParaNum"/>
              <w:widowControl/>
              <w:numPr>
                <w:ilvl w:val="0"/>
                <w:numId w:val="0"/>
              </w:numPr>
              <w:jc w:val="center"/>
            </w:pPr>
            <w:r w:rsidRPr="003C6EE0">
              <w:t>86</w:t>
            </w:r>
          </w:p>
        </w:tc>
        <w:tc>
          <w:tcPr>
            <w:tcW w:w="935" w:type="dxa"/>
          </w:tcPr>
          <w:p w:rsidR="00556F9A" w:rsidRPr="003C6EE0" w:rsidP="00066793" w14:paraId="31AB4F7E" w14:textId="4378FF1F">
            <w:pPr>
              <w:pStyle w:val="ParaNum"/>
              <w:widowControl/>
              <w:numPr>
                <w:ilvl w:val="0"/>
                <w:numId w:val="0"/>
              </w:numPr>
              <w:jc w:val="center"/>
            </w:pPr>
            <w:r w:rsidRPr="003C6EE0">
              <w:t>4.12</w:t>
            </w:r>
          </w:p>
        </w:tc>
        <w:tc>
          <w:tcPr>
            <w:tcW w:w="935" w:type="dxa"/>
          </w:tcPr>
          <w:p w:rsidR="00556F9A" w:rsidRPr="003C6EE0" w:rsidP="00066793" w14:paraId="14156B05" w14:textId="77777777">
            <w:pPr>
              <w:pStyle w:val="ParaNum"/>
              <w:widowControl/>
              <w:numPr>
                <w:ilvl w:val="0"/>
                <w:numId w:val="0"/>
              </w:numPr>
              <w:jc w:val="center"/>
            </w:pPr>
            <w:r w:rsidRPr="003C6EE0">
              <w:t>0</w:t>
            </w:r>
          </w:p>
        </w:tc>
        <w:tc>
          <w:tcPr>
            <w:tcW w:w="935" w:type="dxa"/>
          </w:tcPr>
          <w:p w:rsidR="00556F9A" w:rsidRPr="003C6EE0" w:rsidP="00066793" w14:paraId="14B754EB" w14:textId="675375EF">
            <w:pPr>
              <w:pStyle w:val="ParaNum"/>
              <w:widowControl/>
              <w:numPr>
                <w:ilvl w:val="0"/>
                <w:numId w:val="0"/>
              </w:numPr>
              <w:jc w:val="center"/>
            </w:pPr>
            <w:r w:rsidRPr="003C6EE0">
              <w:t>1</w:t>
            </w:r>
          </w:p>
        </w:tc>
        <w:tc>
          <w:tcPr>
            <w:tcW w:w="935" w:type="dxa"/>
          </w:tcPr>
          <w:p w:rsidR="00556F9A" w:rsidRPr="003C6EE0" w:rsidP="00066793" w14:paraId="58417464" w14:textId="10B12526">
            <w:pPr>
              <w:pStyle w:val="ParaNum"/>
              <w:widowControl/>
              <w:numPr>
                <w:ilvl w:val="0"/>
                <w:numId w:val="0"/>
              </w:numPr>
              <w:jc w:val="center"/>
            </w:pPr>
            <w:r w:rsidRPr="003C6EE0">
              <w:t>2</w:t>
            </w:r>
          </w:p>
        </w:tc>
        <w:tc>
          <w:tcPr>
            <w:tcW w:w="935" w:type="dxa"/>
          </w:tcPr>
          <w:p w:rsidR="00556F9A" w:rsidRPr="003C6EE0" w:rsidP="00066793" w14:paraId="621B02EF" w14:textId="35309696">
            <w:pPr>
              <w:pStyle w:val="ParaNum"/>
              <w:widowControl/>
              <w:numPr>
                <w:ilvl w:val="0"/>
                <w:numId w:val="0"/>
              </w:numPr>
              <w:jc w:val="center"/>
            </w:pPr>
            <w:r w:rsidRPr="003C6EE0">
              <w:t>241</w:t>
            </w:r>
          </w:p>
        </w:tc>
        <w:tc>
          <w:tcPr>
            <w:tcW w:w="935" w:type="dxa"/>
          </w:tcPr>
          <w:p w:rsidR="00556F9A" w:rsidRPr="003C6EE0" w:rsidP="00066793" w14:paraId="414C6629" w14:textId="77777777">
            <w:pPr>
              <w:pStyle w:val="ParaNum"/>
              <w:widowControl/>
              <w:numPr>
                <w:ilvl w:val="0"/>
                <w:numId w:val="0"/>
              </w:numPr>
              <w:jc w:val="center"/>
            </w:pPr>
            <w:r w:rsidRPr="003C6EE0">
              <w:t>0</w:t>
            </w:r>
          </w:p>
        </w:tc>
        <w:tc>
          <w:tcPr>
            <w:tcW w:w="935" w:type="dxa"/>
          </w:tcPr>
          <w:p w:rsidR="00556F9A" w:rsidRPr="003C6EE0" w:rsidP="00066793" w14:paraId="2AF81CD8" w14:textId="39C58107">
            <w:pPr>
              <w:pStyle w:val="ParaNum"/>
              <w:widowControl/>
              <w:numPr>
                <w:ilvl w:val="0"/>
                <w:numId w:val="0"/>
              </w:numPr>
              <w:jc w:val="center"/>
            </w:pPr>
            <w:r w:rsidRPr="003C6EE0">
              <w:t>241</w:t>
            </w:r>
          </w:p>
        </w:tc>
        <w:tc>
          <w:tcPr>
            <w:tcW w:w="935" w:type="dxa"/>
          </w:tcPr>
          <w:p w:rsidR="00556F9A" w:rsidRPr="003C6EE0" w:rsidP="00066793" w14:paraId="0B775E2B" w14:textId="77777777">
            <w:pPr>
              <w:pStyle w:val="ParaNum"/>
              <w:widowControl/>
              <w:numPr>
                <w:ilvl w:val="0"/>
                <w:numId w:val="0"/>
              </w:numPr>
              <w:jc w:val="center"/>
            </w:pPr>
            <w:r w:rsidRPr="003C6EE0">
              <w:t>0</w:t>
            </w:r>
          </w:p>
        </w:tc>
      </w:tr>
    </w:tbl>
    <w:p w:rsidR="00556F9A" w:rsidP="00066793" w14:paraId="3A183BD8" w14:textId="77777777">
      <w:pPr>
        <w:pStyle w:val="ParaNum"/>
        <w:widowControl/>
        <w:numPr>
          <w:ilvl w:val="0"/>
          <w:numId w:val="0"/>
        </w:numPr>
        <w:ind w:firstLine="720"/>
      </w:pPr>
    </w:p>
    <w:p w:rsidR="00E13BF3" w:rsidRPr="00DE7C0B" w:rsidP="00066793" w14:paraId="0EA93175" w14:textId="42B6B4EE">
      <w:pPr>
        <w:pStyle w:val="ParaNum"/>
        <w:widowControl/>
        <w:numPr>
          <w:ilvl w:val="0"/>
          <w:numId w:val="0"/>
        </w:numPr>
      </w:pPr>
      <w:r>
        <w:t>The</w:t>
      </w:r>
      <w:r w:rsidR="007B30CE">
        <w:t xml:space="preserve"> completed survey</w:t>
      </w:r>
      <w:r>
        <w:t xml:space="preserve"> data indicate that </w:t>
      </w:r>
      <w:r w:rsidR="00331AC6">
        <w:t xml:space="preserve">at least half of the </w:t>
      </w:r>
      <w:r>
        <w:t xml:space="preserve">respondents on 4G </w:t>
      </w:r>
      <w:r w:rsidR="00331AC6">
        <w:t xml:space="preserve">and 5G </w:t>
      </w:r>
      <w:r>
        <w:t xml:space="preserve">networks </w:t>
      </w:r>
      <w:r w:rsidR="00AB52F3">
        <w:t xml:space="preserve">that </w:t>
      </w:r>
      <w:r>
        <w:t>received the nationwide WEA test</w:t>
      </w:r>
      <w:r w:rsidR="00AB52F3">
        <w:t xml:space="preserve"> received it</w:t>
      </w:r>
      <w:r w:rsidR="00331AC6">
        <w:t xml:space="preserve"> within </w:t>
      </w:r>
      <w:r w:rsidR="00917F02">
        <w:t>two</w:t>
      </w:r>
      <w:r w:rsidR="00331AC6">
        <w:t xml:space="preserve"> minute</w:t>
      </w:r>
      <w:r w:rsidR="00917F02">
        <w:t>s</w:t>
      </w:r>
      <w:r w:rsidR="00AB52F3">
        <w:t xml:space="preserve"> of transmission</w:t>
      </w:r>
      <w:r>
        <w:t xml:space="preserve">.  </w:t>
      </w:r>
      <w:r w:rsidR="00331AC6">
        <w:t xml:space="preserve">At least 90% of mobile devices on 4G networks </w:t>
      </w:r>
      <w:r w:rsidR="00AB52F3">
        <w:t xml:space="preserve">that </w:t>
      </w:r>
      <w:r w:rsidR="00331AC6">
        <w:t xml:space="preserve">received the nationwide WEA test </w:t>
      </w:r>
      <w:r w:rsidR="00AB52F3">
        <w:t xml:space="preserve">received it </w:t>
      </w:r>
      <w:r w:rsidR="00331AC6">
        <w:t xml:space="preserve">within </w:t>
      </w:r>
      <w:r w:rsidR="00917F02">
        <w:t xml:space="preserve">four </w:t>
      </w:r>
      <w:r w:rsidR="00331AC6">
        <w:t xml:space="preserve">minutes and at least 90% of mobile devices on 5G networks </w:t>
      </w:r>
      <w:r w:rsidR="00AB52F3">
        <w:t xml:space="preserve">that </w:t>
      </w:r>
      <w:r w:rsidR="00331AC6">
        <w:t xml:space="preserve">received the nationwide WEA test </w:t>
      </w:r>
      <w:r w:rsidR="00AB52F3">
        <w:t xml:space="preserve">received it </w:t>
      </w:r>
      <w:r w:rsidR="00331AC6">
        <w:t xml:space="preserve">within </w:t>
      </w:r>
      <w:r w:rsidR="00917F02">
        <w:t xml:space="preserve">three </w:t>
      </w:r>
      <w:r w:rsidR="00331AC6">
        <w:t xml:space="preserve">minutes.  </w:t>
      </w:r>
    </w:p>
    <w:p w:rsidR="00AB27FA" w:rsidP="00066793" w14:paraId="2D41E27F" w14:textId="4E36879F">
      <w:pPr>
        <w:pStyle w:val="Heading3"/>
        <w:widowControl/>
      </w:pPr>
      <w:bookmarkStart w:id="168" w:name="_Toc83909798"/>
      <w:bookmarkStart w:id="169" w:name="_Toc83911823"/>
      <w:bookmarkStart w:id="170" w:name="_Toc84335328"/>
      <w:bookmarkStart w:id="171" w:name="_Toc84597883"/>
      <w:bookmarkStart w:id="172" w:name="_Toc84926103"/>
      <w:bookmarkStart w:id="173" w:name="_Toc84933038"/>
      <w:bookmarkStart w:id="174" w:name="_Toc85552933"/>
      <w:r>
        <w:t>Accessibility</w:t>
      </w:r>
      <w:bookmarkEnd w:id="168"/>
      <w:bookmarkEnd w:id="169"/>
      <w:bookmarkEnd w:id="170"/>
      <w:bookmarkEnd w:id="171"/>
      <w:bookmarkEnd w:id="172"/>
      <w:bookmarkEnd w:id="173"/>
      <w:bookmarkEnd w:id="174"/>
    </w:p>
    <w:p w:rsidR="00C82EE9" w:rsidRPr="00C82EE9" w:rsidP="00066793" w14:paraId="54E3E24C" w14:textId="17EF6E8F">
      <w:pPr>
        <w:pStyle w:val="ParaNum"/>
        <w:widowControl/>
      </w:pPr>
      <w:r>
        <w:t xml:space="preserve">No respondent reported any issue with the accessible presentation of the nationwide WEA test, including the audio attention signal, the vibration cadence, and the visual presentation of the test message.  </w:t>
      </w:r>
      <w:r w:rsidR="0061493B">
        <w:t xml:space="preserve">Prior to the nationwide WEA test, </w:t>
      </w:r>
      <w:r w:rsidR="00B600A7">
        <w:t xml:space="preserve">PSHSB reminded </w:t>
      </w:r>
      <w:r w:rsidR="002D0C8B">
        <w:t>CMS Provider</w:t>
      </w:r>
      <w:r w:rsidR="00986F10">
        <w:t>s to take the necessary steps to ensure the accessibility of WEA messages to individuals with disabilities.</w:t>
      </w:r>
      <w:r>
        <w:rPr>
          <w:rStyle w:val="FootnoteReference"/>
        </w:rPr>
        <w:footnoteReference w:id="94"/>
      </w:r>
      <w:r w:rsidR="00986F10">
        <w:t xml:space="preserve">  </w:t>
      </w:r>
      <w:r w:rsidR="00E14AEA">
        <w:t>PSHSB’s nationwide WEA test</w:t>
      </w:r>
      <w:r w:rsidRPr="00CB4EFB" w:rsidR="00E14AEA">
        <w:t xml:space="preserve"> survey </w:t>
      </w:r>
      <w:r w:rsidR="00E14AEA">
        <w:t>ask</w:t>
      </w:r>
      <w:r w:rsidR="00190874">
        <w:t>ed</w:t>
      </w:r>
      <w:r w:rsidR="00E14AEA">
        <w:t xml:space="preserve"> r</w:t>
      </w:r>
      <w:r w:rsidRPr="00CB4EFB" w:rsidR="00E14AEA">
        <w:t xml:space="preserve">espondents </w:t>
      </w:r>
      <w:r w:rsidR="00190874">
        <w:t xml:space="preserve">whether the </w:t>
      </w:r>
      <w:r w:rsidR="00D445BF">
        <w:t xml:space="preserve">text of the message that they received matched the text of the test that FEMA initiated.  The survey did not ask respondents to </w:t>
      </w:r>
      <w:r w:rsidRPr="00CB4EFB" w:rsidR="00E14AEA">
        <w:t xml:space="preserve">identify </w:t>
      </w:r>
      <w:r w:rsidR="00E14AEA">
        <w:t xml:space="preserve">any </w:t>
      </w:r>
      <w:r w:rsidR="00D445BF">
        <w:t xml:space="preserve">other </w:t>
      </w:r>
      <w:r w:rsidR="00E14AEA">
        <w:t>issues with the presentation of the nationwide WEA test</w:t>
      </w:r>
      <w:r w:rsidR="001D4BCF">
        <w:t>.  The survey did, however, include a field for “other comments” that permitted respondents to identify whether they experienced any issues with the test</w:t>
      </w:r>
      <w:r w:rsidR="00861DD3">
        <w:t xml:space="preserve">, including presentation issues.   </w:t>
      </w:r>
    </w:p>
    <w:p w:rsidR="00AB27FA" w:rsidP="00066793" w14:paraId="226ABE79" w14:textId="6FF13E45">
      <w:pPr>
        <w:pStyle w:val="Heading2"/>
        <w:widowControl/>
      </w:pPr>
      <w:bookmarkStart w:id="175" w:name="_Toc83909799"/>
      <w:bookmarkStart w:id="176" w:name="_Toc83911824"/>
      <w:bookmarkStart w:id="177" w:name="_Toc84335329"/>
      <w:bookmarkStart w:id="178" w:name="_Toc84597884"/>
      <w:bookmarkStart w:id="179" w:name="_Toc84926104"/>
      <w:bookmarkStart w:id="180" w:name="_Toc84933039"/>
      <w:bookmarkStart w:id="181" w:name="_Toc85552934"/>
      <w:r>
        <w:t>Analysis of Reported Challenge</w:t>
      </w:r>
      <w:r w:rsidR="00FD513A">
        <w:t xml:space="preserve"> with Duplicate Messages</w:t>
      </w:r>
      <w:bookmarkEnd w:id="175"/>
      <w:bookmarkEnd w:id="176"/>
      <w:bookmarkEnd w:id="177"/>
      <w:bookmarkEnd w:id="178"/>
      <w:bookmarkEnd w:id="179"/>
      <w:bookmarkEnd w:id="180"/>
      <w:bookmarkEnd w:id="181"/>
    </w:p>
    <w:p w:rsidR="00F16093" w:rsidP="00066793" w14:paraId="3BF691D7" w14:textId="3BF22B60">
      <w:pPr>
        <w:pStyle w:val="ParaNum"/>
        <w:widowControl/>
      </w:pPr>
      <w:r>
        <w:t>W</w:t>
      </w:r>
      <w:r w:rsidR="00E756CD">
        <w:t xml:space="preserve">ireless providers </w:t>
      </w:r>
      <w:r>
        <w:t>participating in</w:t>
      </w:r>
      <w:r w:rsidR="00E756CD">
        <w:t xml:space="preserve"> the nationwide WEA test</w:t>
      </w:r>
      <w:r>
        <w:t xml:space="preserve"> erroneously delivered a second, duplicative test message to many mobile devices. </w:t>
      </w:r>
      <w:r w:rsidR="00E756CD">
        <w:t xml:space="preserve"> </w:t>
      </w:r>
      <w:r w:rsidRPr="00F16093">
        <w:t>The nationwide WEA test survey asked respondents whether they received the State/Local WEA Test</w:t>
      </w:r>
      <w:r>
        <w:t xml:space="preserve"> </w:t>
      </w:r>
      <w:r w:rsidR="00BB4E88">
        <w:t xml:space="preserve">Alert </w:t>
      </w:r>
      <w:r w:rsidR="00886910">
        <w:t>more than once</w:t>
      </w:r>
      <w:r w:rsidRPr="00F16093">
        <w:t>.</w:t>
      </w:r>
      <w:r w:rsidR="00131ED2">
        <w:t xml:space="preserve"> </w:t>
      </w:r>
      <w:r w:rsidRPr="00F16093">
        <w:t xml:space="preserve"> </w:t>
      </w:r>
      <w:r w:rsidRPr="00F16093">
        <w:rPr>
          <w:b/>
          <w:bCs/>
        </w:rPr>
        <w:t xml:space="preserve">Table </w:t>
      </w:r>
      <w:r w:rsidR="00DE049F">
        <w:rPr>
          <w:b/>
          <w:bCs/>
        </w:rPr>
        <w:t>1</w:t>
      </w:r>
      <w:r w:rsidR="006C0071">
        <w:rPr>
          <w:b/>
          <w:bCs/>
        </w:rPr>
        <w:t>3</w:t>
      </w:r>
      <w:r w:rsidRPr="00F16093">
        <w:t xml:space="preserve"> shows</w:t>
      </w:r>
      <w:r w:rsidR="00744017">
        <w:t xml:space="preserve">, by </w:t>
      </w:r>
      <w:r w:rsidR="00B37406">
        <w:t>CMS Provider</w:t>
      </w:r>
      <w:r w:rsidR="00744017">
        <w:t>,</w:t>
      </w:r>
      <w:r w:rsidRPr="00F16093">
        <w:t xml:space="preserve"> </w:t>
      </w:r>
      <w:r>
        <w:t xml:space="preserve">the rate at which </w:t>
      </w:r>
      <w:r w:rsidRPr="00F16093">
        <w:t>respondents</w:t>
      </w:r>
      <w:r w:rsidR="00744017">
        <w:t xml:space="preserve"> that report receiving the nationwide WEA test also report receiving a duplicate</w:t>
      </w:r>
      <w:r w:rsidRPr="00F16093">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8"/>
        <w:gridCol w:w="2499"/>
        <w:gridCol w:w="2906"/>
        <w:gridCol w:w="2786"/>
        <w:gridCol w:w="11"/>
      </w:tblGrid>
      <w:tr w14:paraId="4201B3C9" w14:textId="77777777" w:rsidTr="004E385C">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350" w:type="dxa"/>
            <w:gridSpan w:val="5"/>
            <w:shd w:val="clear" w:color="auto" w:fill="E7E6E6" w:themeFill="background2"/>
          </w:tcPr>
          <w:p w:rsidR="00DE049F" w:rsidP="00066793" w14:paraId="44DAA9A1" w14:textId="52311299">
            <w:pPr>
              <w:pStyle w:val="ParaNum"/>
              <w:widowControl/>
              <w:numPr>
                <w:ilvl w:val="0"/>
                <w:numId w:val="0"/>
              </w:numPr>
              <w:jc w:val="center"/>
              <w:rPr>
                <w:b/>
                <w:bCs/>
              </w:rPr>
            </w:pPr>
            <w:r>
              <w:rPr>
                <w:b/>
                <w:bCs/>
              </w:rPr>
              <w:t>Table 1</w:t>
            </w:r>
            <w:r w:rsidR="006C0071">
              <w:rPr>
                <w:b/>
                <w:bCs/>
              </w:rPr>
              <w:t>3</w:t>
            </w:r>
          </w:p>
          <w:p w:rsidR="00954C21" w:rsidP="00066793" w14:paraId="2418B567" w14:textId="33364AA7">
            <w:pPr>
              <w:pStyle w:val="ParaNum"/>
              <w:widowControl/>
              <w:numPr>
                <w:ilvl w:val="0"/>
                <w:numId w:val="0"/>
              </w:numPr>
              <w:jc w:val="center"/>
            </w:pPr>
            <w:r>
              <w:t>Duplicate Test Reception Rates</w:t>
            </w:r>
          </w:p>
          <w:p w:rsidR="00954C21" w:rsidP="00066793" w14:paraId="62F3E76A" w14:textId="57711F84">
            <w:pPr>
              <w:pStyle w:val="ParaNum"/>
              <w:widowControl/>
              <w:numPr>
                <w:ilvl w:val="0"/>
                <w:numId w:val="0"/>
              </w:numPr>
              <w:jc w:val="center"/>
            </w:pPr>
            <w:r>
              <w:t>Overall and b</w:t>
            </w:r>
            <w:r w:rsidR="00C06D8D">
              <w:t xml:space="preserve">y </w:t>
            </w:r>
            <w:r w:rsidR="00941662">
              <w:t>Wireless Provider</w:t>
            </w:r>
          </w:p>
        </w:tc>
      </w:tr>
      <w:tr w14:paraId="28CA0A00" w14:textId="77777777" w:rsidTr="008242E0">
        <w:tblPrEx>
          <w:tblW w:w="0" w:type="auto"/>
          <w:jc w:val="center"/>
          <w:tblLook w:val="04A0"/>
        </w:tblPrEx>
        <w:trPr>
          <w:jc w:val="center"/>
        </w:trPr>
        <w:tc>
          <w:tcPr>
            <w:tcW w:w="9350" w:type="dxa"/>
            <w:gridSpan w:val="5"/>
            <w:shd w:val="clear" w:color="auto" w:fill="4472C4" w:themeFill="accent1"/>
          </w:tcPr>
          <w:p w:rsidR="004E385C" w:rsidRPr="00DE049F" w:rsidP="00066793" w14:paraId="7BBD5099" w14:textId="0F25C317">
            <w:pPr>
              <w:pStyle w:val="ParaNum"/>
              <w:widowControl/>
              <w:numPr>
                <w:ilvl w:val="0"/>
                <w:numId w:val="0"/>
              </w:numPr>
              <w:jc w:val="center"/>
              <w:rPr>
                <w:i/>
                <w:iCs/>
              </w:rPr>
            </w:pPr>
            <w:r>
              <w:rPr>
                <w:b/>
                <w:bCs/>
              </w:rPr>
              <w:t>Completed Survey Response</w:t>
            </w:r>
            <w:r w:rsidRPr="00DE049F">
              <w:rPr>
                <w:b/>
                <w:bCs/>
              </w:rPr>
              <w:t xml:space="preserve"> Results</w:t>
            </w:r>
          </w:p>
        </w:tc>
      </w:tr>
      <w:tr w14:paraId="3848CA4D" w14:textId="77777777" w:rsidTr="008242E0">
        <w:tblPrEx>
          <w:tblW w:w="0" w:type="auto"/>
          <w:jc w:val="center"/>
          <w:tblLook w:val="04A0"/>
        </w:tblPrEx>
        <w:trPr>
          <w:gridAfter w:val="1"/>
          <w:wAfter w:w="11" w:type="dxa"/>
          <w:jc w:val="center"/>
        </w:trPr>
        <w:tc>
          <w:tcPr>
            <w:tcW w:w="1148" w:type="dxa"/>
            <w:shd w:val="clear" w:color="auto" w:fill="E7E6E6" w:themeFill="background2"/>
          </w:tcPr>
          <w:p w:rsidR="004E385C" w:rsidP="00066793" w14:paraId="69EE64C2" w14:textId="77777777">
            <w:pPr>
              <w:pStyle w:val="ParaNum"/>
              <w:widowControl/>
              <w:numPr>
                <w:ilvl w:val="0"/>
                <w:numId w:val="0"/>
              </w:numPr>
              <w:jc w:val="center"/>
            </w:pPr>
          </w:p>
        </w:tc>
        <w:tc>
          <w:tcPr>
            <w:tcW w:w="2499" w:type="dxa"/>
            <w:shd w:val="clear" w:color="auto" w:fill="E7E6E6" w:themeFill="background2"/>
          </w:tcPr>
          <w:p w:rsidR="004E385C" w:rsidRPr="00DE049F" w:rsidP="00066793" w14:paraId="7F331D5B" w14:textId="123AD234">
            <w:pPr>
              <w:pStyle w:val="ParaNum"/>
              <w:widowControl/>
              <w:numPr>
                <w:ilvl w:val="0"/>
                <w:numId w:val="0"/>
              </w:numPr>
              <w:jc w:val="center"/>
              <w:rPr>
                <w:b/>
                <w:bCs/>
              </w:rPr>
            </w:pPr>
            <w:r w:rsidRPr="00DE049F">
              <w:rPr>
                <w:b/>
                <w:bCs/>
              </w:rPr>
              <w:t>Duplicate Test Received</w:t>
            </w:r>
          </w:p>
        </w:tc>
        <w:tc>
          <w:tcPr>
            <w:tcW w:w="2906" w:type="dxa"/>
            <w:shd w:val="clear" w:color="auto" w:fill="E7E6E6" w:themeFill="background2"/>
          </w:tcPr>
          <w:p w:rsidR="004E385C" w:rsidRPr="00DE049F" w:rsidP="00066793" w14:paraId="24BAAC86" w14:textId="0528D79B">
            <w:pPr>
              <w:pStyle w:val="ParaNum"/>
              <w:widowControl/>
              <w:numPr>
                <w:ilvl w:val="0"/>
                <w:numId w:val="0"/>
              </w:numPr>
              <w:jc w:val="center"/>
              <w:rPr>
                <w:i/>
                <w:iCs/>
              </w:rPr>
            </w:pPr>
            <w:r w:rsidRPr="00DE049F">
              <w:rPr>
                <w:b/>
                <w:bCs/>
              </w:rPr>
              <w:t>Duplicate Test not Received</w:t>
            </w:r>
          </w:p>
        </w:tc>
        <w:tc>
          <w:tcPr>
            <w:tcW w:w="2786" w:type="dxa"/>
            <w:shd w:val="clear" w:color="auto" w:fill="E7E6E6" w:themeFill="background2"/>
          </w:tcPr>
          <w:p w:rsidR="004E385C" w:rsidRPr="00DE049F" w:rsidP="00066793" w14:paraId="500A5AC3" w14:textId="3FEF9D05">
            <w:pPr>
              <w:pStyle w:val="ParaNum"/>
              <w:widowControl/>
              <w:numPr>
                <w:ilvl w:val="0"/>
                <w:numId w:val="0"/>
              </w:numPr>
              <w:jc w:val="center"/>
              <w:rPr>
                <w:i/>
                <w:iCs/>
              </w:rPr>
            </w:pPr>
            <w:r w:rsidRPr="00DE049F">
              <w:rPr>
                <w:b/>
                <w:bCs/>
              </w:rPr>
              <w:t>Total Response Count</w:t>
            </w:r>
          </w:p>
        </w:tc>
      </w:tr>
      <w:tr w14:paraId="4F7698B1" w14:textId="77777777" w:rsidTr="008242E0">
        <w:tblPrEx>
          <w:tblW w:w="0" w:type="auto"/>
          <w:jc w:val="center"/>
          <w:tblLook w:val="04A0"/>
        </w:tblPrEx>
        <w:trPr>
          <w:gridAfter w:val="1"/>
          <w:wAfter w:w="11" w:type="dxa"/>
          <w:jc w:val="center"/>
        </w:trPr>
        <w:tc>
          <w:tcPr>
            <w:tcW w:w="1148" w:type="dxa"/>
            <w:shd w:val="clear" w:color="auto" w:fill="auto"/>
          </w:tcPr>
          <w:p w:rsidR="004E385C" w:rsidRPr="007B1F16" w:rsidP="00066793" w14:paraId="5B85AF2F" w14:textId="181F09D1">
            <w:pPr>
              <w:pStyle w:val="ParaNum"/>
              <w:widowControl/>
              <w:numPr>
                <w:ilvl w:val="0"/>
                <w:numId w:val="0"/>
              </w:numPr>
              <w:jc w:val="center"/>
              <w:rPr>
                <w:b/>
                <w:bCs/>
              </w:rPr>
            </w:pPr>
            <w:r w:rsidRPr="007B1F16">
              <w:rPr>
                <w:b/>
                <w:bCs/>
              </w:rPr>
              <w:t>AT&amp;T</w:t>
            </w:r>
          </w:p>
        </w:tc>
        <w:tc>
          <w:tcPr>
            <w:tcW w:w="2499" w:type="dxa"/>
            <w:shd w:val="clear" w:color="auto" w:fill="auto"/>
          </w:tcPr>
          <w:p w:rsidR="004E385C" w:rsidRPr="003C6EE0" w:rsidP="00066793" w14:paraId="04068236" w14:textId="324AA805">
            <w:pPr>
              <w:pStyle w:val="ParaNum"/>
              <w:widowControl/>
              <w:numPr>
                <w:ilvl w:val="0"/>
                <w:numId w:val="0"/>
              </w:numPr>
              <w:jc w:val="center"/>
            </w:pPr>
            <w:r w:rsidRPr="003C6EE0">
              <w:t>88.0%</w:t>
            </w:r>
          </w:p>
        </w:tc>
        <w:tc>
          <w:tcPr>
            <w:tcW w:w="2906" w:type="dxa"/>
            <w:tcBorders>
              <w:right w:val="single" w:sz="4" w:space="0" w:color="auto"/>
            </w:tcBorders>
            <w:shd w:val="clear" w:color="auto" w:fill="auto"/>
          </w:tcPr>
          <w:p w:rsidR="004E385C" w:rsidRPr="003C6EE0" w:rsidP="00066793" w14:paraId="7B636C12" w14:textId="2D6E3888">
            <w:pPr>
              <w:pStyle w:val="ParaNum"/>
              <w:widowControl/>
              <w:numPr>
                <w:ilvl w:val="0"/>
                <w:numId w:val="0"/>
              </w:numPr>
              <w:jc w:val="center"/>
            </w:pPr>
            <w:r w:rsidRPr="003C6EE0">
              <w:t>12.0%</w:t>
            </w:r>
          </w:p>
        </w:tc>
        <w:tc>
          <w:tcPr>
            <w:tcW w:w="2786" w:type="dxa"/>
            <w:tcBorders>
              <w:top w:val="single" w:sz="4" w:space="0" w:color="auto"/>
              <w:left w:val="nil"/>
              <w:bottom w:val="single" w:sz="4" w:space="0" w:color="auto"/>
              <w:right w:val="single" w:sz="4" w:space="0" w:color="auto"/>
            </w:tcBorders>
            <w:shd w:val="clear" w:color="auto" w:fill="auto"/>
          </w:tcPr>
          <w:p w:rsidR="004E385C" w:rsidRPr="003C6EE0" w:rsidP="00066793" w14:paraId="1F31AAEA" w14:textId="4DD4D08B">
            <w:pPr>
              <w:pStyle w:val="ParaNum"/>
              <w:widowControl/>
              <w:numPr>
                <w:ilvl w:val="0"/>
                <w:numId w:val="0"/>
              </w:numPr>
              <w:jc w:val="center"/>
            </w:pPr>
            <w:r w:rsidRPr="003C6EE0">
              <w:t>83</w:t>
            </w:r>
          </w:p>
        </w:tc>
      </w:tr>
      <w:tr w14:paraId="4E581948" w14:textId="77777777" w:rsidTr="008242E0">
        <w:tblPrEx>
          <w:tblW w:w="0" w:type="auto"/>
          <w:jc w:val="center"/>
          <w:tblLook w:val="04A0"/>
        </w:tblPrEx>
        <w:trPr>
          <w:gridAfter w:val="1"/>
          <w:wAfter w:w="11" w:type="dxa"/>
          <w:trHeight w:val="70"/>
          <w:jc w:val="center"/>
        </w:trPr>
        <w:tc>
          <w:tcPr>
            <w:tcW w:w="1148" w:type="dxa"/>
            <w:shd w:val="clear" w:color="auto" w:fill="auto"/>
          </w:tcPr>
          <w:p w:rsidR="004E385C" w:rsidRPr="007B1F16" w:rsidP="00066793" w14:paraId="13CC954C" w14:textId="130D474B">
            <w:pPr>
              <w:pStyle w:val="ParaNum"/>
              <w:widowControl/>
              <w:numPr>
                <w:ilvl w:val="0"/>
                <w:numId w:val="0"/>
              </w:numPr>
              <w:jc w:val="center"/>
              <w:rPr>
                <w:b/>
                <w:bCs/>
              </w:rPr>
            </w:pPr>
            <w:r w:rsidRPr="007B1F16">
              <w:rPr>
                <w:b/>
                <w:bCs/>
              </w:rPr>
              <w:t>T-Mobile</w:t>
            </w:r>
          </w:p>
        </w:tc>
        <w:tc>
          <w:tcPr>
            <w:tcW w:w="2499" w:type="dxa"/>
            <w:shd w:val="clear" w:color="auto" w:fill="auto"/>
          </w:tcPr>
          <w:p w:rsidR="004E385C" w:rsidRPr="003C6EE0" w:rsidP="00066793" w14:paraId="4632DD4B" w14:textId="62F336D5">
            <w:pPr>
              <w:pStyle w:val="ParaNum"/>
              <w:widowControl/>
              <w:numPr>
                <w:ilvl w:val="0"/>
                <w:numId w:val="0"/>
              </w:numPr>
              <w:jc w:val="center"/>
            </w:pPr>
            <w:r w:rsidRPr="003C6EE0">
              <w:t>7.5%</w:t>
            </w:r>
          </w:p>
        </w:tc>
        <w:tc>
          <w:tcPr>
            <w:tcW w:w="2906" w:type="dxa"/>
            <w:tcBorders>
              <w:right w:val="single" w:sz="4" w:space="0" w:color="auto"/>
            </w:tcBorders>
            <w:shd w:val="clear" w:color="auto" w:fill="auto"/>
          </w:tcPr>
          <w:p w:rsidR="004E385C" w:rsidRPr="003C6EE0" w:rsidP="00066793" w14:paraId="16330812" w14:textId="380DEEC0">
            <w:pPr>
              <w:pStyle w:val="ParaNum"/>
              <w:widowControl/>
              <w:numPr>
                <w:ilvl w:val="0"/>
                <w:numId w:val="0"/>
              </w:numPr>
              <w:jc w:val="center"/>
            </w:pPr>
            <w:r w:rsidRPr="003C6EE0">
              <w:t>92.5%</w:t>
            </w:r>
          </w:p>
        </w:tc>
        <w:tc>
          <w:tcPr>
            <w:tcW w:w="2786" w:type="dxa"/>
            <w:tcBorders>
              <w:top w:val="nil"/>
              <w:left w:val="nil"/>
              <w:bottom w:val="single" w:sz="4" w:space="0" w:color="auto"/>
              <w:right w:val="single" w:sz="4" w:space="0" w:color="auto"/>
            </w:tcBorders>
            <w:shd w:val="clear" w:color="auto" w:fill="auto"/>
          </w:tcPr>
          <w:p w:rsidR="004E385C" w:rsidRPr="003C6EE0" w:rsidP="00066793" w14:paraId="4C0A9DE4" w14:textId="52528CE9">
            <w:pPr>
              <w:pStyle w:val="ParaNum"/>
              <w:widowControl/>
              <w:numPr>
                <w:ilvl w:val="0"/>
                <w:numId w:val="0"/>
              </w:numPr>
              <w:jc w:val="center"/>
            </w:pPr>
            <w:r w:rsidRPr="003C6EE0">
              <w:t>40</w:t>
            </w:r>
          </w:p>
        </w:tc>
      </w:tr>
      <w:tr w14:paraId="0B72A73B" w14:textId="77777777" w:rsidTr="008242E0">
        <w:tblPrEx>
          <w:tblW w:w="0" w:type="auto"/>
          <w:jc w:val="center"/>
          <w:tblLook w:val="04A0"/>
        </w:tblPrEx>
        <w:trPr>
          <w:gridAfter w:val="1"/>
          <w:wAfter w:w="11" w:type="dxa"/>
          <w:trHeight w:val="70"/>
          <w:jc w:val="center"/>
        </w:trPr>
        <w:tc>
          <w:tcPr>
            <w:tcW w:w="1148" w:type="dxa"/>
            <w:shd w:val="clear" w:color="auto" w:fill="auto"/>
          </w:tcPr>
          <w:p w:rsidR="004E385C" w:rsidRPr="007B1F16" w:rsidP="00066793" w14:paraId="13E4CE53" w14:textId="3963E0A5">
            <w:pPr>
              <w:pStyle w:val="ParaNum"/>
              <w:widowControl/>
              <w:numPr>
                <w:ilvl w:val="0"/>
                <w:numId w:val="0"/>
              </w:numPr>
              <w:jc w:val="center"/>
              <w:rPr>
                <w:b/>
                <w:bCs/>
              </w:rPr>
            </w:pPr>
            <w:r w:rsidRPr="007B1F16">
              <w:rPr>
                <w:b/>
                <w:bCs/>
              </w:rPr>
              <w:t>Verizon</w:t>
            </w:r>
          </w:p>
        </w:tc>
        <w:tc>
          <w:tcPr>
            <w:tcW w:w="2499" w:type="dxa"/>
            <w:shd w:val="clear" w:color="auto" w:fill="auto"/>
          </w:tcPr>
          <w:p w:rsidR="004E385C" w:rsidRPr="003C6EE0" w:rsidP="00066793" w14:paraId="6E8FE07D" w14:textId="1E9A713C">
            <w:pPr>
              <w:pStyle w:val="ParaNum"/>
              <w:widowControl/>
              <w:numPr>
                <w:ilvl w:val="0"/>
                <w:numId w:val="0"/>
              </w:numPr>
              <w:jc w:val="center"/>
            </w:pPr>
            <w:r w:rsidRPr="003C6EE0">
              <w:t>2.9%</w:t>
            </w:r>
          </w:p>
        </w:tc>
        <w:tc>
          <w:tcPr>
            <w:tcW w:w="2906" w:type="dxa"/>
            <w:tcBorders>
              <w:right w:val="single" w:sz="4" w:space="0" w:color="auto"/>
            </w:tcBorders>
            <w:shd w:val="clear" w:color="auto" w:fill="auto"/>
          </w:tcPr>
          <w:p w:rsidR="004E385C" w:rsidRPr="003C6EE0" w:rsidP="00066793" w14:paraId="5203905F" w14:textId="51C2CD1D">
            <w:pPr>
              <w:pStyle w:val="ParaNum"/>
              <w:widowControl/>
              <w:numPr>
                <w:ilvl w:val="0"/>
                <w:numId w:val="0"/>
              </w:numPr>
              <w:jc w:val="center"/>
            </w:pPr>
            <w:r w:rsidRPr="003C6EE0">
              <w:t>97.1%</w:t>
            </w:r>
          </w:p>
        </w:tc>
        <w:tc>
          <w:tcPr>
            <w:tcW w:w="2786" w:type="dxa"/>
            <w:tcBorders>
              <w:top w:val="nil"/>
              <w:left w:val="nil"/>
              <w:bottom w:val="single" w:sz="4" w:space="0" w:color="auto"/>
              <w:right w:val="single" w:sz="4" w:space="0" w:color="auto"/>
            </w:tcBorders>
            <w:shd w:val="clear" w:color="auto" w:fill="auto"/>
          </w:tcPr>
          <w:p w:rsidR="004E385C" w:rsidRPr="003C6EE0" w:rsidP="00066793" w14:paraId="70627014" w14:textId="7B7A688A">
            <w:pPr>
              <w:pStyle w:val="ParaNum"/>
              <w:widowControl/>
              <w:numPr>
                <w:ilvl w:val="0"/>
                <w:numId w:val="0"/>
              </w:numPr>
              <w:jc w:val="center"/>
            </w:pPr>
            <w:r w:rsidRPr="003C6EE0">
              <w:t>137</w:t>
            </w:r>
          </w:p>
        </w:tc>
      </w:tr>
      <w:tr w14:paraId="023AB955" w14:textId="77777777" w:rsidTr="008242E0">
        <w:tblPrEx>
          <w:tblW w:w="0" w:type="auto"/>
          <w:jc w:val="center"/>
          <w:tblLook w:val="04A0"/>
        </w:tblPrEx>
        <w:trPr>
          <w:gridAfter w:val="1"/>
          <w:wAfter w:w="11" w:type="dxa"/>
          <w:trHeight w:val="70"/>
          <w:jc w:val="center"/>
        </w:trPr>
        <w:tc>
          <w:tcPr>
            <w:tcW w:w="1148" w:type="dxa"/>
            <w:shd w:val="clear" w:color="auto" w:fill="auto"/>
          </w:tcPr>
          <w:p w:rsidR="004E385C" w:rsidRPr="007B1F16" w:rsidP="00066793" w14:paraId="11589E03" w14:textId="0731860D">
            <w:pPr>
              <w:pStyle w:val="ParaNum"/>
              <w:widowControl/>
              <w:numPr>
                <w:ilvl w:val="0"/>
                <w:numId w:val="0"/>
              </w:numPr>
              <w:jc w:val="center"/>
              <w:rPr>
                <w:b/>
                <w:bCs/>
              </w:rPr>
            </w:pPr>
            <w:r w:rsidRPr="007B1F16">
              <w:rPr>
                <w:b/>
                <w:bCs/>
              </w:rPr>
              <w:t>Other</w:t>
            </w:r>
          </w:p>
        </w:tc>
        <w:tc>
          <w:tcPr>
            <w:tcW w:w="2499" w:type="dxa"/>
            <w:shd w:val="clear" w:color="auto" w:fill="auto"/>
          </w:tcPr>
          <w:p w:rsidR="004E385C" w:rsidRPr="003C6EE0" w:rsidP="00066793" w14:paraId="529BC7C2" w14:textId="60F388A4">
            <w:pPr>
              <w:pStyle w:val="ParaNum"/>
              <w:widowControl/>
              <w:numPr>
                <w:ilvl w:val="0"/>
                <w:numId w:val="0"/>
              </w:numPr>
              <w:jc w:val="center"/>
            </w:pPr>
            <w:r w:rsidRPr="003C6EE0">
              <w:t>41.2%</w:t>
            </w:r>
          </w:p>
        </w:tc>
        <w:tc>
          <w:tcPr>
            <w:tcW w:w="2906" w:type="dxa"/>
            <w:tcBorders>
              <w:right w:val="single" w:sz="4" w:space="0" w:color="auto"/>
            </w:tcBorders>
            <w:shd w:val="clear" w:color="auto" w:fill="auto"/>
          </w:tcPr>
          <w:p w:rsidR="004E385C" w:rsidRPr="003C6EE0" w:rsidP="00066793" w14:paraId="091D3588" w14:textId="3E124A74">
            <w:pPr>
              <w:pStyle w:val="ParaNum"/>
              <w:widowControl/>
              <w:numPr>
                <w:ilvl w:val="0"/>
                <w:numId w:val="0"/>
              </w:numPr>
              <w:jc w:val="center"/>
            </w:pPr>
            <w:r w:rsidRPr="003C6EE0">
              <w:t>58.8%</w:t>
            </w:r>
          </w:p>
        </w:tc>
        <w:tc>
          <w:tcPr>
            <w:tcW w:w="2786" w:type="dxa"/>
            <w:tcBorders>
              <w:top w:val="nil"/>
              <w:left w:val="nil"/>
              <w:bottom w:val="single" w:sz="4" w:space="0" w:color="auto"/>
              <w:right w:val="single" w:sz="4" w:space="0" w:color="auto"/>
            </w:tcBorders>
            <w:shd w:val="clear" w:color="auto" w:fill="auto"/>
          </w:tcPr>
          <w:p w:rsidR="004E385C" w:rsidRPr="003C6EE0" w:rsidP="00066793" w14:paraId="251A6FAB" w14:textId="324B1624">
            <w:pPr>
              <w:pStyle w:val="ParaNum"/>
              <w:widowControl/>
              <w:numPr>
                <w:ilvl w:val="0"/>
                <w:numId w:val="0"/>
              </w:numPr>
              <w:jc w:val="center"/>
            </w:pPr>
            <w:r w:rsidRPr="003C6EE0">
              <w:t>34</w:t>
            </w:r>
          </w:p>
        </w:tc>
      </w:tr>
      <w:tr w14:paraId="3B3E6809" w14:textId="77777777" w:rsidTr="008242E0">
        <w:tblPrEx>
          <w:tblW w:w="0" w:type="auto"/>
          <w:jc w:val="center"/>
          <w:tblLook w:val="04A0"/>
        </w:tblPrEx>
        <w:trPr>
          <w:gridAfter w:val="1"/>
          <w:wAfter w:w="11" w:type="dxa"/>
          <w:jc w:val="center"/>
        </w:trPr>
        <w:tc>
          <w:tcPr>
            <w:tcW w:w="1148" w:type="dxa"/>
            <w:shd w:val="clear" w:color="auto" w:fill="auto"/>
          </w:tcPr>
          <w:p w:rsidR="004E385C" w:rsidRPr="007B1F16" w:rsidP="00066793" w14:paraId="11AD8E60" w14:textId="1003C623">
            <w:pPr>
              <w:pStyle w:val="ParaNum"/>
              <w:widowControl/>
              <w:numPr>
                <w:ilvl w:val="0"/>
                <w:numId w:val="0"/>
              </w:numPr>
              <w:spacing w:after="0"/>
              <w:jc w:val="center"/>
              <w:rPr>
                <w:b/>
                <w:bCs/>
              </w:rPr>
            </w:pPr>
            <w:r w:rsidRPr="007B1F16">
              <w:rPr>
                <w:b/>
                <w:bCs/>
              </w:rPr>
              <w:t>Overall</w:t>
            </w:r>
          </w:p>
          <w:p w:rsidR="004E385C" w:rsidRPr="007B1F16" w:rsidP="00066793" w14:paraId="24CEB6C0" w14:textId="2FFD113C">
            <w:pPr>
              <w:pStyle w:val="ParaNum"/>
              <w:widowControl/>
              <w:numPr>
                <w:ilvl w:val="0"/>
                <w:numId w:val="0"/>
              </w:numPr>
              <w:jc w:val="center"/>
              <w:rPr>
                <w:b/>
                <w:bCs/>
              </w:rPr>
            </w:pPr>
            <w:r w:rsidRPr="007B1F16">
              <w:rPr>
                <w:b/>
                <w:bCs/>
              </w:rPr>
              <w:t>total</w:t>
            </w:r>
          </w:p>
        </w:tc>
        <w:tc>
          <w:tcPr>
            <w:tcW w:w="2499" w:type="dxa"/>
            <w:shd w:val="clear" w:color="auto" w:fill="auto"/>
            <w:vAlign w:val="center"/>
          </w:tcPr>
          <w:p w:rsidR="004E385C" w:rsidRPr="003C6EE0" w:rsidP="00066793" w14:paraId="6FB8A75E" w14:textId="77C49F42">
            <w:pPr>
              <w:pStyle w:val="ParaNum"/>
              <w:widowControl/>
              <w:numPr>
                <w:ilvl w:val="0"/>
                <w:numId w:val="0"/>
              </w:numPr>
              <w:jc w:val="center"/>
            </w:pPr>
            <w:r w:rsidRPr="003C6EE0">
              <w:t>32.0%</w:t>
            </w:r>
          </w:p>
        </w:tc>
        <w:tc>
          <w:tcPr>
            <w:tcW w:w="2906" w:type="dxa"/>
            <w:tcBorders>
              <w:right w:val="single" w:sz="4" w:space="0" w:color="auto"/>
            </w:tcBorders>
            <w:shd w:val="clear" w:color="auto" w:fill="auto"/>
            <w:vAlign w:val="center"/>
          </w:tcPr>
          <w:p w:rsidR="004E385C" w:rsidRPr="003C6EE0" w:rsidP="00066793" w14:paraId="1A0EB2F7" w14:textId="47CC9FAE">
            <w:pPr>
              <w:pStyle w:val="ParaNum"/>
              <w:widowControl/>
              <w:numPr>
                <w:ilvl w:val="0"/>
                <w:numId w:val="0"/>
              </w:numPr>
              <w:jc w:val="center"/>
            </w:pPr>
            <w:r w:rsidRPr="003C6EE0">
              <w:t>68.0%</w:t>
            </w:r>
          </w:p>
        </w:tc>
        <w:tc>
          <w:tcPr>
            <w:tcW w:w="2786" w:type="dxa"/>
            <w:tcBorders>
              <w:top w:val="nil"/>
              <w:left w:val="nil"/>
              <w:bottom w:val="single" w:sz="4" w:space="0" w:color="auto"/>
              <w:right w:val="single" w:sz="4" w:space="0" w:color="auto"/>
            </w:tcBorders>
            <w:shd w:val="clear" w:color="auto" w:fill="auto"/>
            <w:vAlign w:val="center"/>
          </w:tcPr>
          <w:p w:rsidR="004E385C" w:rsidRPr="007316D1" w:rsidP="00066793" w14:paraId="7AEB984B" w14:textId="182043AC">
            <w:pPr>
              <w:pStyle w:val="ParaNum"/>
              <w:widowControl/>
              <w:numPr>
                <w:ilvl w:val="0"/>
                <w:numId w:val="0"/>
              </w:numPr>
              <w:jc w:val="center"/>
              <w:rPr>
                <w:i/>
                <w:iCs/>
              </w:rPr>
            </w:pPr>
            <w:r w:rsidRPr="003C6EE0">
              <w:t>294</w:t>
            </w:r>
          </w:p>
        </w:tc>
      </w:tr>
    </w:tbl>
    <w:p w:rsidR="00CC11C0" w:rsidP="00066793" w14:paraId="05E4CC77" w14:textId="751A5BFC">
      <w:pPr>
        <w:pStyle w:val="ParaNum"/>
        <w:widowControl/>
        <w:numPr>
          <w:ilvl w:val="0"/>
          <w:numId w:val="0"/>
        </w:numPr>
        <w:ind w:left="720"/>
      </w:pPr>
    </w:p>
    <w:p w:rsidR="004022D3" w:rsidP="00066793" w14:paraId="07F4A7C2" w14:textId="7D3F2537">
      <w:pPr>
        <w:pStyle w:val="ParaNum"/>
        <w:widowControl/>
        <w:numPr>
          <w:ilvl w:val="0"/>
          <w:numId w:val="0"/>
        </w:numPr>
      </w:pPr>
      <w:r>
        <w:t>Th</w:t>
      </w:r>
      <w:r w:rsidR="00790D0D">
        <w:t>e</w:t>
      </w:r>
      <w:r>
        <w:t xml:space="preserve"> </w:t>
      </w:r>
      <w:r w:rsidR="007B30CE">
        <w:t xml:space="preserve">completed survey </w:t>
      </w:r>
      <w:r>
        <w:t xml:space="preserve">data indicate that </w:t>
      </w:r>
      <w:r w:rsidR="000110E4">
        <w:t>32</w:t>
      </w:r>
      <w:r w:rsidR="00B16C2D">
        <w:t>.0</w:t>
      </w:r>
      <w:r w:rsidR="000110E4">
        <w:t>% of respondents that received the nationwide W</w:t>
      </w:r>
      <w:r w:rsidR="00F72108">
        <w:t>E</w:t>
      </w:r>
      <w:r w:rsidR="000110E4">
        <w:t xml:space="preserve">A test </w:t>
      </w:r>
      <w:r w:rsidR="0081048C">
        <w:t>also received a duplicate test message.</w:t>
      </w:r>
      <w:r>
        <w:rPr>
          <w:rStyle w:val="FootnoteReference"/>
        </w:rPr>
        <w:footnoteReference w:id="95"/>
      </w:r>
      <w:r w:rsidR="0081048C">
        <w:t xml:space="preserve">  </w:t>
      </w:r>
      <w:r>
        <w:t>8</w:t>
      </w:r>
      <w:r w:rsidR="004129E3">
        <w:t>8</w:t>
      </w:r>
      <w:r w:rsidR="00B16C2D">
        <w:t>.0</w:t>
      </w:r>
      <w:r>
        <w:t xml:space="preserve">% of </w:t>
      </w:r>
      <w:r w:rsidR="0050607E">
        <w:t xml:space="preserve">respondents that received the nationwide WEA test on AT&amp;T’s network also received a duplicate </w:t>
      </w:r>
      <w:r w:rsidR="00D26EB1">
        <w:t>test message</w:t>
      </w:r>
      <w:r w:rsidR="00784E92">
        <w:t>; 7.</w:t>
      </w:r>
      <w:r w:rsidR="004129E3">
        <w:t>5</w:t>
      </w:r>
      <w:r w:rsidR="00784E92">
        <w:t>% of respondents that received the nationwide WEA test on T-Mobile’s network also received a duplicate test message; 2.</w:t>
      </w:r>
      <w:r w:rsidR="004129E3">
        <w:t>9</w:t>
      </w:r>
      <w:r w:rsidR="00784E92">
        <w:t xml:space="preserve">% of respondents that received the nationwide WEA test on Verizon’s network also received a duplicate test message; and </w:t>
      </w:r>
      <w:r w:rsidR="00784E92">
        <w:t>4</w:t>
      </w:r>
      <w:r w:rsidR="004129E3">
        <w:t>1.2</w:t>
      </w:r>
      <w:r w:rsidR="00784E92">
        <w:t xml:space="preserve">% of respondents that received the nationwide WEA test on </w:t>
      </w:r>
      <w:r w:rsidR="00C621BE">
        <w:t xml:space="preserve">other </w:t>
      </w:r>
      <w:r w:rsidR="004129E3">
        <w:t>wireless providers</w:t>
      </w:r>
      <w:r w:rsidR="00C621BE">
        <w:t>’</w:t>
      </w:r>
      <w:r w:rsidR="00E230BB">
        <w:t xml:space="preserve"> networks</w:t>
      </w:r>
      <w:r w:rsidR="00784E92">
        <w:t xml:space="preserve"> also received a duplicate test message</w:t>
      </w:r>
      <w:r w:rsidR="00E230BB">
        <w:t xml:space="preserve">. </w:t>
      </w:r>
    </w:p>
    <w:p w:rsidR="00EA14C3" w:rsidRPr="00EA14C3" w:rsidP="00066793" w14:paraId="257B4FAD" w14:textId="543312C3">
      <w:pPr>
        <w:pStyle w:val="ParaNum"/>
        <w:widowControl/>
      </w:pPr>
      <w:r>
        <w:t xml:space="preserve">PSHSB </w:t>
      </w:r>
      <w:r w:rsidR="000A183F">
        <w:t>examined</w:t>
      </w:r>
      <w:r>
        <w:t xml:space="preserve"> this </w:t>
      </w:r>
      <w:r w:rsidR="004022D3">
        <w:t>du</w:t>
      </w:r>
      <w:r w:rsidRPr="004022D3" w:rsidR="004022D3">
        <w:t>p</w:t>
      </w:r>
      <w:r w:rsidR="004022D3">
        <w:t xml:space="preserve">licate </w:t>
      </w:r>
      <w:r w:rsidR="002A5096">
        <w:t xml:space="preserve">test message issue.  PSHSB confirmed with AT&amp;T that </w:t>
      </w:r>
      <w:r w:rsidR="007717F1">
        <w:t>a software issue</w:t>
      </w:r>
      <w:r w:rsidR="002A5096">
        <w:t xml:space="preserve"> caused much of the duplicate message delivery on their network.  </w:t>
      </w:r>
      <w:r w:rsidR="00401241">
        <w:t>AT&amp;T states that, to its knowledge, “this software issue has not affected any live WEA alerts.”</w:t>
      </w:r>
      <w:r>
        <w:rPr>
          <w:rStyle w:val="FootnoteReference"/>
        </w:rPr>
        <w:footnoteReference w:id="96"/>
      </w:r>
      <w:r w:rsidR="00401241">
        <w:t xml:space="preserve">  </w:t>
      </w:r>
      <w:r w:rsidRPr="00EA14C3">
        <w:t xml:space="preserve">AT&amp;T has brought this issue to </w:t>
      </w:r>
      <w:r w:rsidR="001F5503">
        <w:t>the</w:t>
      </w:r>
      <w:r w:rsidRPr="00EA14C3" w:rsidR="001F5503">
        <w:t xml:space="preserve"> </w:t>
      </w:r>
      <w:r w:rsidRPr="00EA14C3">
        <w:t xml:space="preserve">attention </w:t>
      </w:r>
      <w:r w:rsidR="001F5503">
        <w:t xml:space="preserve">of </w:t>
      </w:r>
      <w:r w:rsidR="00401241">
        <w:t>the software</w:t>
      </w:r>
      <w:r w:rsidR="001F5503">
        <w:t xml:space="preserve"> vendor </w:t>
      </w:r>
      <w:r w:rsidRPr="00EA14C3">
        <w:t xml:space="preserve">and </w:t>
      </w:r>
      <w:r w:rsidR="008F2E8F">
        <w:t>reports that</w:t>
      </w:r>
      <w:r w:rsidR="00401241">
        <w:t>, once it is resolved, “the nationwide duplication issue experienced by some users is not expected to recur.”</w:t>
      </w:r>
      <w:r>
        <w:rPr>
          <w:rStyle w:val="FootnoteReference"/>
        </w:rPr>
        <w:footnoteReference w:id="97"/>
      </w:r>
      <w:r w:rsidRPr="00EA14C3">
        <w:t xml:space="preserve"> </w:t>
      </w:r>
    </w:p>
    <w:p w:rsidR="00E230BB" w:rsidP="00066793" w14:paraId="72587D33" w14:textId="46639C74">
      <w:pPr>
        <w:pStyle w:val="ParaNum"/>
        <w:widowControl/>
      </w:pPr>
      <w:r>
        <w:t xml:space="preserve">AT&amp;T’s </w:t>
      </w:r>
      <w:r w:rsidR="00401241">
        <w:t xml:space="preserve">software </w:t>
      </w:r>
      <w:r>
        <w:t xml:space="preserve">failure, however, does not explain duplicate message delivery on Verizon, T-Mobile, and other wireless providers’ networks. </w:t>
      </w:r>
      <w:r w:rsidR="002C60D4">
        <w:t xml:space="preserve"> With respect to those networks’ duplicate messages, </w:t>
      </w:r>
      <w:r>
        <w:t xml:space="preserve"> T-Mobile </w:t>
      </w:r>
      <w:r w:rsidR="002C60D4">
        <w:t>explains</w:t>
      </w:r>
      <w:r>
        <w:t xml:space="preserve"> that mobile devices perform duplicate alert suppression based on a serial number assigned to the alert at the broadcast message center.</w:t>
      </w:r>
      <w:r>
        <w:rPr>
          <w:rStyle w:val="FootnoteReference"/>
        </w:rPr>
        <w:footnoteReference w:id="98"/>
      </w:r>
      <w:r>
        <w:t xml:space="preserve">  When a CMS Provider retransmits an alert during the alert’s active period to promote WEA’s reliability, it assigns the same serial number to subsequent iterations of the same alert.</w:t>
      </w:r>
      <w:r>
        <w:rPr>
          <w:rStyle w:val="FootnoteReference"/>
        </w:rPr>
        <w:footnoteReference w:id="99"/>
      </w:r>
      <w:r>
        <w:t xml:space="preserve">  When a mobile device receives a second iteration of an alert that contains the same serial number, it suppresses the second iteration as a duplicate and does not present it to the device’s user.</w:t>
      </w:r>
      <w:r>
        <w:rPr>
          <w:rStyle w:val="FootnoteReference"/>
        </w:rPr>
        <w:footnoteReference w:id="100"/>
      </w:r>
      <w:r>
        <w:t xml:space="preserve">  Each wireless provider, however, may assign a different serial number to the same alert.</w:t>
      </w:r>
      <w:r>
        <w:rPr>
          <w:rStyle w:val="FootnoteReference"/>
        </w:rPr>
        <w:footnoteReference w:id="101"/>
      </w:r>
      <w:r>
        <w:t xml:space="preserve">  As a result, if a user is roaming across networks during the active period of an alert, they may receive one iteration of an alert with one serial number on their home wireless network, and then receive a second, duplicate iteration of that same alert with a different serial number on a roaming network’s </w:t>
      </w:r>
      <w:r w:rsidR="005F0DDF">
        <w:t>subsequent retransmission</w:t>
      </w:r>
      <w:r>
        <w:t>.</w:t>
      </w:r>
      <w:r>
        <w:rPr>
          <w:rStyle w:val="FootnoteReference"/>
        </w:rPr>
        <w:footnoteReference w:id="102"/>
      </w:r>
      <w:r>
        <w:t xml:space="preserve">  The capacity for users to receive duplicate WEA alerts</w:t>
      </w:r>
      <w:r w:rsidR="005F0DDF">
        <w:t xml:space="preserve"> while roaming</w:t>
      </w:r>
      <w:r>
        <w:t xml:space="preserve"> appears to be a systemic issue </w:t>
      </w:r>
      <w:r w:rsidR="005F0DDF">
        <w:t xml:space="preserve">that </w:t>
      </w:r>
      <w:r>
        <w:t>predictably lead</w:t>
      </w:r>
      <w:r w:rsidR="005F0DDF">
        <w:t>s</w:t>
      </w:r>
      <w:r>
        <w:t xml:space="preserve"> end users to receive duplicative alerts.</w:t>
      </w:r>
    </w:p>
    <w:p w:rsidR="00154462" w:rsidP="00066793" w14:paraId="4A182B20" w14:textId="7EE18F6D">
      <w:pPr>
        <w:pStyle w:val="ParaNum"/>
        <w:widowControl/>
      </w:pPr>
      <w:r>
        <w:t xml:space="preserve">An additional </w:t>
      </w:r>
      <w:r w:rsidR="001F5503">
        <w:t xml:space="preserve">potential </w:t>
      </w:r>
      <w:r>
        <w:t xml:space="preserve">explanation </w:t>
      </w:r>
      <w:r w:rsidR="00037ED6">
        <w:t xml:space="preserve">for </w:t>
      </w:r>
      <w:r w:rsidR="001F5503">
        <w:t>some users’ exper</w:t>
      </w:r>
      <w:r>
        <w:t>i</w:t>
      </w:r>
      <w:r w:rsidR="001F5503">
        <w:t>ence of a duplicate alert is</w:t>
      </w:r>
      <w:r>
        <w:t xml:space="preserve"> that some mobile devices may trigger their attention signal and vibration cadence </w:t>
      </w:r>
      <w:r w:rsidR="001F5503">
        <w:t xml:space="preserve">a second time </w:t>
      </w:r>
      <w:r>
        <w:t xml:space="preserve">if the device user does not </w:t>
      </w:r>
      <w:r w:rsidR="001F5503">
        <w:t xml:space="preserve">tap to </w:t>
      </w:r>
      <w:r>
        <w:t xml:space="preserve">view the </w:t>
      </w:r>
      <w:r w:rsidR="001F5503">
        <w:t xml:space="preserve">WEA message </w:t>
      </w:r>
      <w:r>
        <w:t xml:space="preserve">notification when </w:t>
      </w:r>
      <w:r w:rsidR="001F5503">
        <w:t>the notification</w:t>
      </w:r>
      <w:r>
        <w:t xml:space="preserve"> is first </w:t>
      </w:r>
      <w:r w:rsidR="001F5503">
        <w:t>displayed</w:t>
      </w:r>
      <w:r>
        <w:t>.</w:t>
      </w:r>
      <w:r>
        <w:rPr>
          <w:rStyle w:val="FootnoteReference"/>
        </w:rPr>
        <w:footnoteReference w:id="103"/>
      </w:r>
      <w:r>
        <w:t xml:space="preserve">  This would not be an example of a duplicate alert, per se, but it might be interpreted as a duplicate alert.  This </w:t>
      </w:r>
      <w:r w:rsidR="004B3984">
        <w:t xml:space="preserve">additional </w:t>
      </w:r>
      <w:r w:rsidR="001F5503">
        <w:t xml:space="preserve">presentation of WEA’s audio attention signal and vibration cadence </w:t>
      </w:r>
      <w:r>
        <w:t>is optional in</w:t>
      </w:r>
      <w:r w:rsidR="001F5503">
        <w:t xml:space="preserve"> WEA’s</w:t>
      </w:r>
      <w:r>
        <w:t xml:space="preserve"> mobile device standards, and its implementation may vary by device.</w:t>
      </w:r>
      <w:r>
        <w:rPr>
          <w:rStyle w:val="FootnoteReference"/>
        </w:rPr>
        <w:footnoteReference w:id="104"/>
      </w:r>
      <w:r>
        <w:t xml:space="preserve">  As discussed in further detail below, PSHSB continue</w:t>
      </w:r>
      <w:r w:rsidR="00112C6F">
        <w:t>s</w:t>
      </w:r>
      <w:r>
        <w:t xml:space="preserve"> to </w:t>
      </w:r>
      <w:r w:rsidR="000A183F">
        <w:t>evaluate</w:t>
      </w:r>
      <w:r>
        <w:t xml:space="preserve"> the duplicate alert issue and make recommendations to address it, </w:t>
      </w:r>
      <w:r w:rsidR="002F6189">
        <w:t xml:space="preserve">where </w:t>
      </w:r>
      <w:r>
        <w:t xml:space="preserve">appropriate. </w:t>
      </w:r>
    </w:p>
    <w:p w:rsidR="00AB27FA" w:rsidP="00066793" w14:paraId="737D83E6" w14:textId="089574CA">
      <w:pPr>
        <w:pStyle w:val="Heading1"/>
        <w:widowControl/>
      </w:pPr>
      <w:bookmarkStart w:id="182" w:name="_Toc83909803"/>
      <w:bookmarkStart w:id="183" w:name="_Toc83911828"/>
      <w:bookmarkStart w:id="184" w:name="_Toc84335332"/>
      <w:bookmarkStart w:id="185" w:name="_Toc84597887"/>
      <w:bookmarkStart w:id="186" w:name="_Toc84926107"/>
      <w:bookmarkStart w:id="187" w:name="_Toc84933042"/>
      <w:bookmarkStart w:id="188" w:name="_Toc85552935"/>
      <w:r>
        <w:t>Next Steps</w:t>
      </w:r>
      <w:bookmarkEnd w:id="182"/>
      <w:bookmarkEnd w:id="183"/>
      <w:bookmarkEnd w:id="184"/>
      <w:bookmarkEnd w:id="185"/>
      <w:bookmarkEnd w:id="186"/>
      <w:bookmarkEnd w:id="187"/>
      <w:bookmarkEnd w:id="188"/>
    </w:p>
    <w:p w:rsidR="0036200A" w:rsidP="00066793" w14:paraId="07E89FE4" w14:textId="54947463">
      <w:pPr>
        <w:pStyle w:val="ParaNum"/>
        <w:widowControl/>
      </w:pPr>
      <w:r w:rsidRPr="00D94538">
        <w:t xml:space="preserve">The Commission places the highest priority on ensuring that </w:t>
      </w:r>
      <w:r w:rsidR="00A30409">
        <w:t>WEA continues to be an effective</w:t>
      </w:r>
      <w:r w:rsidRPr="00D94538">
        <w:t xml:space="preserve"> alerting tool</w:t>
      </w:r>
      <w:r w:rsidR="007121A7">
        <w:t xml:space="preserve"> and that alerts are received in a timely manner</w:t>
      </w:r>
      <w:r w:rsidR="00A30409">
        <w:t>,</w:t>
      </w:r>
      <w:r w:rsidR="007121A7">
        <w:t xml:space="preserve"> enabling prompt </w:t>
      </w:r>
      <w:r w:rsidR="00D60211">
        <w:t xml:space="preserve">and potentially life-saving </w:t>
      </w:r>
      <w:r w:rsidR="007121A7">
        <w:t>action on the part of the public</w:t>
      </w:r>
      <w:r w:rsidRPr="00D94538">
        <w:t xml:space="preserve">.  </w:t>
      </w:r>
      <w:r w:rsidRPr="00426ED8" w:rsidR="00426ED8">
        <w:t xml:space="preserve">To </w:t>
      </w:r>
      <w:r w:rsidR="00091C99">
        <w:t>further</w:t>
      </w:r>
      <w:r w:rsidRPr="00426ED8" w:rsidR="00426ED8">
        <w:t xml:space="preserve"> improve </w:t>
      </w:r>
      <w:r w:rsidR="00091C99">
        <w:t xml:space="preserve">WEA based on its </w:t>
      </w:r>
      <w:r w:rsidRPr="004022D3" w:rsidR="00091C99">
        <w:t>p</w:t>
      </w:r>
      <w:r w:rsidR="00091C99">
        <w:t>erformance during</w:t>
      </w:r>
      <w:r w:rsidRPr="00426ED8" w:rsidR="00426ED8">
        <w:t xml:space="preserve"> the 20</w:t>
      </w:r>
      <w:r w:rsidR="00426ED8">
        <w:t>21</w:t>
      </w:r>
      <w:r w:rsidRPr="00426ED8" w:rsidR="00426ED8">
        <w:t xml:space="preserve"> nationwide test, the Bureau</w:t>
      </w:r>
      <w:r w:rsidR="003461DE">
        <w:t xml:space="preserve"> plans to take</w:t>
      </w:r>
      <w:r w:rsidR="00751F0D">
        <w:t xml:space="preserve"> the</w:t>
      </w:r>
      <w:r w:rsidR="00457729">
        <w:t xml:space="preserve"> following actions</w:t>
      </w:r>
      <w:r w:rsidR="003461DE">
        <w:t xml:space="preserve"> (or, where applicable, recommend action by the Commission or external parties)</w:t>
      </w:r>
      <w:r w:rsidR="00F54916">
        <w:t>:</w:t>
      </w:r>
    </w:p>
    <w:p w:rsidR="00A36D6D" w:rsidP="00066793" w14:paraId="12C61C42" w14:textId="2E484F8B">
      <w:pPr>
        <w:pStyle w:val="ParaNum"/>
        <w:widowControl/>
        <w:numPr>
          <w:ilvl w:val="0"/>
          <w:numId w:val="13"/>
        </w:numPr>
        <w:ind w:left="810"/>
      </w:pPr>
      <w:r w:rsidRPr="00061AB2">
        <w:rPr>
          <w:b/>
          <w:bCs/>
        </w:rPr>
        <w:t>Benchmark WEA</w:t>
      </w:r>
      <w:r w:rsidRPr="00061AB2" w:rsidR="001A436B">
        <w:rPr>
          <w:b/>
          <w:bCs/>
        </w:rPr>
        <w:t>’s</w:t>
      </w:r>
      <w:r w:rsidRPr="00061AB2">
        <w:rPr>
          <w:b/>
          <w:bCs/>
        </w:rPr>
        <w:t xml:space="preserve"> performance at demonstrated levels</w:t>
      </w:r>
      <w:r>
        <w:t>.</w:t>
      </w:r>
      <w:r w:rsidR="00890903">
        <w:t xml:space="preserve">  </w:t>
      </w:r>
      <w:r w:rsidR="00B16C2D">
        <w:t>PSHSB will submit this re</w:t>
      </w:r>
      <w:r w:rsidRPr="004022D3" w:rsidR="00B16C2D">
        <w:t>p</w:t>
      </w:r>
      <w:r w:rsidR="00B16C2D">
        <w:t xml:space="preserve">ort into the </w:t>
      </w:r>
      <w:r w:rsidR="007717F1">
        <w:t xml:space="preserve">WEA </w:t>
      </w:r>
      <w:r w:rsidR="00B16C2D">
        <w:t>record</w:t>
      </w:r>
      <w:r w:rsidR="007717F1">
        <w:t>, PS Docket No. 15-91,</w:t>
      </w:r>
      <w:r w:rsidR="00B16C2D">
        <w:t xml:space="preserve"> so that it can inform the Commission’s future consideration of WEA’s performance. </w:t>
      </w:r>
      <w:r w:rsidR="00890903">
        <w:t xml:space="preserve">Since 2016, the Commission has sought comment on whether it would be feasible for </w:t>
      </w:r>
      <w:r w:rsidR="00B16C2D">
        <w:t>P</w:t>
      </w:r>
      <w:r w:rsidR="00890903">
        <w:t xml:space="preserve">articipating </w:t>
      </w:r>
      <w:r w:rsidR="002D0C8B">
        <w:t>CMS Provider</w:t>
      </w:r>
      <w:r w:rsidR="00890903">
        <w:t xml:space="preserve">s to report to the Commission information about the reliability and latency of the WEA service they </w:t>
      </w:r>
      <w:r w:rsidRPr="00FF4994" w:rsidR="00890903">
        <w:t>offer</w:t>
      </w:r>
      <w:r w:rsidR="004B3984">
        <w:t>,</w:t>
      </w:r>
      <w:r w:rsidRPr="0025224A" w:rsidR="00061AB2">
        <w:rPr>
          <w:snapToGrid/>
          <w:kern w:val="0"/>
          <w:szCs w:val="22"/>
        </w:rPr>
        <w:t xml:space="preserve"> and whether the Commission should </w:t>
      </w:r>
      <w:r w:rsidRPr="00FF4994" w:rsidR="00061AB2">
        <w:t xml:space="preserve">adopt </w:t>
      </w:r>
      <w:r w:rsidRPr="00061AB2" w:rsidR="00061AB2">
        <w:t>performance metrics, such as benchmarks regarding the extent to</w:t>
      </w:r>
      <w:r w:rsidR="00061AB2">
        <w:t xml:space="preserve"> </w:t>
      </w:r>
      <w:r w:rsidRPr="00061AB2" w:rsidR="00061AB2">
        <w:t xml:space="preserve">which </w:t>
      </w:r>
      <w:r w:rsidR="00061AB2">
        <w:t>WEA</w:t>
      </w:r>
      <w:r w:rsidRPr="00061AB2" w:rsidR="00061AB2">
        <w:t xml:space="preserve"> alerts have been received</w:t>
      </w:r>
      <w:r w:rsidR="00890903">
        <w:t>.</w:t>
      </w:r>
      <w:r>
        <w:rPr>
          <w:rStyle w:val="FootnoteReference"/>
        </w:rPr>
        <w:footnoteReference w:id="105"/>
      </w:r>
      <w:r w:rsidR="00890903">
        <w:t xml:space="preserve"> </w:t>
      </w:r>
      <w:r w:rsidR="009D5749">
        <w:t xml:space="preserve"> </w:t>
      </w:r>
      <w:r w:rsidR="00890903">
        <w:t>Th</w:t>
      </w:r>
      <w:r w:rsidR="003103F4">
        <w:t xml:space="preserve">e 2021 nationwide WEA test marks the first time that the Commission has generated statistical findings about </w:t>
      </w:r>
      <w:r w:rsidR="00BB04D4">
        <w:t xml:space="preserve">WEA’s reliability and latency.  </w:t>
      </w:r>
      <w:r w:rsidR="007121A7">
        <w:t xml:space="preserve">Of particular note: </w:t>
      </w:r>
    </w:p>
    <w:p w:rsidR="00B570B2" w:rsidP="00066793" w14:paraId="01FD7B76" w14:textId="1116F247">
      <w:pPr>
        <w:pStyle w:val="ParaNum"/>
        <w:widowControl/>
        <w:numPr>
          <w:ilvl w:val="1"/>
          <w:numId w:val="9"/>
        </w:numPr>
      </w:pPr>
      <w:r>
        <w:t>Approximately 90</w:t>
      </w:r>
      <w:r>
        <w:t xml:space="preserve">% of </w:t>
      </w:r>
      <w:r w:rsidR="00886820">
        <w:t xml:space="preserve">WEA-capable </w:t>
      </w:r>
      <w:r>
        <w:t xml:space="preserve">mobile devices </w:t>
      </w:r>
      <w:r w:rsidR="003461DE">
        <w:t>received the nationwide WEA test.</w:t>
      </w:r>
    </w:p>
    <w:p w:rsidR="00260746" w:rsidP="00066793" w14:paraId="3A9E972F" w14:textId="51530E91">
      <w:pPr>
        <w:pStyle w:val="ParaNum"/>
        <w:widowControl/>
        <w:numPr>
          <w:ilvl w:val="1"/>
          <w:numId w:val="9"/>
        </w:numPr>
      </w:pPr>
      <w:r>
        <w:t>CMS</w:t>
      </w:r>
      <w:r w:rsidR="00224AAA">
        <w:t xml:space="preserve"> networks can transmit </w:t>
      </w:r>
      <w:r w:rsidR="00417F78">
        <w:t xml:space="preserve">nationwide </w:t>
      </w:r>
      <w:r w:rsidR="00224AAA">
        <w:t xml:space="preserve">WEA </w:t>
      </w:r>
      <w:r w:rsidR="00505B30">
        <w:t xml:space="preserve">tests </w:t>
      </w:r>
      <w:r>
        <w:t>end-to-end,</w:t>
      </w:r>
      <w:r w:rsidR="009E25F3">
        <w:t xml:space="preserve"> </w:t>
      </w:r>
      <w:r w:rsidR="00A36D6D">
        <w:t xml:space="preserve">from their alert gateway to </w:t>
      </w:r>
      <w:r>
        <w:t>their cell sites in</w:t>
      </w:r>
      <w:r w:rsidR="009E25F3">
        <w:t xml:space="preserve"> approximately 36-5</w:t>
      </w:r>
      <w:r w:rsidR="00505B30">
        <w:t>6</w:t>
      </w:r>
      <w:r w:rsidR="009E25F3">
        <w:t xml:space="preserve"> seconds</w:t>
      </w:r>
      <w:r w:rsidR="008103EC">
        <w:t xml:space="preserve">, with </w:t>
      </w:r>
      <w:r w:rsidR="00505B30">
        <w:t>the majority of mobile devices that receive the test</w:t>
      </w:r>
      <w:r w:rsidR="0062550C">
        <w:t xml:space="preserve"> </w:t>
      </w:r>
      <w:r w:rsidR="008103EC">
        <w:t xml:space="preserve">receiving </w:t>
      </w:r>
      <w:r w:rsidR="00505B30">
        <w:t>it</w:t>
      </w:r>
      <w:r w:rsidR="008103EC">
        <w:t xml:space="preserve"> </w:t>
      </w:r>
      <w:r w:rsidR="004B3984">
        <w:t xml:space="preserve">within 2 </w:t>
      </w:r>
      <w:r w:rsidR="008103EC">
        <w:t>minute</w:t>
      </w:r>
      <w:r w:rsidR="004B3984">
        <w:t>s</w:t>
      </w:r>
      <w:r w:rsidR="008103EC">
        <w:t xml:space="preserve"> </w:t>
      </w:r>
      <w:r w:rsidR="004B3984">
        <w:t xml:space="preserve">of </w:t>
      </w:r>
      <w:r w:rsidR="008103EC">
        <w:t>transmittal.</w:t>
      </w:r>
      <w:r w:rsidR="009E25F3">
        <w:t xml:space="preserve">  </w:t>
      </w:r>
    </w:p>
    <w:p w:rsidR="00050D2C" w:rsidP="00066793" w14:paraId="4E4F4D11" w14:textId="5EBA53A7">
      <w:pPr>
        <w:pStyle w:val="ParaNum"/>
        <w:widowControl/>
        <w:numPr>
          <w:ilvl w:val="0"/>
          <w:numId w:val="0"/>
        </w:numPr>
        <w:ind w:left="720"/>
      </w:pPr>
      <w:r>
        <w:t xml:space="preserve">PSHSB will continue to examine </w:t>
      </w:r>
      <w:r w:rsidR="00D120A7">
        <w:t xml:space="preserve">the reliability of older WEA-capable mobile devices that are not technically capable of receiving a State/Local WEA Test </w:t>
      </w:r>
      <w:r w:rsidR="00BB4E88">
        <w:t xml:space="preserve">Alert </w:t>
      </w:r>
      <w:r w:rsidR="00D120A7">
        <w:t>and WEA’s end-to-end latency</w:t>
      </w:r>
      <w:r>
        <w:t xml:space="preserve"> for </w:t>
      </w:r>
      <w:r w:rsidR="00FD513A">
        <w:t>non-nationwide activations.</w:t>
      </w:r>
    </w:p>
    <w:p w:rsidR="00B16C2D" w:rsidP="00066793" w14:paraId="06152784" w14:textId="459B0ED7">
      <w:pPr>
        <w:pStyle w:val="ParaNum"/>
        <w:widowControl/>
        <w:numPr>
          <w:ilvl w:val="0"/>
          <w:numId w:val="9"/>
        </w:numPr>
      </w:pPr>
      <w:r>
        <w:rPr>
          <w:b/>
          <w:bCs/>
        </w:rPr>
        <w:t xml:space="preserve">Generate recommended WEA alert origination practices and encourage localized testing to confirm WEA’s demonstrated nationwide performance in local alerting jurisdictions.  </w:t>
      </w:r>
      <w:r>
        <w:t xml:space="preserve">PSHSB will work with FEMA to publicize </w:t>
      </w:r>
      <w:r w:rsidR="00C71BB4">
        <w:t xml:space="preserve">the following </w:t>
      </w:r>
      <w:r w:rsidR="00B91CBB">
        <w:t>takeaways</w:t>
      </w:r>
      <w:r>
        <w:t xml:space="preserve"> for WEA alert origination based on WEA’s performance during the nationwide WEA test</w:t>
      </w:r>
      <w:r w:rsidR="00C71BB4">
        <w:t>:</w:t>
      </w:r>
      <w:r>
        <w:t xml:space="preserve"> </w:t>
      </w:r>
    </w:p>
    <w:p w:rsidR="00B16C2D" w:rsidP="00066793" w14:paraId="3A0C6376" w14:textId="3E2A1514">
      <w:pPr>
        <w:pStyle w:val="ParaNum"/>
        <w:widowControl/>
        <w:numPr>
          <w:ilvl w:val="1"/>
          <w:numId w:val="9"/>
        </w:numPr>
      </w:pPr>
      <w:r>
        <w:t xml:space="preserve">Alert originators should plan </w:t>
      </w:r>
      <w:r w:rsidR="002B2203">
        <w:t xml:space="preserve">to use other mass notification tools in conjunction with WEA to promote receipt of potentially life-saving information by the approximately 10% of </w:t>
      </w:r>
      <w:r w:rsidR="001A436B">
        <w:t xml:space="preserve">wireless </w:t>
      </w:r>
      <w:r w:rsidR="002B2203">
        <w:t xml:space="preserve">subscribers in the target area that </w:t>
      </w:r>
      <w:r w:rsidR="00B91CBB">
        <w:t>may</w:t>
      </w:r>
      <w:r w:rsidR="002B2203">
        <w:t xml:space="preserve"> not receive WEA alerts intended for them.</w:t>
      </w:r>
    </w:p>
    <w:p w:rsidR="002B2203" w:rsidP="00066793" w14:paraId="59096605" w14:textId="5B7168F9">
      <w:pPr>
        <w:pStyle w:val="ParaNum"/>
        <w:widowControl/>
        <w:numPr>
          <w:ilvl w:val="1"/>
          <w:numId w:val="9"/>
        </w:numPr>
      </w:pPr>
      <w:r>
        <w:t>Alert orig</w:t>
      </w:r>
      <w:r w:rsidR="00C71BB4">
        <w:t xml:space="preserve">inators should expect WEA alerts to be delivered with comparable reliability </w:t>
      </w:r>
      <w:r w:rsidRPr="001A436B">
        <w:t xml:space="preserve">irrespective of which </w:t>
      </w:r>
      <w:r w:rsidR="00C71BB4">
        <w:t>wireless providers offer service within their alerting</w:t>
      </w:r>
      <w:r w:rsidRPr="001A436B">
        <w:t xml:space="preserve"> jurisdiction</w:t>
      </w:r>
      <w:r w:rsidR="00C71BB4">
        <w:t xml:space="preserve"> or the predominant wireless network technology in their alerting jurisdiction</w:t>
      </w:r>
    </w:p>
    <w:p w:rsidR="00C71BB4" w:rsidP="00066793" w14:paraId="0C2BB9A8" w14:textId="6F776426">
      <w:pPr>
        <w:pStyle w:val="ParaNum"/>
        <w:widowControl/>
        <w:numPr>
          <w:ilvl w:val="1"/>
          <w:numId w:val="9"/>
        </w:numPr>
      </w:pPr>
      <w:r>
        <w:t xml:space="preserve">Alert originators should expect WEA alerts to be </w:t>
      </w:r>
      <w:r w:rsidR="00B91CBB">
        <w:t>received on a comparable basis</w:t>
      </w:r>
      <w:r>
        <w:t xml:space="preserve"> to people located indoors or outdoors, and irrespective of whether people are using their mobile devices for other purposes at the time their device receives a WEA alert.</w:t>
      </w:r>
    </w:p>
    <w:p w:rsidR="00B16C2D" w:rsidRPr="0062550C" w:rsidP="00066793" w14:paraId="07EA9CFF" w14:textId="28D0E33F">
      <w:pPr>
        <w:pStyle w:val="ParaNum"/>
        <w:widowControl/>
        <w:numPr>
          <w:ilvl w:val="0"/>
          <w:numId w:val="0"/>
        </w:numPr>
        <w:ind w:left="720"/>
      </w:pPr>
      <w:r w:rsidRPr="001A436B">
        <w:t>WEA’s performance nationwide is not necessarily indicative of its performance in any particular alerting jurisdiction</w:t>
      </w:r>
      <w:r>
        <w:t xml:space="preserve">.  WEA’s performance at the local level may vary based on the extent of CMS Providers’ local participation in WEA.  </w:t>
      </w:r>
      <w:r w:rsidR="003D6D92">
        <w:t>PSHSB encourage</w:t>
      </w:r>
      <w:r w:rsidR="00D60211">
        <w:t>s</w:t>
      </w:r>
      <w:r w:rsidR="003D6D92">
        <w:t xml:space="preserve"> state, local, Tribal, and territorial alert originators to use State/Local WEA Test</w:t>
      </w:r>
      <w:r w:rsidR="00BB4E88">
        <w:t xml:space="preserve"> Alerts</w:t>
      </w:r>
      <w:r w:rsidR="003D6D92">
        <w:t xml:space="preserve"> to confirm WEA’s demonstrated performance at the national level within their local jurisdictions</w:t>
      </w:r>
      <w:r w:rsidR="00B37406">
        <w:t xml:space="preserve">.  </w:t>
      </w:r>
      <w:r w:rsidR="000524DB">
        <w:t xml:space="preserve">To this end, </w:t>
      </w:r>
      <w:r w:rsidR="00B37406">
        <w:t xml:space="preserve">PSHSB </w:t>
      </w:r>
      <w:r>
        <w:t>will consider making</w:t>
      </w:r>
      <w:r w:rsidR="00B37406">
        <w:t xml:space="preserve"> its survey questions available to </w:t>
      </w:r>
      <w:r w:rsidR="000524DB">
        <w:t xml:space="preserve">alert originators upon request and anticipates </w:t>
      </w:r>
      <w:r w:rsidR="00B91CBB">
        <w:t xml:space="preserve">working </w:t>
      </w:r>
      <w:r w:rsidR="000524DB">
        <w:t xml:space="preserve">with alert originators going forward to measure WEA’s performance during future tests.  </w:t>
      </w:r>
    </w:p>
    <w:p w:rsidR="008573AF" w:rsidP="00066793" w14:paraId="1F007C4F" w14:textId="70AA9F7B">
      <w:pPr>
        <w:pStyle w:val="ParaNum"/>
        <w:widowControl/>
        <w:numPr>
          <w:ilvl w:val="0"/>
          <w:numId w:val="9"/>
        </w:numPr>
      </w:pPr>
      <w:r>
        <w:rPr>
          <w:b/>
          <w:bCs/>
        </w:rPr>
        <w:t>Continue to w</w:t>
      </w:r>
      <w:r w:rsidR="007431A0">
        <w:rPr>
          <w:b/>
          <w:bCs/>
        </w:rPr>
        <w:t>ork with FEMA to im</w:t>
      </w:r>
      <w:r w:rsidRPr="007431A0" w:rsidR="007431A0">
        <w:rPr>
          <w:b/>
          <w:bCs/>
        </w:rPr>
        <w:t xml:space="preserve">prove </w:t>
      </w:r>
      <w:r>
        <w:rPr>
          <w:b/>
          <w:bCs/>
        </w:rPr>
        <w:t>WEA testing</w:t>
      </w:r>
      <w:r w:rsidRPr="003F4D80" w:rsidR="007431A0">
        <w:rPr>
          <w:b/>
          <w:bCs/>
        </w:rPr>
        <w:t xml:space="preserve">. </w:t>
      </w:r>
      <w:r>
        <w:rPr>
          <w:b/>
          <w:bCs/>
        </w:rPr>
        <w:t xml:space="preserve"> </w:t>
      </w:r>
      <w:r>
        <w:t xml:space="preserve">PSHSB will work with FEMA to ensure that future WEA tests 1) </w:t>
      </w:r>
      <w:r w:rsidR="000524DB">
        <w:t xml:space="preserve">evaluate the accuracy </w:t>
      </w:r>
      <w:r w:rsidR="00886820">
        <w:t xml:space="preserve">and latency </w:t>
      </w:r>
      <w:r w:rsidR="000524DB">
        <w:t xml:space="preserve">of WEA geo-targeting; 2) </w:t>
      </w:r>
      <w:r>
        <w:t>address the challenges of opting in to receive State/Local WEA Test</w:t>
      </w:r>
      <w:r w:rsidR="00BB4E88">
        <w:t xml:space="preserve"> Alerts</w:t>
      </w:r>
      <w:r>
        <w:t xml:space="preserve">, </w:t>
      </w:r>
      <w:r w:rsidR="000524DB">
        <w:t>and 3</w:t>
      </w:r>
      <w:r>
        <w:t>) promote an evenly distributed sample of survey respondents</w:t>
      </w:r>
      <w:r w:rsidR="000524DB">
        <w:t xml:space="preserve"> </w:t>
      </w:r>
      <w:r>
        <w:t>as follows:</w:t>
      </w:r>
    </w:p>
    <w:p w:rsidR="000524DB" w:rsidP="00066793" w14:paraId="3AB3D7DA" w14:textId="640FC684">
      <w:pPr>
        <w:pStyle w:val="ParaNum"/>
        <w:widowControl/>
        <w:numPr>
          <w:ilvl w:val="1"/>
          <w:numId w:val="18"/>
        </w:numPr>
      </w:pPr>
      <w:r>
        <w:t xml:space="preserve">PSHSB will seek out opportunities to test the accuracy </w:t>
      </w:r>
      <w:r w:rsidR="00886820">
        <w:t xml:space="preserve">and latency </w:t>
      </w:r>
      <w:r>
        <w:t xml:space="preserve">of WEA’s geo-targeting </w:t>
      </w:r>
      <w:r w:rsidR="00B91CBB">
        <w:t>by working</w:t>
      </w:r>
      <w:r>
        <w:t xml:space="preserve"> with state, local, Tribal, and territorial emergency management</w:t>
      </w:r>
      <w:r w:rsidR="00B91CBB">
        <w:t xml:space="preserve"> agencies</w:t>
      </w:r>
      <w:r>
        <w:t>.  PSHSB could not use this test to evaluate WEA geo-targeting because of its nationwide nature.</w:t>
      </w:r>
    </w:p>
    <w:p w:rsidR="008573AF" w:rsidP="00066793" w14:paraId="1AD726A4" w14:textId="5CB52958">
      <w:pPr>
        <w:pStyle w:val="ParaNum"/>
        <w:widowControl/>
        <w:numPr>
          <w:ilvl w:val="1"/>
          <w:numId w:val="18"/>
        </w:numPr>
      </w:pPr>
      <w:r>
        <w:t xml:space="preserve">The use of the State/Local WEA Test </w:t>
      </w:r>
      <w:r w:rsidR="00BB4E88">
        <w:t>A</w:t>
      </w:r>
      <w:r w:rsidR="002662EE">
        <w:t xml:space="preserve">lert category </w:t>
      </w:r>
      <w:r>
        <w:t xml:space="preserve">for the 2021 nationwide WEA test had the benefit of not transmitting a WEA test to the general public, many of whom may only be interested in receiving WEA alerts for actual emergencies.  People annoyed by their receipt of an unwanted WEA test could have responded to the test by opting out of WEA alert message classifications used for actual emergencies.  On the other hand, the </w:t>
      </w:r>
      <w:r w:rsidR="007B30CE">
        <w:t xml:space="preserve">incomplete </w:t>
      </w:r>
      <w:r>
        <w:t xml:space="preserve">test survey results suggest that opting into the State/Local WEA Test </w:t>
      </w:r>
      <w:r w:rsidR="00BB4E88">
        <w:t xml:space="preserve">Alert </w:t>
      </w:r>
      <w:r>
        <w:t xml:space="preserve">may have proven difficult </w:t>
      </w:r>
      <w:r w:rsidR="002662EE">
        <w:t xml:space="preserve">or confusing </w:t>
      </w:r>
      <w:r>
        <w:t xml:space="preserve">for </w:t>
      </w:r>
      <w:r w:rsidR="007B30CE">
        <w:t xml:space="preserve">some </w:t>
      </w:r>
      <w:r>
        <w:t xml:space="preserve">test respondents.  </w:t>
      </w:r>
      <w:r>
        <w:t>As a result, the Commission drew from a smaller data set than it could have to generate the findings in this report.  The size of PSHSB’s reliable data set</w:t>
      </w:r>
      <w:r w:rsidR="00925D47">
        <w:t xml:space="preserve"> at times</w:t>
      </w:r>
      <w:r>
        <w:t xml:space="preserve"> limited its ability to reach statistically significant conclusions on </w:t>
      </w:r>
      <w:r w:rsidR="00925D47">
        <w:t xml:space="preserve">some </w:t>
      </w:r>
      <w:r>
        <w:t xml:space="preserve">questions. </w:t>
      </w:r>
    </w:p>
    <w:p w:rsidR="008573AF" w:rsidP="00066793" w14:paraId="6568DC12" w14:textId="0B30CD39">
      <w:pPr>
        <w:pStyle w:val="ParaNum"/>
        <w:widowControl/>
        <w:numPr>
          <w:ilvl w:val="1"/>
          <w:numId w:val="18"/>
        </w:numPr>
      </w:pPr>
      <w:r>
        <w:t>PSHSB</w:t>
      </w:r>
      <w:r>
        <w:t xml:space="preserve"> will </w:t>
      </w:r>
      <w:r w:rsidR="00B91CBB">
        <w:t xml:space="preserve">plan to </w:t>
      </w:r>
      <w:r>
        <w:t>take additional ste</w:t>
      </w:r>
      <w:r w:rsidRPr="00093736">
        <w:t>ps</w:t>
      </w:r>
      <w:r>
        <w:rPr>
          <w:b/>
          <w:bCs/>
        </w:rPr>
        <w:t xml:space="preserve"> </w:t>
      </w:r>
      <w:r>
        <w:t>to promote diversity in its survey responses among CMS networks and states</w:t>
      </w:r>
      <w:r>
        <w:t xml:space="preserve"> in preparation for future WEA tests</w:t>
      </w:r>
      <w:r>
        <w:t xml:space="preserve">.  PSHSB observes two potential areas for improvement with its approach to the design and execution of its survey. </w:t>
      </w:r>
      <w:r w:rsidR="00131ED2">
        <w:t xml:space="preserve"> </w:t>
      </w:r>
      <w:r>
        <w:t xml:space="preserve">First, </w:t>
      </w:r>
      <w:r w:rsidR="007B30CE">
        <w:t>completed survey</w:t>
      </w:r>
      <w:r>
        <w:t xml:space="preserve"> respondents were concentrated on Verizon’s network (155 responses) compared to AT&amp;T’s (99 responses) and T-Mobile’s (44 responses).  Second, </w:t>
      </w:r>
      <w:r w:rsidR="008C22D1">
        <w:t>while efforts were made to ensure broad geographic distribution of Nationwide WEA Test Survey respondents, further steps could be taken in this respect</w:t>
      </w:r>
      <w:r>
        <w:t xml:space="preserve">.  </w:t>
      </w:r>
    </w:p>
    <w:p w:rsidR="00C71E3B" w:rsidP="00066793" w14:paraId="05AFB1B0" w14:textId="70AC8D80">
      <w:pPr>
        <w:pStyle w:val="ParaNum"/>
        <w:widowControl/>
        <w:numPr>
          <w:ilvl w:val="0"/>
          <w:numId w:val="0"/>
        </w:numPr>
        <w:ind w:left="720"/>
      </w:pPr>
      <w:r>
        <w:t xml:space="preserve">FEMA and PSHSB improved upon </w:t>
      </w:r>
      <w:r w:rsidR="00392F97">
        <w:t>their</w:t>
      </w:r>
      <w:r>
        <w:t xml:space="preserve"> 2018 approach to the nationwide WEA test in 2021 and </w:t>
      </w:r>
      <w:r w:rsidR="00B91CBB">
        <w:t xml:space="preserve">PSHSB </w:t>
      </w:r>
      <w:r>
        <w:t xml:space="preserve">will </w:t>
      </w:r>
      <w:r w:rsidR="00B91CBB">
        <w:t xml:space="preserve">plan to work with FEMA to </w:t>
      </w:r>
      <w:r>
        <w:t>continue to do so going forward.</w:t>
      </w:r>
    </w:p>
    <w:p w:rsidR="00B570B2" w:rsidP="00066793" w14:paraId="6C9A523E" w14:textId="21F4FE8C">
      <w:pPr>
        <w:pStyle w:val="ParaNum"/>
        <w:widowControl/>
        <w:numPr>
          <w:ilvl w:val="0"/>
          <w:numId w:val="9"/>
        </w:numPr>
      </w:pPr>
      <w:r>
        <w:rPr>
          <w:b/>
          <w:bCs/>
        </w:rPr>
        <w:t>Examine non-receipt</w:t>
      </w:r>
      <w:r w:rsidR="00061AB2">
        <w:rPr>
          <w:b/>
          <w:bCs/>
        </w:rPr>
        <w:t xml:space="preserve"> </w:t>
      </w:r>
      <w:r>
        <w:rPr>
          <w:b/>
          <w:bCs/>
        </w:rPr>
        <w:t>of the nationwide WEA test and generate recommendations for improving WEA’s reliability</w:t>
      </w:r>
      <w:r>
        <w:t xml:space="preserve">.  PSHSB will </w:t>
      </w:r>
      <w:r w:rsidR="000524DB">
        <w:t xml:space="preserve">attempt to </w:t>
      </w:r>
      <w:r>
        <w:t xml:space="preserve">identify </w:t>
      </w:r>
      <w:r w:rsidR="008C383D">
        <w:t xml:space="preserve">why </w:t>
      </w:r>
      <w:r>
        <w:t xml:space="preserve">10.2% of mobile devices in the </w:t>
      </w:r>
      <w:r w:rsidR="007B30CE">
        <w:t>completed survey response</w:t>
      </w:r>
      <w:r>
        <w:t xml:space="preserve"> group did not receive the nationwide WEA test, develop recommendations for closing this gap, and continue to assess WEA’s reliability through further testing.  The fact </w:t>
      </w:r>
      <w:r w:rsidR="008C383D">
        <w:t xml:space="preserve">that every </w:t>
      </w:r>
      <w:r>
        <w:t>mobile device</w:t>
      </w:r>
      <w:r w:rsidR="008C383D">
        <w:t xml:space="preserve"> in the group</w:t>
      </w:r>
      <w:r>
        <w:t xml:space="preserve"> that </w:t>
      </w:r>
      <w:r w:rsidR="008C383D">
        <w:t>failed to</w:t>
      </w:r>
      <w:r>
        <w:t xml:space="preserve"> receive the nationwide WEA test w</w:t>
      </w:r>
      <w:r w:rsidR="008C383D">
        <w:t>as</w:t>
      </w:r>
      <w:r>
        <w:t xml:space="preserve"> identified by Participating CMS Providers as </w:t>
      </w:r>
      <w:r w:rsidR="00061AB2">
        <w:t>incapable of enhanced WEA geo-targeting</w:t>
      </w:r>
      <w:r w:rsidR="008C383D">
        <w:t xml:space="preserve"> may suggest that causes of WEA non-receipt have already been addressed by the newest smartphone models. </w:t>
      </w:r>
      <w:r w:rsidR="00061AB2">
        <w:t xml:space="preserve"> </w:t>
      </w:r>
    </w:p>
    <w:p w:rsidR="00061AB2" w:rsidP="00066793" w14:paraId="41B8FC9E" w14:textId="70C3EADD">
      <w:pPr>
        <w:pStyle w:val="ParaNum"/>
        <w:widowControl/>
        <w:numPr>
          <w:ilvl w:val="0"/>
          <w:numId w:val="9"/>
        </w:numPr>
      </w:pPr>
      <w:r>
        <w:rPr>
          <w:b/>
          <w:bCs/>
        </w:rPr>
        <w:t xml:space="preserve">Examine duplicate receipt of the nationwide WEA test and generate recommendations for improving WEA’s performance.  </w:t>
      </w:r>
      <w:r>
        <w:t xml:space="preserve">PSHSB will also </w:t>
      </w:r>
      <w:r>
        <w:t>continue to attempt to identify why 32</w:t>
      </w:r>
      <w:r w:rsidR="00886820">
        <w:t>.0</w:t>
      </w:r>
      <w:r>
        <w:t xml:space="preserve">% of mobile devices in the </w:t>
      </w:r>
      <w:r w:rsidR="007B30CE">
        <w:t>completed survey response</w:t>
      </w:r>
      <w:r>
        <w:t xml:space="preserve"> group received a duplicate test message, develop </w:t>
      </w:r>
      <w:r>
        <w:t xml:space="preserve">recommendations for preventing duplicate WEA </w:t>
      </w:r>
      <w:r>
        <w:t>messages</w:t>
      </w:r>
      <w:r>
        <w:t xml:space="preserve"> </w:t>
      </w:r>
      <w:r w:rsidR="00FF4994">
        <w:t>from being delivered to the public</w:t>
      </w:r>
      <w:r>
        <w:t>, and continue to assess WEA’s performance in this regard through future testing</w:t>
      </w:r>
      <w:r w:rsidR="00FF4994">
        <w:t xml:space="preserve">.  </w:t>
      </w:r>
      <w:r>
        <w:t xml:space="preserve">Recommended </w:t>
      </w:r>
      <w:r w:rsidR="00FF4994">
        <w:t>measures may include allowing a unique alert message ID to be associated with each WEA alert, either at the point of alert origination or at IPAWS, which mobile devices could use to suppress duplicate alerts more effectively than the current approach based on CMS Provider-assigned serial numbers.</w:t>
      </w:r>
    </w:p>
    <w:p w:rsidR="00061AB2" w:rsidRPr="00FF4994" w:rsidP="00066793" w14:paraId="4B4A8FA1" w14:textId="71F20770">
      <w:pPr>
        <w:pStyle w:val="ParaNum"/>
        <w:widowControl/>
        <w:numPr>
          <w:ilvl w:val="0"/>
          <w:numId w:val="9"/>
        </w:numPr>
      </w:pPr>
      <w:r>
        <w:rPr>
          <w:b/>
          <w:bCs/>
        </w:rPr>
        <w:t>Remind CMS Providers about critical Communications Security, Reliability, and Interoperability Council (CSRIC) network reliability best practices likely to affect their provision of reliable WEA service.</w:t>
      </w:r>
      <w:r>
        <w:t xml:space="preserve">  PSHSB encourages Participating CMS Providers to follow CSRIC network reliability practices regarding the administration and operation of their WEA service.</w:t>
      </w:r>
      <w:r>
        <w:rPr>
          <w:rStyle w:val="FootnoteReference"/>
        </w:rPr>
        <w:footnoteReference w:id="106"/>
      </w:r>
      <w:r>
        <w:t xml:space="preserve">  </w:t>
      </w:r>
      <w:r w:rsidR="008C22D1">
        <w:t>For example,</w:t>
      </w:r>
      <w:r>
        <w:t xml:space="preserve"> CSRIC network reliability best practice</w:t>
      </w:r>
      <w:r w:rsidR="00FF4994">
        <w:t xml:space="preserve"> </w:t>
      </w:r>
      <w:r w:rsidRPr="0025224A">
        <w:rPr>
          <w:color w:val="201F1E"/>
          <w:bdr w:val="none" w:sz="0" w:space="0" w:color="auto" w:frame="1"/>
        </w:rPr>
        <w:t>#</w:t>
      </w:r>
      <w:r w:rsidRPr="0025224A">
        <w:rPr>
          <w:color w:val="000000"/>
          <w:shd w:val="clear" w:color="auto" w:fill="FFFFFF"/>
        </w:rPr>
        <w:t>12-10-0559</w:t>
      </w:r>
      <w:r w:rsidR="002C60D4">
        <w:t xml:space="preserve"> states that</w:t>
      </w:r>
      <w:r w:rsidRPr="00FF4994">
        <w:t xml:space="preserve"> </w:t>
      </w:r>
      <w:r w:rsidRPr="0025224A">
        <w:rPr>
          <w:color w:val="000000"/>
        </w:rPr>
        <w:t>Network Operators, Service Providers, and Public Safety should consider validating upgrades, new procedures and commands in a lab or other test environment that simulates the target network and load prior to the first application in the field.</w:t>
      </w:r>
      <w:r w:rsidR="00FF4994">
        <w:rPr>
          <w:color w:val="000000"/>
        </w:rPr>
        <w:t xml:space="preserve">  </w:t>
      </w:r>
      <w:r w:rsidR="00B91CBB">
        <w:rPr>
          <w:color w:val="000000"/>
        </w:rPr>
        <w:t>PSHSB plan</w:t>
      </w:r>
      <w:r w:rsidR="00D44FA3">
        <w:rPr>
          <w:color w:val="000000"/>
        </w:rPr>
        <w:t>s to remind Participating CMS Providers about the CSRIC network reliability best practices that bear on their performance of WEA to</w:t>
      </w:r>
      <w:r w:rsidR="00B91CBB">
        <w:rPr>
          <w:color w:val="000000"/>
        </w:rPr>
        <w:t xml:space="preserve"> help to prevent or decrease recurrence of </w:t>
      </w:r>
      <w:r w:rsidR="00D44FA3">
        <w:rPr>
          <w:color w:val="000000"/>
        </w:rPr>
        <w:t>system reliability and integrity issues</w:t>
      </w:r>
      <w:r w:rsidR="00B91CBB">
        <w:rPr>
          <w:color w:val="000000"/>
        </w:rPr>
        <w:t xml:space="preserve">.  </w:t>
      </w:r>
    </w:p>
    <w:p w:rsidR="00513FC0" w:rsidP="00066793" w14:paraId="23E5A020" w14:textId="3580E02C">
      <w:pPr>
        <w:pStyle w:val="ParaNum"/>
        <w:widowControl/>
        <w:numPr>
          <w:ilvl w:val="0"/>
          <w:numId w:val="9"/>
        </w:numPr>
      </w:pPr>
      <w:r>
        <w:rPr>
          <w:b/>
          <w:bCs/>
        </w:rPr>
        <w:t>Examine</w:t>
      </w:r>
      <w:r w:rsidRPr="006F1DDF" w:rsidR="00524B70">
        <w:rPr>
          <w:b/>
          <w:bCs/>
        </w:rPr>
        <w:t xml:space="preserve"> the extent to which MVNOs </w:t>
      </w:r>
      <w:r w:rsidR="00516D45">
        <w:rPr>
          <w:b/>
          <w:bCs/>
        </w:rPr>
        <w:t xml:space="preserve">and </w:t>
      </w:r>
      <w:r w:rsidR="00D264B4">
        <w:rPr>
          <w:b/>
          <w:bCs/>
        </w:rPr>
        <w:t xml:space="preserve">other communications service </w:t>
      </w:r>
      <w:r w:rsidRPr="007431A0" w:rsidR="00D264B4">
        <w:rPr>
          <w:b/>
          <w:bCs/>
        </w:rPr>
        <w:t>providers</w:t>
      </w:r>
      <w:r w:rsidR="00516D45">
        <w:rPr>
          <w:b/>
          <w:bCs/>
        </w:rPr>
        <w:t xml:space="preserve"> </w:t>
      </w:r>
      <w:r w:rsidR="0062550C">
        <w:rPr>
          <w:b/>
          <w:bCs/>
        </w:rPr>
        <w:t xml:space="preserve">support </w:t>
      </w:r>
      <w:r w:rsidRPr="006F1DDF" w:rsidR="00524B70">
        <w:rPr>
          <w:b/>
          <w:bCs/>
        </w:rPr>
        <w:t>WEA</w:t>
      </w:r>
      <w:r w:rsidR="007431A0">
        <w:rPr>
          <w:b/>
          <w:bCs/>
        </w:rPr>
        <w:t xml:space="preserve"> and encourage them to formally participate</w:t>
      </w:r>
      <w:r w:rsidR="00524B70">
        <w:t>.</w:t>
      </w:r>
      <w:r w:rsidR="00CE5E9F">
        <w:t xml:space="preserve">  </w:t>
      </w:r>
      <w:r w:rsidR="003D6D92">
        <w:t xml:space="preserve">PSHSB recommends assessing how MVNOs participate in WEA, and to what extent.  </w:t>
      </w:r>
      <w:r w:rsidR="00CE5E9F">
        <w:t>The 2021 nationwide WEA test demonstrates that the public is able to receive WEA alerts while on MVNO networks.</w:t>
      </w:r>
      <w:r>
        <w:rPr>
          <w:rStyle w:val="FootnoteReference"/>
        </w:rPr>
        <w:footnoteReference w:id="107"/>
      </w:r>
      <w:r w:rsidR="00CE5E9F">
        <w:t xml:space="preserve">  </w:t>
      </w:r>
      <w:r w:rsidR="00AB0130">
        <w:t>S</w:t>
      </w:r>
      <w:r w:rsidR="00A24E64">
        <w:t>urvey respondents report receiving WEA alerts while on</w:t>
      </w:r>
      <w:r w:rsidR="00AB0130">
        <w:t xml:space="preserve"> the networks of</w:t>
      </w:r>
      <w:r w:rsidR="00A24E64">
        <w:t xml:space="preserve"> MVNO</w:t>
      </w:r>
      <w:r w:rsidR="00AB0130">
        <w:t>s</w:t>
      </w:r>
      <w:r w:rsidR="00A24E64">
        <w:t xml:space="preserve"> that have not </w:t>
      </w:r>
      <w:r w:rsidR="008D4671">
        <w:t xml:space="preserve">formally submitted to the Commission </w:t>
      </w:r>
      <w:r w:rsidR="00AB0130">
        <w:t>letters attesting to their intent</w:t>
      </w:r>
      <w:r w:rsidR="00A24E64">
        <w:t xml:space="preserve"> to participate in WEA</w:t>
      </w:r>
      <w:r w:rsidR="00AB0130">
        <w:t xml:space="preserve"> pursuant to the Commission’s rules</w:t>
      </w:r>
      <w:r w:rsidR="000524DB">
        <w:t>.</w:t>
      </w:r>
      <w:r w:rsidR="00C41DC8">
        <w:t xml:space="preserve"> </w:t>
      </w:r>
      <w:r w:rsidR="00240290">
        <w:t xml:space="preserve">Understanding the extent which MVNOs </w:t>
      </w:r>
      <w:r w:rsidR="003163EF">
        <w:t xml:space="preserve">and other </w:t>
      </w:r>
      <w:r w:rsidR="00D264B4">
        <w:t xml:space="preserve">service </w:t>
      </w:r>
      <w:r w:rsidR="003163EF">
        <w:t xml:space="preserve">providers </w:t>
      </w:r>
      <w:r w:rsidR="00240290">
        <w:t>participate in WEA is an important part of enabling emergency management agencies to understand how WEA will work in practice within their jurisdictions and an important part of the Commission’s situational awareness.</w:t>
      </w:r>
      <w:r w:rsidR="007431A0">
        <w:t xml:space="preserve">  </w:t>
      </w:r>
      <w:r w:rsidR="006B2BA6">
        <w:t>Insofar as MVNOs participate in WEA, they may formally elect to do so by filing a letter in the Commission’s WEA election docket</w:t>
      </w:r>
      <w:r w:rsidR="007431A0">
        <w:t>.</w:t>
      </w:r>
      <w:r>
        <w:rPr>
          <w:rStyle w:val="FootnoteReference"/>
        </w:rPr>
        <w:footnoteReference w:id="108"/>
      </w:r>
    </w:p>
    <w:p w:rsidR="00AB27FA" w:rsidP="00066793" w14:paraId="08E5FBEF" w14:textId="399D6671">
      <w:pPr>
        <w:pStyle w:val="Heading1"/>
        <w:widowControl/>
      </w:pPr>
      <w:bookmarkStart w:id="189" w:name="_Toc83909804"/>
      <w:bookmarkStart w:id="190" w:name="_Toc83911829"/>
      <w:bookmarkStart w:id="191" w:name="_Toc84335333"/>
      <w:bookmarkStart w:id="192" w:name="_Toc84597888"/>
      <w:bookmarkStart w:id="193" w:name="_Toc84926108"/>
      <w:bookmarkStart w:id="194" w:name="_Toc84933043"/>
      <w:bookmarkStart w:id="195" w:name="_Toc85552936"/>
      <w:r>
        <w:t>Conclusion</w:t>
      </w:r>
      <w:bookmarkEnd w:id="189"/>
      <w:bookmarkEnd w:id="190"/>
      <w:bookmarkEnd w:id="191"/>
      <w:bookmarkEnd w:id="192"/>
      <w:bookmarkEnd w:id="193"/>
      <w:bookmarkEnd w:id="194"/>
      <w:bookmarkEnd w:id="195"/>
    </w:p>
    <w:p w:rsidR="00F54916" w:rsidRPr="00F54916" w:rsidP="00066793" w14:paraId="3FD4D382" w14:textId="5B5E38C0">
      <w:pPr>
        <w:pStyle w:val="ParaNum"/>
        <w:widowControl/>
        <w:rPr>
          <w:bCs/>
        </w:rPr>
      </w:pPr>
      <w:r w:rsidRPr="0007383E">
        <w:t>The 20</w:t>
      </w:r>
      <w:r>
        <w:t>21</w:t>
      </w:r>
      <w:r w:rsidRPr="0007383E">
        <w:t xml:space="preserve"> nationwide </w:t>
      </w:r>
      <w:r w:rsidR="002D170B">
        <w:t>WEA</w:t>
      </w:r>
      <w:r w:rsidRPr="0007383E">
        <w:t xml:space="preserve"> test </w:t>
      </w:r>
      <w:r w:rsidR="00F10774">
        <w:t>successfully</w:t>
      </w:r>
      <w:r w:rsidRPr="0007383E">
        <w:t xml:space="preserve"> demonstrated that the nationwide </w:t>
      </w:r>
      <w:r w:rsidR="002D170B">
        <w:t>WEA</w:t>
      </w:r>
      <w:r w:rsidRPr="0007383E">
        <w:t xml:space="preserve"> </w:t>
      </w:r>
      <w:r w:rsidR="00F10774">
        <w:t xml:space="preserve">system </w:t>
      </w:r>
      <w:r w:rsidRPr="0007383E">
        <w:t>would largely perform as designed</w:t>
      </w:r>
      <w:r w:rsidR="002D170B">
        <w:t xml:space="preserve"> if needed for </w:t>
      </w:r>
      <w:r w:rsidR="00AF4ABB">
        <w:t>a national emergency.</w:t>
      </w:r>
      <w:r w:rsidRPr="0007383E">
        <w:t xml:space="preserve">  </w:t>
      </w:r>
      <w:r w:rsidR="00050005">
        <w:t xml:space="preserve">The 2021 nationwide WEA test was also successful in allowing </w:t>
      </w:r>
      <w:r w:rsidR="00F10774">
        <w:t>PSHSB</w:t>
      </w:r>
      <w:r w:rsidR="00050005">
        <w:t xml:space="preserve"> to </w:t>
      </w:r>
      <w:r w:rsidR="00E75E19">
        <w:t>measure</w:t>
      </w:r>
      <w:r w:rsidR="00050005">
        <w:t>, for the first time, WEA’s reliability</w:t>
      </w:r>
      <w:r w:rsidR="00944CF7">
        <w:t xml:space="preserve"> and </w:t>
      </w:r>
      <w:r w:rsidR="00050005">
        <w:t xml:space="preserve">latency.  </w:t>
      </w:r>
      <w:r w:rsidRPr="000045D6" w:rsidR="000045D6">
        <w:t xml:space="preserve">At </w:t>
      </w:r>
      <w:r w:rsidRPr="000045D6" w:rsidR="000045D6">
        <w:t>the same time, the test exposed deficiencies within the system that require improvement.</w:t>
      </w:r>
      <w:r w:rsidR="00532AD0">
        <w:t xml:space="preserve">  </w:t>
      </w:r>
      <w:r w:rsidR="00F10774">
        <w:t xml:space="preserve">Over 10% of mobile devices failed to receive the test message intended for them.  </w:t>
      </w:r>
      <w:r w:rsidR="00B16C2D">
        <w:t>Thirty-two percent</w:t>
      </w:r>
      <w:r w:rsidR="0081048C">
        <w:t xml:space="preserve"> of  respondent</w:t>
      </w:r>
      <w:r w:rsidR="006854F4">
        <w:t>s completing the survey</w:t>
      </w:r>
      <w:r w:rsidR="0081048C">
        <w:t xml:space="preserve"> report receiving </w:t>
      </w:r>
      <w:r w:rsidR="00FF5EC6">
        <w:t xml:space="preserve">a </w:t>
      </w:r>
      <w:r w:rsidR="0081048C">
        <w:t xml:space="preserve">duplicate </w:t>
      </w:r>
      <w:r w:rsidR="00FF5EC6">
        <w:t>test message</w:t>
      </w:r>
      <w:r w:rsidR="0081048C">
        <w:t>.</w:t>
      </w:r>
      <w:r w:rsidR="00FB67DB">
        <w:t xml:space="preserve">  </w:t>
      </w:r>
      <w:r w:rsidRPr="00F54916">
        <w:rPr>
          <w:bCs/>
        </w:rPr>
        <w:t xml:space="preserve">The Bureau will continue to work with FEMA, </w:t>
      </w:r>
      <w:r w:rsidRPr="00A96ABB">
        <w:rPr>
          <w:bCs/>
        </w:rPr>
        <w:t>wireless providers</w:t>
      </w:r>
      <w:r w:rsidRPr="00F54916">
        <w:rPr>
          <w:bCs/>
        </w:rPr>
        <w:t xml:space="preserve">, and other </w:t>
      </w:r>
      <w:r w:rsidRPr="00A96ABB">
        <w:rPr>
          <w:bCs/>
        </w:rPr>
        <w:t xml:space="preserve">WEA </w:t>
      </w:r>
      <w:r w:rsidRPr="00F54916">
        <w:rPr>
          <w:bCs/>
        </w:rPr>
        <w:t xml:space="preserve">stakeholders to improve the system and ensure that </w:t>
      </w:r>
      <w:r w:rsidRPr="00A96ABB">
        <w:rPr>
          <w:bCs/>
        </w:rPr>
        <w:t>WEA</w:t>
      </w:r>
      <w:r w:rsidRPr="00F54916">
        <w:rPr>
          <w:bCs/>
        </w:rPr>
        <w:t xml:space="preserve"> remains effective and can transmit timely and accurate alerts to the public when they are needed the most.  </w:t>
      </w:r>
    </w:p>
    <w:p w:rsidR="00F54916" w:rsidRPr="001D75E9" w:rsidP="00066793" w14:paraId="3EB5A3C0" w14:textId="77777777">
      <w:pPr>
        <w:pStyle w:val="ParaNum"/>
        <w:widowControl/>
        <w:numPr>
          <w:ilvl w:val="0"/>
          <w:numId w:val="0"/>
        </w:numPr>
        <w:ind w:left="720"/>
      </w:pPr>
    </w:p>
    <w:sectPr w:rsidSect="00FA46D5">
      <w:headerReference w:type="default" r:id="rId8"/>
      <w:footerReference w:type="even" r:id="rId9"/>
      <w:footerReference w:type="default" r:id="rId10"/>
      <w:headerReference w:type="first" r:id="rId11"/>
      <w:endnotePr>
        <w:numFmt w:val="decimal"/>
      </w:endnotePr>
      <w:pgSz w:w="12240" w:h="15840"/>
      <w:pgMar w:top="1440" w:right="1440" w:bottom="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6D25" w:rsidP="0055614C" w14:paraId="7240521D" w14:textId="77777777">
    <w:pPr>
      <w:pStyle w:val="Footer"/>
      <w:framePr w:wrap="around" w:vAnchor="text" w:hAnchor="margin" w:xAlign="center" w:y="1"/>
    </w:pPr>
    <w:r>
      <w:fldChar w:fldCharType="begin"/>
    </w:r>
    <w:r>
      <w:instrText xml:space="preserve">PAGE  </w:instrText>
    </w:r>
    <w:r>
      <w:fldChar w:fldCharType="separate"/>
    </w:r>
    <w:r>
      <w:fldChar w:fldCharType="end"/>
    </w:r>
  </w:p>
  <w:p w:rsidR="00766D25" w14:paraId="289B0B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6D25" w14:paraId="2BA710B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6D25" w14:paraId="562BD12F" w14:textId="77777777">
      <w:r>
        <w:separator/>
      </w:r>
    </w:p>
  </w:footnote>
  <w:footnote w:type="continuationSeparator" w:id="1">
    <w:p w:rsidR="00766D25" w:rsidP="00C721AC" w14:paraId="566FFA25" w14:textId="77777777">
      <w:pPr>
        <w:spacing w:before="120"/>
        <w:rPr>
          <w:sz w:val="20"/>
        </w:rPr>
      </w:pPr>
      <w:r>
        <w:rPr>
          <w:sz w:val="20"/>
        </w:rPr>
        <w:t xml:space="preserve">(Continued from previous page)  </w:t>
      </w:r>
      <w:r>
        <w:rPr>
          <w:sz w:val="20"/>
        </w:rPr>
        <w:separator/>
      </w:r>
    </w:p>
  </w:footnote>
  <w:footnote w:type="continuationNotice" w:id="2">
    <w:p w:rsidR="00766D25" w:rsidP="00C721AC" w14:paraId="3D2A40D8" w14:textId="77777777">
      <w:pPr>
        <w:jc w:val="right"/>
        <w:rPr>
          <w:sz w:val="20"/>
        </w:rPr>
      </w:pPr>
      <w:r>
        <w:rPr>
          <w:sz w:val="20"/>
        </w:rPr>
        <w:t>(continued….)</w:t>
      </w:r>
    </w:p>
  </w:footnote>
  <w:footnote w:id="3">
    <w:p w:rsidR="00766D25" w:rsidRPr="006B79D2" w:rsidP="004316E3" w14:paraId="4F5FE55D" w14:textId="5D71E8AF">
      <w:pPr>
        <w:pStyle w:val="FootnoteText"/>
        <w:rPr>
          <w:i/>
          <w:iCs/>
        </w:rPr>
      </w:pPr>
      <w:r>
        <w:rPr>
          <w:rStyle w:val="FootnoteReference"/>
        </w:rPr>
        <w:footnoteRef/>
      </w:r>
      <w:r>
        <w:t xml:space="preserve"> </w:t>
      </w:r>
      <w:r w:rsidRPr="0004693D">
        <w:rPr>
          <w:i/>
          <w:iCs/>
        </w:rPr>
        <w:t>See</w:t>
      </w:r>
      <w:r w:rsidRPr="0004693D">
        <w:t xml:space="preserve"> </w:t>
      </w:r>
      <w:r w:rsidRPr="0004693D">
        <w:rPr>
          <w:rStyle w:val="markedcontent"/>
        </w:rPr>
        <w:t>Warning, Alert, and Response Network Act, Title VI of the Security and Accountability for Every Port Act of 2006, Pub. L. No. 109-347, 120 Stat. 1884 (2006)</w:t>
      </w:r>
      <w:r>
        <w:rPr>
          <w:rStyle w:val="markedcontent"/>
        </w:rPr>
        <w:t xml:space="preserve"> (WARN Act)</w:t>
      </w:r>
      <w:r w:rsidRPr="0004693D">
        <w:rPr>
          <w:rStyle w:val="markedcontent"/>
        </w:rPr>
        <w:t>.</w:t>
      </w:r>
      <w:r w:rsidRPr="00102D5B">
        <w:rPr>
          <w:rStyle w:val="markedcontent"/>
          <w:i/>
          <w:iCs/>
        </w:rPr>
        <w:t xml:space="preserve"> </w:t>
      </w:r>
      <w:r>
        <w:rPr>
          <w:rStyle w:val="markedcontent"/>
          <w:i/>
          <w:iCs/>
        </w:rPr>
        <w:t xml:space="preserve"> See also </w:t>
      </w:r>
      <w:r w:rsidRPr="00A35BB5">
        <w:t xml:space="preserve">47 CFR </w:t>
      </w:r>
      <w:r w:rsidRPr="00A35BB5">
        <w:rPr>
          <w:bCs/>
        </w:rPr>
        <w:t xml:space="preserve">§ </w:t>
      </w:r>
      <w:r w:rsidRPr="00A35BB5">
        <w:t>10.10(d) (defining a Commercial Mobile Service Provider for the purpose of WEA as “an FCC licensee providing commercial mobile service as defined in section 332(d)(1) of the Communications Act of 1934</w:t>
      </w:r>
      <w:r>
        <w:t>”</w:t>
      </w:r>
      <w:r w:rsidRPr="00A35BB5">
        <w:t>); 47 U</w:t>
      </w:r>
      <w:r>
        <w:t>.</w:t>
      </w:r>
      <w:r w:rsidRPr="00A35BB5">
        <w:t>S</w:t>
      </w:r>
      <w:r>
        <w:t>.</w:t>
      </w:r>
      <w:r w:rsidRPr="00A35BB5">
        <w:t>C</w:t>
      </w:r>
      <w:r>
        <w:t>.</w:t>
      </w:r>
      <w:r w:rsidRPr="00A35BB5">
        <w:t xml:space="preserve"> </w:t>
      </w:r>
      <w:r w:rsidRPr="00A35BB5">
        <w:rPr>
          <w:bCs/>
        </w:rPr>
        <w:t>§</w:t>
      </w:r>
      <w:r w:rsidRPr="00A35BB5">
        <w:t xml:space="preserve"> 332(d)(1) (defining the term </w:t>
      </w:r>
      <w:r>
        <w:t>“</w:t>
      </w:r>
      <w:r w:rsidRPr="00A35BB5">
        <w:t>commercial mobile service</w:t>
      </w:r>
      <w:r>
        <w:t>”</w:t>
      </w:r>
      <w:r w:rsidRPr="00A35BB5">
        <w:t xml:space="preserve"> as </w:t>
      </w:r>
      <w:r>
        <w:t>“</w:t>
      </w:r>
      <w:r w:rsidRPr="00A35BB5">
        <w:t>any mobile service (as defined in</w:t>
      </w:r>
      <w:r>
        <w:t xml:space="preserve"> 47 U.S.C. </w:t>
      </w:r>
      <w:r w:rsidRPr="00A35BB5">
        <w:rPr>
          <w:bCs/>
        </w:rPr>
        <w:t>§</w:t>
      </w:r>
      <w:r>
        <w:rPr>
          <w:bCs/>
        </w:rPr>
        <w:t xml:space="preserve"> 153</w:t>
      </w:r>
      <w:r w:rsidRPr="00A35BB5">
        <w:t xml:space="preserve">) that is provided for profit and makes interconnected service available </w:t>
      </w:r>
      <w:r>
        <w:t xml:space="preserve">(A) </w:t>
      </w:r>
      <w:r w:rsidRPr="00A35BB5">
        <w:t xml:space="preserve">to the public or </w:t>
      </w:r>
      <w:r>
        <w:t xml:space="preserve">(B) </w:t>
      </w:r>
      <w:r w:rsidRPr="00A35BB5">
        <w:t>to such classes of eligible users as to be effectively available to a substantial portion of the public, as specified by regulation by the Commission”)</w:t>
      </w:r>
      <w:r>
        <w:t>.</w:t>
      </w:r>
    </w:p>
  </w:footnote>
  <w:footnote w:id="4">
    <w:p w:rsidR="00766D25" w:rsidRPr="000176EB" w:rsidP="0010164F" w14:paraId="1EA69D03" w14:textId="5C67A7E8">
      <w:pPr>
        <w:pStyle w:val="FootnoteText"/>
      </w:pPr>
      <w:r>
        <w:rPr>
          <w:rStyle w:val="FootnoteReference"/>
        </w:rPr>
        <w:footnoteRef/>
      </w:r>
      <w:r>
        <w:t xml:space="preserve"> </w:t>
      </w:r>
      <w:r w:rsidRPr="00521103">
        <w:rPr>
          <w:i/>
          <w:iCs/>
        </w:rPr>
        <w:t>Commercial Mobile Alert System</w:t>
      </w:r>
      <w:r w:rsidRPr="000176EB">
        <w:t xml:space="preserve">, PS Docket No. 07-287, </w:t>
      </w:r>
      <w:r w:rsidRPr="00521103">
        <w:t>First Report and Order</w:t>
      </w:r>
      <w:r w:rsidRPr="000176EB">
        <w:t>, 23 FCC Rcd 6144 (2008) (</w:t>
      </w:r>
      <w:r w:rsidRPr="009E14E0">
        <w:rPr>
          <w:i/>
          <w:iCs/>
        </w:rPr>
        <w:t xml:space="preserve">WEA First </w:t>
      </w:r>
      <w:r>
        <w:rPr>
          <w:i/>
          <w:iCs/>
        </w:rPr>
        <w:t xml:space="preserve">Report and </w:t>
      </w:r>
      <w:r w:rsidRPr="009E14E0">
        <w:rPr>
          <w:i/>
          <w:iCs/>
        </w:rPr>
        <w:t>Order</w:t>
      </w:r>
      <w:r w:rsidRPr="000176EB">
        <w:t xml:space="preserve">); </w:t>
      </w:r>
      <w:r w:rsidRPr="00521103">
        <w:rPr>
          <w:i/>
          <w:iCs/>
        </w:rPr>
        <w:t>Commercial Mobile Alert System</w:t>
      </w:r>
      <w:r w:rsidRPr="000176EB">
        <w:t xml:space="preserve">, PS Docket No. 07-287, </w:t>
      </w:r>
      <w:r w:rsidRPr="00521103">
        <w:t>Second Report and Order and Further Notice of Proposed Rulemaking,</w:t>
      </w:r>
      <w:r w:rsidRPr="000176EB">
        <w:t xml:space="preserve"> 23 FCC Rcd 10765 (2008) (</w:t>
      </w:r>
      <w:r w:rsidRPr="009E14E0">
        <w:rPr>
          <w:i/>
          <w:iCs/>
        </w:rPr>
        <w:t xml:space="preserve">WEA Second </w:t>
      </w:r>
      <w:r>
        <w:rPr>
          <w:i/>
          <w:iCs/>
        </w:rPr>
        <w:t xml:space="preserve">Report and </w:t>
      </w:r>
      <w:r w:rsidRPr="009E14E0">
        <w:rPr>
          <w:i/>
          <w:iCs/>
        </w:rPr>
        <w:t>Order</w:t>
      </w:r>
      <w:r w:rsidRPr="000176EB">
        <w:t xml:space="preserve">); </w:t>
      </w:r>
      <w:r w:rsidRPr="00521103">
        <w:rPr>
          <w:i/>
          <w:iCs/>
        </w:rPr>
        <w:t>Commercial Mobile Alert System</w:t>
      </w:r>
      <w:r w:rsidRPr="000176EB">
        <w:t xml:space="preserve">, PS Docket No. 07-287, </w:t>
      </w:r>
      <w:r w:rsidRPr="00521103">
        <w:t>Third Report and Order</w:t>
      </w:r>
      <w:r w:rsidRPr="000176EB">
        <w:rPr>
          <w:i/>
          <w:iCs/>
        </w:rPr>
        <w:t xml:space="preserve">, </w:t>
      </w:r>
      <w:r w:rsidRPr="000176EB">
        <w:t xml:space="preserve">23 FCC Rcd 12561 (2008) revised by </w:t>
      </w:r>
      <w:r w:rsidRPr="009E14E0">
        <w:rPr>
          <w:i/>
          <w:iCs/>
        </w:rPr>
        <w:t>Erratum</w:t>
      </w:r>
      <w:r w:rsidRPr="000176EB">
        <w:t xml:space="preserve"> (dated Sep. 5, 2008) (</w:t>
      </w:r>
      <w:r w:rsidRPr="009E14E0">
        <w:rPr>
          <w:i/>
          <w:iCs/>
        </w:rPr>
        <w:t xml:space="preserve">WEA Third </w:t>
      </w:r>
      <w:r>
        <w:rPr>
          <w:i/>
          <w:iCs/>
        </w:rPr>
        <w:t xml:space="preserve">Report and </w:t>
      </w:r>
      <w:r w:rsidRPr="009E14E0">
        <w:rPr>
          <w:i/>
          <w:iCs/>
        </w:rPr>
        <w:t>Order</w:t>
      </w:r>
      <w:r w:rsidRPr="000176EB">
        <w:t>).</w:t>
      </w:r>
      <w:r>
        <w:rPr>
          <w:rStyle w:val="markedcontent"/>
        </w:rPr>
        <w:t xml:space="preserve">  </w:t>
      </w:r>
    </w:p>
  </w:footnote>
  <w:footnote w:id="5">
    <w:p w:rsidR="00766D25" w:rsidP="00312AFD" w14:paraId="64890DCA" w14:textId="079D8C83">
      <w:pPr>
        <w:pStyle w:val="FootnoteText"/>
      </w:pPr>
      <w:r>
        <w:rPr>
          <w:rStyle w:val="FootnoteReference"/>
        </w:rPr>
        <w:footnoteRef/>
      </w:r>
      <w:r>
        <w:t xml:space="preserve"> </w:t>
      </w:r>
      <w:r w:rsidRPr="00312AFD">
        <w:rPr>
          <w:i/>
          <w:iCs/>
        </w:rPr>
        <w:t xml:space="preserve">See FCC's Public Safety and Homeland Security Bureau Sets Timetable in Motion for </w:t>
      </w:r>
      <w:r>
        <w:rPr>
          <w:i/>
          <w:iCs/>
        </w:rPr>
        <w:t>CMS</w:t>
      </w:r>
      <w:r w:rsidRPr="00312AFD">
        <w:rPr>
          <w:i/>
          <w:iCs/>
        </w:rPr>
        <w:t xml:space="preserve"> Providers To Develop a System That Will Deliver Alerts to Mobile Devices</w:t>
      </w:r>
      <w:r w:rsidRPr="00312AFD">
        <w:t>, PS Docket No. 07-287, Public Notice, 24 FCC Rcd 14388 (PSHSB 2009).</w:t>
      </w:r>
    </w:p>
  </w:footnote>
  <w:footnote w:id="6">
    <w:p w:rsidR="0052588C" w14:paraId="697F65B7" w14:textId="2E957A9C">
      <w:pPr>
        <w:pStyle w:val="FootnoteText"/>
      </w:pPr>
      <w:r>
        <w:rPr>
          <w:rStyle w:val="FootnoteReference"/>
        </w:rPr>
        <w:footnoteRef/>
      </w:r>
      <w:r>
        <w:t xml:space="preserve"> Integrated Public Alert and Warning System Modernization Act of 2015, Pub. Law No. 114-143, 130 Stat 327 (2016).</w:t>
      </w:r>
    </w:p>
  </w:footnote>
  <w:footnote w:id="7">
    <w:p w:rsidR="00766D25" w:rsidP="00A44E57" w14:paraId="322CA8F0" w14:textId="77777777">
      <w:pPr>
        <w:pStyle w:val="FootnoteText"/>
      </w:pPr>
      <w:r>
        <w:rPr>
          <w:rStyle w:val="FootnoteReference"/>
        </w:rPr>
        <w:footnoteRef/>
      </w:r>
      <w:r>
        <w:t xml:space="preserve"> PSHSB, Report: October 3, 2018 Nationwide WEA and EAS Test (2019), </w:t>
      </w:r>
      <w:hyperlink r:id="rId1" w:history="1">
        <w:r w:rsidRPr="0002547A">
          <w:rPr>
            <w:rStyle w:val="Hyperlink"/>
          </w:rPr>
          <w:t>https://docs.fcc.gov/public/attachments/DOC-356902A1.pdf</w:t>
        </w:r>
      </w:hyperlink>
      <w:r>
        <w:t xml:space="preserve">. </w:t>
      </w:r>
    </w:p>
  </w:footnote>
  <w:footnote w:id="8">
    <w:p w:rsidR="00766D25" w:rsidRPr="00D45BE3" w:rsidP="00A44E57" w14:paraId="7659C744" w14:textId="7B8F1B3F">
      <w:pPr>
        <w:pStyle w:val="FootnoteText"/>
      </w:pPr>
      <w:r>
        <w:rPr>
          <w:rStyle w:val="FootnoteReference"/>
        </w:rPr>
        <w:footnoteRef/>
      </w:r>
      <w:r>
        <w:t xml:space="preserve"> </w:t>
      </w:r>
      <w:r>
        <w:rPr>
          <w:i/>
          <w:iCs/>
        </w:rPr>
        <w:t>See Improving Wireless Emergency Alerts and Community-Initiated Alerting</w:t>
      </w:r>
      <w:r>
        <w:t>, PS Docket No. 15-91, Order, 33 FCC Rcd 6816 (PSHSB 2018).</w:t>
      </w:r>
    </w:p>
  </w:footnote>
  <w:footnote w:id="9">
    <w:p w:rsidR="00766D25" w:rsidP="00A44E57" w14:paraId="6D3E71DD" w14:textId="77777777">
      <w:pPr>
        <w:pStyle w:val="FootnoteText"/>
      </w:pPr>
      <w:r>
        <w:rPr>
          <w:rStyle w:val="FootnoteReference"/>
        </w:rPr>
        <w:footnoteRef/>
      </w:r>
      <w:r>
        <w:t xml:space="preserve"> </w:t>
      </w:r>
      <w:r w:rsidRPr="004316E3">
        <w:rPr>
          <w:i/>
          <w:iCs/>
        </w:rPr>
        <w:t>See, e.g.</w:t>
      </w:r>
      <w:r w:rsidRPr="004316E3">
        <w:t>, Letter from Benjamin J. Krakauer, Assistant Commissioner, Strategy &amp; Program Development, New</w:t>
      </w:r>
      <w:r>
        <w:t xml:space="preserve"> </w:t>
      </w:r>
      <w:r w:rsidRPr="004316E3">
        <w:t>York City Emergency Management Department, to Marlene Dortch, Secretary, Federal Communications</w:t>
      </w:r>
      <w:r>
        <w:t xml:space="preserve"> </w:t>
      </w:r>
      <w:r w:rsidRPr="004316E3">
        <w:t xml:space="preserve">Commission, PS Docket Nos. 15-91 and 15-94 (filed Nov. 21, 2018); Thomas Crane, </w:t>
      </w:r>
      <w:r w:rsidRPr="004316E3">
        <w:rPr>
          <w:i/>
          <w:iCs/>
        </w:rPr>
        <w:t>The</w:t>
      </w:r>
      <w:r>
        <w:t xml:space="preserve"> </w:t>
      </w:r>
      <w:r w:rsidRPr="004316E3">
        <w:rPr>
          <w:i/>
          <w:iCs/>
        </w:rPr>
        <w:t>Presidential Alert: Was it a success?</w:t>
      </w:r>
      <w:r w:rsidRPr="004316E3">
        <w:t xml:space="preserve">, EVERBRIDGE (Oct. 15, 2018), </w:t>
      </w:r>
      <w:hyperlink r:id="rId2" w:history="1">
        <w:r w:rsidRPr="004316E3">
          <w:rPr>
            <w:rStyle w:val="Hyperlink"/>
          </w:rPr>
          <w:t>https://www.everbridge.com/blog/thepresidential-alert-was-it-a-success/</w:t>
        </w:r>
      </w:hyperlink>
      <w:r w:rsidRPr="004316E3">
        <w:t xml:space="preserve">; Emily Dreyfuss, </w:t>
      </w:r>
      <w:r w:rsidRPr="004316E3">
        <w:rPr>
          <w:i/>
          <w:iCs/>
        </w:rPr>
        <w:t>Why Didn’t I Get an Emergency</w:t>
      </w:r>
      <w:r>
        <w:t xml:space="preserve"> </w:t>
      </w:r>
      <w:r w:rsidRPr="004316E3">
        <w:rPr>
          <w:i/>
          <w:iCs/>
        </w:rPr>
        <w:t>Presidential Alert Text?</w:t>
      </w:r>
      <w:r w:rsidRPr="004316E3">
        <w:t xml:space="preserve">, WIRED (Oct. 3, 2018), </w:t>
      </w:r>
      <w:hyperlink r:id="rId3" w:history="1">
        <w:r w:rsidRPr="004316E3">
          <w:rPr>
            <w:rStyle w:val="Hyperlink"/>
          </w:rPr>
          <w:t>https://www.wired.com/story/why-didnt-i-get-emergencypresidential-</w:t>
        </w:r>
        <w:r w:rsidRPr="0002547A">
          <w:rPr>
            <w:rStyle w:val="Hyperlink"/>
          </w:rPr>
          <w:t>alert-text/</w:t>
        </w:r>
      </w:hyperlink>
      <w:r>
        <w:t xml:space="preserve">. </w:t>
      </w:r>
    </w:p>
  </w:footnote>
  <w:footnote w:id="10">
    <w:p w:rsidR="00766D25" w:rsidP="00A44E57" w14:paraId="0FA3165C" w14:textId="77777777">
      <w:pPr>
        <w:pStyle w:val="FootnoteText"/>
      </w:pPr>
      <w:r>
        <w:rPr>
          <w:rStyle w:val="FootnoteReference"/>
        </w:rPr>
        <w:footnoteRef/>
      </w:r>
      <w:r>
        <w:t xml:space="preserve"> PSHSB, Report: October 3, 2018 Nationwide WEA and EAS Test, at 7 (2019), </w:t>
      </w:r>
      <w:hyperlink r:id="rId1" w:history="1">
        <w:r w:rsidRPr="0002547A">
          <w:rPr>
            <w:rStyle w:val="Hyperlink"/>
          </w:rPr>
          <w:t>https://docs.fcc.gov/public/attachments/DOC-356902A1.pdf</w:t>
        </w:r>
      </w:hyperlink>
      <w:r>
        <w:t xml:space="preserve">. </w:t>
      </w:r>
    </w:p>
  </w:footnote>
  <w:footnote w:id="11">
    <w:p w:rsidR="00766D25" w:rsidP="00A44E57" w14:paraId="7E9D90A0" w14:textId="28111EF2">
      <w:pPr>
        <w:pStyle w:val="FootnoteText"/>
      </w:pPr>
      <w:r>
        <w:rPr>
          <w:rStyle w:val="FootnoteReference"/>
        </w:rPr>
        <w:footnoteRef/>
      </w:r>
      <w:r>
        <w:t xml:space="preserve"> </w:t>
      </w:r>
      <w:r w:rsidR="00274F1F">
        <w:rPr>
          <w:i/>
          <w:iCs/>
        </w:rPr>
        <w:t>Id.</w:t>
      </w:r>
      <w:r>
        <w:t xml:space="preserve"> at 6-7.</w:t>
      </w:r>
    </w:p>
  </w:footnote>
  <w:footnote w:id="12">
    <w:p w:rsidR="00766D25" w:rsidP="00A44E57" w14:paraId="7DC235B8" w14:textId="68C0EB5D">
      <w:pPr>
        <w:pStyle w:val="FootnoteText"/>
      </w:pPr>
      <w:r>
        <w:rPr>
          <w:rStyle w:val="FootnoteReference"/>
        </w:rPr>
        <w:footnoteRef/>
      </w:r>
      <w:r>
        <w:t xml:space="preserve"> </w:t>
      </w:r>
      <w:r w:rsidR="00274F1F">
        <w:rPr>
          <w:i/>
          <w:iCs/>
        </w:rPr>
        <w:t>Id.</w:t>
      </w:r>
      <w:r>
        <w:t xml:space="preserve"> at 3.</w:t>
      </w:r>
    </w:p>
  </w:footnote>
  <w:footnote w:id="13">
    <w:p w:rsidR="00766D25" w:rsidRPr="004316E3" w:rsidP="00A44E57" w14:paraId="1E93CDC1" w14:textId="4C1235F6">
      <w:pPr>
        <w:pStyle w:val="FootnoteText"/>
      </w:pPr>
      <w:r>
        <w:rPr>
          <w:rStyle w:val="FootnoteReference"/>
        </w:rPr>
        <w:footnoteRef/>
      </w:r>
      <w:r>
        <w:t xml:space="preserve"> </w:t>
      </w:r>
      <w:r w:rsidRPr="004316E3">
        <w:rPr>
          <w:i/>
          <w:iCs/>
        </w:rPr>
        <w:t xml:space="preserve">See </w:t>
      </w:r>
      <w:r w:rsidRPr="0094282B">
        <w:rPr>
          <w:i/>
          <w:iCs/>
        </w:rPr>
        <w:t>Wireless Emergency Alerts; Amendments to Part 11 of the</w:t>
      </w:r>
      <w:r w:rsidRPr="0094282B">
        <w:t xml:space="preserve"> </w:t>
      </w:r>
      <w:r w:rsidRPr="0094282B">
        <w:rPr>
          <w:i/>
          <w:iCs/>
        </w:rPr>
        <w:t xml:space="preserve">Commission’s Rules Regarding the Emergency Alert System, </w:t>
      </w:r>
      <w:r w:rsidRPr="0094282B">
        <w:t>PS Docket Nos. 15-91, 15-94</w:t>
      </w:r>
      <w:r>
        <w:t xml:space="preserve">, </w:t>
      </w:r>
      <w:r w:rsidRPr="0094282B">
        <w:t>Report and Order and Further Notice of Proposed Rulemaking, 31 FCC Rcd 11112, 111</w:t>
      </w:r>
      <w:r>
        <w:t>56</w:t>
      </w:r>
      <w:r w:rsidRPr="0094282B">
        <w:t>,</w:t>
      </w:r>
      <w:r>
        <w:t xml:space="preserve"> </w:t>
      </w:r>
      <w:r w:rsidRPr="0094282B">
        <w:t>para</w:t>
      </w:r>
      <w:r>
        <w:t>s</w:t>
      </w:r>
      <w:r w:rsidRPr="0094282B">
        <w:t xml:space="preserve">. </w:t>
      </w:r>
      <w:r>
        <w:t>67-68</w:t>
      </w:r>
      <w:r w:rsidRPr="0094282B">
        <w:t xml:space="preserve"> (2016) (</w:t>
      </w:r>
      <w:r w:rsidRPr="0094282B">
        <w:rPr>
          <w:i/>
          <w:iCs/>
        </w:rPr>
        <w:t>WEA R&amp;O and WEA FNPRM</w:t>
      </w:r>
      <w:r>
        <w:t xml:space="preserve">; 47 CFR </w:t>
      </w:r>
      <w:r w:rsidRPr="0076136E">
        <w:t>§</w:t>
      </w:r>
      <w:r>
        <w:t xml:space="preserve"> 10.350(c)(4).</w:t>
      </w:r>
    </w:p>
  </w:footnote>
  <w:footnote w:id="14">
    <w:p w:rsidR="00766D25" w:rsidP="00A44E57" w14:paraId="27492CF9" w14:textId="5F0860A8">
      <w:pPr>
        <w:pStyle w:val="FootnoteText"/>
      </w:pPr>
      <w:r>
        <w:rPr>
          <w:rStyle w:val="FootnoteReference"/>
        </w:rPr>
        <w:footnoteRef/>
      </w:r>
      <w:r>
        <w:t xml:space="preserve"> The Commission’s</w:t>
      </w:r>
      <w:r w:rsidRPr="00051D5C">
        <w:t xml:space="preserve"> Alert Message Requirements are provided in Subpart D of </w:t>
      </w:r>
      <w:r>
        <w:t xml:space="preserve">the </w:t>
      </w:r>
      <w:r w:rsidRPr="00051D5C">
        <w:t xml:space="preserve">Part 10 WEA rules. </w:t>
      </w:r>
      <w:r>
        <w:t xml:space="preserve"> </w:t>
      </w:r>
      <w:r w:rsidRPr="00051D5C">
        <w:rPr>
          <w:i/>
          <w:iCs/>
        </w:rPr>
        <w:t xml:space="preserve">See </w:t>
      </w:r>
      <w:r w:rsidRPr="00051D5C">
        <w:t>47 CFR §§ 10.400 –</w:t>
      </w:r>
      <w:r>
        <w:t xml:space="preserve"> </w:t>
      </w:r>
      <w:r w:rsidRPr="00051D5C">
        <w:t xml:space="preserve">10.480. </w:t>
      </w:r>
      <w:r w:rsidR="00274F1F">
        <w:t xml:space="preserve"> </w:t>
      </w:r>
      <w:r w:rsidRPr="00051D5C">
        <w:t>These requirements address classification, prioritization, message elements, character limit, embedded</w:t>
      </w:r>
      <w:r>
        <w:t xml:space="preserve"> </w:t>
      </w:r>
      <w:r w:rsidRPr="00051D5C">
        <w:t>references, geo-targeting, and roaming.</w:t>
      </w:r>
    </w:p>
  </w:footnote>
  <w:footnote w:id="15">
    <w:p w:rsidR="00766D25" w14:paraId="55B8DAA6" w14:textId="098B32FC">
      <w:pPr>
        <w:pStyle w:val="FootnoteText"/>
      </w:pPr>
      <w:r>
        <w:rPr>
          <w:rStyle w:val="FootnoteReference"/>
        </w:rPr>
        <w:footnoteRef/>
      </w:r>
      <w:r>
        <w:t xml:space="preserve"> </w:t>
      </w:r>
      <w:r>
        <w:rPr>
          <w:i/>
          <w:iCs/>
        </w:rPr>
        <w:t xml:space="preserve">See </w:t>
      </w:r>
      <w:r w:rsidRPr="00A35BB5">
        <w:t xml:space="preserve">47 CFR </w:t>
      </w:r>
      <w:r w:rsidRPr="00A35BB5">
        <w:rPr>
          <w:bCs/>
        </w:rPr>
        <w:t>§</w:t>
      </w:r>
      <w:r w:rsidRPr="00C76A9D">
        <w:rPr>
          <w:bCs/>
        </w:rPr>
        <w:t xml:space="preserve"> </w:t>
      </w:r>
      <w:r w:rsidRPr="00A35BB5">
        <w:t>10.10(f) (defining a Participating CMS Provider as “a Commercial Mobile Service Provider that has voluntarily elected to transmit Alert Messages under” the applicable WEA election requirements).</w:t>
      </w:r>
    </w:p>
  </w:footnote>
  <w:footnote w:id="16">
    <w:p w:rsidR="00766D25" w:rsidP="004316E3" w14:paraId="0B0A72D7" w14:textId="7B0C0F6F">
      <w:pPr>
        <w:pStyle w:val="FootnoteText"/>
      </w:pPr>
      <w:r>
        <w:rPr>
          <w:rStyle w:val="FootnoteReference"/>
        </w:rPr>
        <w:footnoteRef/>
      </w:r>
      <w:r>
        <w:t xml:space="preserve"> </w:t>
      </w:r>
      <w:r w:rsidRPr="0068089A">
        <w:rPr>
          <w:i/>
          <w:iCs/>
        </w:rPr>
        <w:t>See</w:t>
      </w:r>
      <w:r>
        <w:t xml:space="preserve"> </w:t>
      </w:r>
      <w:r w:rsidRPr="001F2D64">
        <w:rPr>
          <w:i/>
          <w:iCs/>
        </w:rPr>
        <w:t>Wireless Emergency Alerts; Amendments to Part 11 of the Commission’s Rules Regarding the Emergency Alert System</w:t>
      </w:r>
      <w:r>
        <w:t xml:space="preserve">, PS Docket No. 15-91, 15-94, </w:t>
      </w:r>
      <w:r w:rsidRPr="001F2D64">
        <w:t>Second Report and Order and Second Order on Reconsideration</w:t>
      </w:r>
      <w:r w:rsidRPr="00AB682F">
        <w:t>,</w:t>
      </w:r>
      <w:r>
        <w:t xml:space="preserve"> 33 FCC Rcd 1320, 1322, 1347-48, at para. 3 (2018) (</w:t>
      </w:r>
      <w:r w:rsidRPr="00D97CBE">
        <w:rPr>
          <w:i/>
          <w:iCs/>
        </w:rPr>
        <w:t>WEA 2018 R&amp;O</w:t>
      </w:r>
      <w:r>
        <w:t>).</w:t>
      </w:r>
    </w:p>
  </w:footnote>
  <w:footnote w:id="17">
    <w:p w:rsidR="00766D25" w14:paraId="289FFC05" w14:textId="4E13EE92">
      <w:pPr>
        <w:pStyle w:val="FootnoteText"/>
      </w:pPr>
      <w:r>
        <w:rPr>
          <w:rStyle w:val="FootnoteReference"/>
        </w:rPr>
        <w:footnoteRef/>
      </w:r>
      <w:r>
        <w:t xml:space="preserve"> </w:t>
      </w:r>
      <w:r w:rsidRPr="002321DE">
        <w:t xml:space="preserve">47 CFR </w:t>
      </w:r>
      <w:r w:rsidRPr="002321DE">
        <w:rPr>
          <w:bCs/>
        </w:rPr>
        <w:t xml:space="preserve">§ 10.210 (WEA participation election procedures); </w:t>
      </w:r>
      <w:r w:rsidRPr="002321DE">
        <w:t xml:space="preserve">47 CFR </w:t>
      </w:r>
      <w:r w:rsidRPr="002321DE">
        <w:rPr>
          <w:bCs/>
        </w:rPr>
        <w:t xml:space="preserve">§ 10.10(k) (defining participation “in whole” as “CMS Providers that have agreed to transmit WEA Alert Messages in a manner consistent with the technical standards, protocols, procedures, and other technical requirements implemented by the Commission in the entirety of their geographic service area, and when all mobile devices that the CMS Providers offer at the point of sale are WEA-capable”); </w:t>
      </w:r>
      <w:r w:rsidRPr="002321DE">
        <w:t xml:space="preserve">47 CFR </w:t>
      </w:r>
      <w:r w:rsidRPr="002321DE">
        <w:rPr>
          <w:bCs/>
        </w:rPr>
        <w:t xml:space="preserve">§ 10.10(l) (defining participation “in part” as CMS Providers that have made the same agreement with respect to “some, but not in all of their geographic service areas, or CMS Providers that offer mobile devices at the point of sale that are not WEA-capable”).  </w:t>
      </w:r>
    </w:p>
  </w:footnote>
  <w:footnote w:id="18">
    <w:p w:rsidR="00766D25" w:rsidRPr="00B72015" w:rsidP="004316E3" w14:paraId="0C49D3CD" w14:textId="2406FBF0">
      <w:pPr>
        <w:pStyle w:val="FootnoteText"/>
        <w:rPr>
          <w:bCs/>
        </w:rPr>
      </w:pPr>
      <w:r>
        <w:rPr>
          <w:rStyle w:val="FootnoteReference"/>
        </w:rPr>
        <w:footnoteRef/>
      </w:r>
      <w:r>
        <w:t xml:space="preserve"> 47 CFR </w:t>
      </w:r>
      <w:r w:rsidRPr="009D7B1A">
        <w:rPr>
          <w:bCs/>
        </w:rPr>
        <w:t>§</w:t>
      </w:r>
      <w:r>
        <w:rPr>
          <w:bCs/>
        </w:rPr>
        <w:t xml:space="preserve"> 10.450(a)</w:t>
      </w:r>
      <w:r w:rsidRPr="00171823">
        <w:rPr>
          <w:bCs/>
        </w:rPr>
        <w:t xml:space="preserve"> </w:t>
      </w:r>
      <w:r>
        <w:rPr>
          <w:bCs/>
        </w:rPr>
        <w:t>(“</w:t>
      </w:r>
      <w:r w:rsidRPr="00364C4F">
        <w:rPr>
          <w:bCs/>
        </w:rPr>
        <w:t>If some or all of a Participating CMS Provider</w:t>
      </w:r>
      <w:r>
        <w:rPr>
          <w:bCs/>
        </w:rPr>
        <w:t>’</w:t>
      </w:r>
      <w:r w:rsidRPr="00364C4F">
        <w:rPr>
          <w:bCs/>
        </w:rPr>
        <w:t>s network infrastructure is technically incapable of matching the specified target area, then that Participating CMS Provider must deliver the Alert Message to an area that best approximates the specified target area on and only on those aspects of its network infrastructure that are incapable of matching the target area. A Participating CMS Provider's network infrastructure may be considered technically incapable of matching the target area in limited circumstances, including when the target area is outside of the Participating CMS Provider</w:t>
      </w:r>
      <w:r>
        <w:rPr>
          <w:bCs/>
        </w:rPr>
        <w:t>’</w:t>
      </w:r>
      <w:r w:rsidRPr="00364C4F">
        <w:rPr>
          <w:bCs/>
        </w:rPr>
        <w:t>s network coverage area, when mobile devices have location services disabled, and when legacy networks or devices cannot be updated to support this functionality.</w:t>
      </w:r>
      <w:r>
        <w:rPr>
          <w:bCs/>
        </w:rPr>
        <w:t xml:space="preserve">”); </w:t>
      </w:r>
      <w:r>
        <w:rPr>
          <w:bCs/>
          <w:i/>
          <w:iCs/>
        </w:rPr>
        <w:t>see also</w:t>
      </w:r>
      <w:r>
        <w:rPr>
          <w:bCs/>
        </w:rPr>
        <w:t xml:space="preserve"> </w:t>
      </w:r>
      <w:r w:rsidRPr="00D97CBE">
        <w:rPr>
          <w:i/>
          <w:iCs/>
        </w:rPr>
        <w:t>WEA 2018 R&amp;O</w:t>
      </w:r>
      <w:r>
        <w:t>,</w:t>
      </w:r>
      <w:r>
        <w:rPr>
          <w:bCs/>
        </w:rPr>
        <w:t xml:space="preserve"> 33 FCC Rcd at 1327-28, para. 9 (“</w:t>
      </w:r>
      <w:r w:rsidRPr="00181591">
        <w:rPr>
          <w:bCs/>
        </w:rPr>
        <w:t>the requirement to match the target area applies only</w:t>
      </w:r>
      <w:r w:rsidRPr="00F71343">
        <w:t xml:space="preserve"> </w:t>
      </w:r>
      <w:r w:rsidRPr="00F71343">
        <w:rPr>
          <w:bCs/>
        </w:rPr>
        <w:t>to new mobile devices offered for sale after November 30, 2019 and to existing devices capable of being</w:t>
      </w:r>
      <w:r>
        <w:rPr>
          <w:bCs/>
        </w:rPr>
        <w:t xml:space="preserve"> </w:t>
      </w:r>
      <w:r w:rsidRPr="00F71343">
        <w:rPr>
          <w:bCs/>
        </w:rPr>
        <w:t>upgraded to support this matching standard</w:t>
      </w:r>
      <w:r>
        <w:rPr>
          <w:bCs/>
        </w:rPr>
        <w:t xml:space="preserve">”); </w:t>
      </w:r>
      <w:r>
        <w:rPr>
          <w:bCs/>
          <w:i/>
          <w:iCs/>
        </w:rPr>
        <w:t>see also id.</w:t>
      </w:r>
      <w:r>
        <w:rPr>
          <w:bCs/>
        </w:rPr>
        <w:t xml:space="preserve"> at 1328, para. 9 n.9 (“</w:t>
      </w:r>
      <w:r w:rsidRPr="00F71343">
        <w:rPr>
          <w:bCs/>
        </w:rPr>
        <w:t>Existing mobile devices that cannot be upgraded to support enhanced geo-targeting will still be considered</w:t>
      </w:r>
      <w:r>
        <w:rPr>
          <w:bCs/>
        </w:rPr>
        <w:t xml:space="preserve"> </w:t>
      </w:r>
      <w:r w:rsidRPr="00F71343">
        <w:rPr>
          <w:bCs/>
        </w:rPr>
        <w:t>“WEA-capable” as of November 30, 2019, as long as the CMS Provider delivers Alert Messages to these devices</w:t>
      </w:r>
      <w:r>
        <w:rPr>
          <w:bCs/>
        </w:rPr>
        <w:t xml:space="preserve"> </w:t>
      </w:r>
      <w:r w:rsidRPr="00F71343">
        <w:rPr>
          <w:bCs/>
        </w:rPr>
        <w:t>using its “best approximation” of the target area.</w:t>
      </w:r>
      <w:r>
        <w:rPr>
          <w:bCs/>
        </w:rPr>
        <w:t xml:space="preserve">”); </w:t>
      </w:r>
      <w:r>
        <w:rPr>
          <w:bCs/>
          <w:i/>
          <w:iCs/>
        </w:rPr>
        <w:t>Public Safety and Homeland Security Bureau Announces that FEMA’s Integrated Public Alert and Warning System (IPAWS) is Ready to Support Certain Improvements to Wireless Emergency Alerts (WEA)</w:t>
      </w:r>
      <w:r>
        <w:rPr>
          <w:bCs/>
        </w:rPr>
        <w:t>, PS Docket Nos. 15-91, 15-94, Public Notice, 34 FCC Rcd 12332 (PSHSB 2019) (announcing FEMA’s readiness to support enhanced WEA geo-targeting on December 19, 2019).</w:t>
      </w:r>
    </w:p>
  </w:footnote>
  <w:footnote w:id="19">
    <w:p w:rsidR="00766D25" w:rsidRPr="00171823" w:rsidP="004316E3" w14:paraId="074F1413" w14:textId="4B420831">
      <w:pPr>
        <w:pStyle w:val="FootnoteText"/>
      </w:pPr>
      <w:r>
        <w:rPr>
          <w:rStyle w:val="FootnoteReference"/>
        </w:rPr>
        <w:footnoteRef/>
      </w:r>
      <w:r>
        <w:t xml:space="preserve"> </w:t>
      </w:r>
      <w:r>
        <w:rPr>
          <w:i/>
          <w:iCs/>
        </w:rPr>
        <w:t>See</w:t>
      </w:r>
      <w:r>
        <w:t xml:space="preserve"> Letter from Matthew Gerst, Vice President, Regulatory Affairs, CTIA, to Lisa Fowlkes, Bureau Chief, Public Safety and Homeland Security Bureau, Federal Communications Commission, PS Docket Nos. 15-91, 15-94, at 2 (Jul. 22, 2021) (CTIA 2021 WEA Geo-targeting Deployment Letter).  According to PSHSB’s analysis, and as described in greater detail below, 12.3% of mobile devices used to participate in the nationwide WEA test survey supported enhanced WEA geo-targeting, less than the 34% that CTIA’s analysis would anticipate.  </w:t>
      </w:r>
    </w:p>
  </w:footnote>
  <w:footnote w:id="20">
    <w:p w:rsidR="00766D25" w14:paraId="266A14AC" w14:textId="6E8753C9">
      <w:pPr>
        <w:pStyle w:val="FootnoteText"/>
      </w:pPr>
      <w:r>
        <w:rPr>
          <w:rStyle w:val="FootnoteReference"/>
        </w:rPr>
        <w:footnoteRef/>
      </w:r>
      <w:r>
        <w:t xml:space="preserve"> 47 CFR </w:t>
      </w:r>
      <w:r w:rsidRPr="009D7B1A">
        <w:rPr>
          <w:bCs/>
        </w:rPr>
        <w:t>§</w:t>
      </w:r>
      <w:r>
        <w:rPr>
          <w:bCs/>
        </w:rPr>
        <w:t xml:space="preserve"> 10.450(a).</w:t>
      </w:r>
    </w:p>
  </w:footnote>
  <w:footnote w:id="21">
    <w:p w:rsidR="00766D25" w14:paraId="3BD83449" w14:textId="6C3053EC">
      <w:pPr>
        <w:pStyle w:val="FootnoteText"/>
      </w:pPr>
      <w:r>
        <w:rPr>
          <w:rStyle w:val="FootnoteReference"/>
        </w:rPr>
        <w:footnoteRef/>
      </w:r>
      <w:r>
        <w:t xml:space="preserve"> CTIA 2021 WEA Geo-targeting Deployment Letter at 3.</w:t>
      </w:r>
    </w:p>
  </w:footnote>
  <w:footnote w:id="22">
    <w:p w:rsidR="00766D25" w:rsidRPr="004316E3" w14:paraId="554E2C42" w14:textId="5C423CC5">
      <w:pPr>
        <w:pStyle w:val="FootnoteText"/>
      </w:pPr>
      <w:r>
        <w:rPr>
          <w:rStyle w:val="FootnoteReference"/>
        </w:rPr>
        <w:footnoteRef/>
      </w:r>
      <w:r>
        <w:t xml:space="preserve"> </w:t>
      </w:r>
      <w:r w:rsidRPr="009E14E0">
        <w:rPr>
          <w:i/>
          <w:iCs/>
        </w:rPr>
        <w:t xml:space="preserve">WEA First </w:t>
      </w:r>
      <w:r>
        <w:rPr>
          <w:i/>
          <w:iCs/>
        </w:rPr>
        <w:t xml:space="preserve">Report and </w:t>
      </w:r>
      <w:r w:rsidRPr="009E14E0">
        <w:rPr>
          <w:i/>
          <w:iCs/>
        </w:rPr>
        <w:t>Order</w:t>
      </w:r>
      <w:r>
        <w:t xml:space="preserve">, 23 FCC Rcd at 6168, para. 65; 47 CFR </w:t>
      </w:r>
      <w:r w:rsidRPr="009D7B1A">
        <w:rPr>
          <w:bCs/>
        </w:rPr>
        <w:t>§</w:t>
      </w:r>
      <w:r>
        <w:rPr>
          <w:bCs/>
        </w:rPr>
        <w:t xml:space="preserve"> 10.520 (audio attention signal); </w:t>
      </w:r>
      <w:r>
        <w:t xml:space="preserve">47 CFR </w:t>
      </w:r>
      <w:r w:rsidRPr="009D7B1A">
        <w:rPr>
          <w:bCs/>
        </w:rPr>
        <w:t>§</w:t>
      </w:r>
      <w:r>
        <w:rPr>
          <w:bCs/>
        </w:rPr>
        <w:t xml:space="preserve"> 10.530 (common vibration cadence).</w:t>
      </w:r>
    </w:p>
  </w:footnote>
  <w:footnote w:id="23">
    <w:p w:rsidR="00766D25" w14:paraId="42309BD7" w14:textId="35F7B851">
      <w:pPr>
        <w:pStyle w:val="FootnoteText"/>
      </w:pPr>
      <w:r>
        <w:rPr>
          <w:rStyle w:val="FootnoteReference"/>
        </w:rPr>
        <w:footnoteRef/>
      </w:r>
      <w:r>
        <w:t xml:space="preserve"> 47 CFR </w:t>
      </w:r>
      <w:r w:rsidRPr="009D7B1A">
        <w:rPr>
          <w:bCs/>
        </w:rPr>
        <w:t>§</w:t>
      </w:r>
      <w:r>
        <w:rPr>
          <w:bCs/>
        </w:rPr>
        <w:t xml:space="preserve"> 10.500(e).</w:t>
      </w:r>
    </w:p>
  </w:footnote>
  <w:footnote w:id="24">
    <w:p w:rsidR="00766D25" w14:paraId="0DF201DE" w14:textId="2884F7F3">
      <w:pPr>
        <w:pStyle w:val="FootnoteText"/>
      </w:pPr>
      <w:r>
        <w:rPr>
          <w:rStyle w:val="FootnoteReference"/>
        </w:rPr>
        <w:footnoteRef/>
      </w:r>
      <w:r>
        <w:t xml:space="preserve"> 47 CFR </w:t>
      </w:r>
      <w:r w:rsidRPr="009D7B1A">
        <w:rPr>
          <w:bCs/>
        </w:rPr>
        <w:t>§</w:t>
      </w:r>
      <w:r>
        <w:rPr>
          <w:bCs/>
        </w:rPr>
        <w:t xml:space="preserve"> 10.500(f).</w:t>
      </w:r>
    </w:p>
  </w:footnote>
  <w:footnote w:id="25">
    <w:p w:rsidR="00766D25" w14:paraId="32FF2427" w14:textId="3ACA0809">
      <w:pPr>
        <w:pStyle w:val="FootnoteText"/>
      </w:pPr>
      <w:r>
        <w:rPr>
          <w:rStyle w:val="FootnoteReference"/>
        </w:rPr>
        <w:footnoteRef/>
      </w:r>
      <w:r>
        <w:t xml:space="preserve"> 47</w:t>
      </w:r>
      <w:r w:rsidRPr="004316E3">
        <w:t xml:space="preserve"> </w:t>
      </w:r>
      <w:r>
        <w:t xml:space="preserve">CFR </w:t>
      </w:r>
      <w:r w:rsidRPr="009D7B1A">
        <w:rPr>
          <w:bCs/>
        </w:rPr>
        <w:t>§</w:t>
      </w:r>
      <w:r>
        <w:rPr>
          <w:bCs/>
        </w:rPr>
        <w:t xml:space="preserve"> 10.500(g).</w:t>
      </w:r>
    </w:p>
  </w:footnote>
  <w:footnote w:id="26">
    <w:p w:rsidR="00766D25" w14:paraId="2CED45DC" w14:textId="7616FE49">
      <w:pPr>
        <w:pStyle w:val="FootnoteText"/>
      </w:pPr>
      <w:r>
        <w:rPr>
          <w:rStyle w:val="FootnoteReference"/>
        </w:rPr>
        <w:footnoteRef/>
      </w:r>
      <w:r>
        <w:t xml:space="preserve"> 47</w:t>
      </w:r>
      <w:r w:rsidRPr="004316E3">
        <w:t xml:space="preserve"> </w:t>
      </w:r>
      <w:r>
        <w:t xml:space="preserve">CFR </w:t>
      </w:r>
      <w:r w:rsidRPr="009D7B1A">
        <w:rPr>
          <w:bCs/>
        </w:rPr>
        <w:t>§</w:t>
      </w:r>
      <w:r>
        <w:rPr>
          <w:bCs/>
        </w:rPr>
        <w:t xml:space="preserve"> 10.500(h).</w:t>
      </w:r>
    </w:p>
  </w:footnote>
  <w:footnote w:id="27">
    <w:p w:rsidR="00766D25" w:rsidRPr="00523224" w:rsidP="00820F17" w14:paraId="49B8C707" w14:textId="056E7037">
      <w:pPr>
        <w:pStyle w:val="FootnoteText"/>
      </w:pPr>
      <w:r w:rsidRPr="00EB6586">
        <w:rPr>
          <w:rStyle w:val="FootnoteReference"/>
        </w:rPr>
        <w:footnoteRef/>
      </w:r>
      <w:r w:rsidRPr="00EB6586">
        <w:t xml:space="preserve"> </w:t>
      </w:r>
      <w:r w:rsidRPr="001715BC">
        <w:rPr>
          <w:i/>
          <w:iCs/>
        </w:rPr>
        <w:t>PSHSB Announces Nationwide Test of EAS and WEA</w:t>
      </w:r>
      <w:r w:rsidRPr="00523224">
        <w:t xml:space="preserve">, </w:t>
      </w:r>
      <w:r>
        <w:t xml:space="preserve">PS Docket Nos. 15-94, 15-91, </w:t>
      </w:r>
      <w:r w:rsidRPr="001715BC">
        <w:t>Public Notice</w:t>
      </w:r>
      <w:r w:rsidRPr="00523224">
        <w:t xml:space="preserve">, DA 21-680, </w:t>
      </w:r>
      <w:r>
        <w:rPr>
          <w:bCs/>
        </w:rPr>
        <w:t>(</w:t>
      </w:r>
      <w:r>
        <w:t>PSHSB</w:t>
      </w:r>
      <w:r w:rsidRPr="00523224">
        <w:t xml:space="preserve"> Jun</w:t>
      </w:r>
      <w:r>
        <w:t>.</w:t>
      </w:r>
      <w:r w:rsidRPr="00523224">
        <w:t xml:space="preserve"> 11, 2021</w:t>
      </w:r>
      <w:r>
        <w:t>)</w:t>
      </w:r>
      <w:r w:rsidRPr="00523224">
        <w:t>.</w:t>
      </w:r>
    </w:p>
  </w:footnote>
  <w:footnote w:id="28">
    <w:p w:rsidR="00766D25" w:rsidRPr="00EB6586" w:rsidP="00820F17" w14:paraId="3F2268D7" w14:textId="6CAEB71A">
      <w:pPr>
        <w:autoSpaceDE w:val="0"/>
        <w:autoSpaceDN w:val="0"/>
        <w:adjustRightInd w:val="0"/>
        <w:spacing w:after="120"/>
        <w:rPr>
          <w:sz w:val="20"/>
        </w:rPr>
      </w:pPr>
      <w:r w:rsidRPr="00EB6586">
        <w:rPr>
          <w:rStyle w:val="FootnoteReference"/>
        </w:rPr>
        <w:footnoteRef/>
      </w:r>
      <w:r w:rsidRPr="00EB6586">
        <w:rPr>
          <w:sz w:val="20"/>
        </w:rPr>
        <w:t xml:space="preserve"> </w:t>
      </w:r>
      <w:r w:rsidRPr="001715BC">
        <w:rPr>
          <w:i/>
          <w:iCs/>
          <w:sz w:val="20"/>
        </w:rPr>
        <w:t>PSHSB Reminds EAS and Participating CMS Providers to Issue Accessible Alerts</w:t>
      </w:r>
      <w:r w:rsidRPr="00523224">
        <w:rPr>
          <w:sz w:val="20"/>
        </w:rPr>
        <w:t xml:space="preserve">, </w:t>
      </w:r>
      <w:r w:rsidRPr="00174C6E">
        <w:rPr>
          <w:sz w:val="20"/>
        </w:rPr>
        <w:t xml:space="preserve">PS Docket Nos. 15-94, 15-91, </w:t>
      </w:r>
      <w:r w:rsidRPr="001715BC">
        <w:rPr>
          <w:sz w:val="20"/>
        </w:rPr>
        <w:t>Public Notice</w:t>
      </w:r>
      <w:r w:rsidRPr="00523224">
        <w:rPr>
          <w:sz w:val="20"/>
        </w:rPr>
        <w:t xml:space="preserve">, DA 21-798, </w:t>
      </w:r>
      <w:r>
        <w:rPr>
          <w:bCs/>
        </w:rPr>
        <w:t>(</w:t>
      </w:r>
      <w:r>
        <w:rPr>
          <w:sz w:val="20"/>
        </w:rPr>
        <w:t>PSHSB</w:t>
      </w:r>
      <w:r w:rsidRPr="00523224">
        <w:rPr>
          <w:sz w:val="20"/>
        </w:rPr>
        <w:t xml:space="preserve"> Jul</w:t>
      </w:r>
      <w:r>
        <w:rPr>
          <w:sz w:val="20"/>
        </w:rPr>
        <w:t>.</w:t>
      </w:r>
      <w:r w:rsidRPr="00523224">
        <w:rPr>
          <w:sz w:val="20"/>
        </w:rPr>
        <w:t xml:space="preserve"> 7, 2021</w:t>
      </w:r>
      <w:r>
        <w:rPr>
          <w:sz w:val="20"/>
        </w:rPr>
        <w:t>)</w:t>
      </w:r>
      <w:r w:rsidRPr="00523224">
        <w:rPr>
          <w:sz w:val="20"/>
        </w:rPr>
        <w:t xml:space="preserve">.  </w:t>
      </w:r>
    </w:p>
  </w:footnote>
  <w:footnote w:id="29">
    <w:p w:rsidR="00766D25" w:rsidP="00820F17" w14:paraId="00856C48" w14:textId="1E494D9D">
      <w:pPr>
        <w:pStyle w:val="FootnoteText"/>
      </w:pPr>
      <w:r>
        <w:rPr>
          <w:rStyle w:val="FootnoteReference"/>
        </w:rPr>
        <w:footnoteRef/>
      </w:r>
      <w:r>
        <w:t xml:space="preserve"> </w:t>
      </w:r>
      <w:r w:rsidRPr="00EB6586">
        <w:t>47 CFR § 10.350(c)</w:t>
      </w:r>
      <w:r>
        <w:t>.  S</w:t>
      </w:r>
      <w:r w:rsidRPr="00523224">
        <w:t xml:space="preserve">ubscribers </w:t>
      </w:r>
      <w:r>
        <w:t>whose mobile device language preference</w:t>
      </w:r>
      <w:r w:rsidRPr="00523224">
        <w:t xml:space="preserve"> </w:t>
      </w:r>
      <w:r>
        <w:t xml:space="preserve">was </w:t>
      </w:r>
      <w:r w:rsidRPr="00523224">
        <w:t>set to Spanish</w:t>
      </w:r>
      <w:r>
        <w:t xml:space="preserve"> received a nationwide WEA test message with the following text:</w:t>
      </w:r>
      <w:r w:rsidRPr="00523224">
        <w:t xml:space="preserve"> “ESTA ES UNA PRUEBA del Sistema Nacional de Alerta de Emergencia. No se necesita acción.”</w:t>
      </w:r>
    </w:p>
  </w:footnote>
  <w:footnote w:id="30">
    <w:p w:rsidR="00766D25" w:rsidRPr="00EB6586" w:rsidP="00820F17" w14:paraId="44B35C52" w14:textId="0AAB8433">
      <w:pPr>
        <w:pStyle w:val="FootnoteText"/>
      </w:pPr>
      <w:r w:rsidRPr="00E652EC">
        <w:rPr>
          <w:rStyle w:val="FootnoteReference"/>
        </w:rPr>
        <w:footnoteRef/>
      </w:r>
      <w:r w:rsidRPr="00E652EC">
        <w:t xml:space="preserve"> </w:t>
      </w:r>
      <w:r w:rsidRPr="00EB6586">
        <w:t xml:space="preserve">47 CFR § 10.350(c)(4); </w:t>
      </w:r>
      <w:r w:rsidRPr="00EB6586">
        <w:rPr>
          <w:i/>
          <w:iCs/>
        </w:rPr>
        <w:t xml:space="preserve">see also </w:t>
      </w:r>
      <w:r w:rsidRPr="004316E3">
        <w:rPr>
          <w:i/>
          <w:iCs/>
        </w:rPr>
        <w:t>WEA R&amp;O and WEA FNPRM</w:t>
      </w:r>
      <w:r w:rsidRPr="00523224">
        <w:t xml:space="preserve"> </w:t>
      </w:r>
      <w:r>
        <w:t xml:space="preserve">, 31 FCC Rcd </w:t>
      </w:r>
      <w:r w:rsidRPr="00523224">
        <w:t>at 11154 -55, para. 65</w:t>
      </w:r>
      <w:r>
        <w:t>.</w:t>
      </w:r>
      <w:r w:rsidRPr="00EB6586">
        <w:t xml:space="preserve"> </w:t>
      </w:r>
    </w:p>
  </w:footnote>
  <w:footnote w:id="31">
    <w:p w:rsidR="00766D25" w14:paraId="39FBD637" w14:textId="7E893719">
      <w:pPr>
        <w:pStyle w:val="FootnoteText"/>
      </w:pPr>
      <w:r>
        <w:rPr>
          <w:rStyle w:val="FootnoteReference"/>
        </w:rPr>
        <w:footnoteRef/>
      </w:r>
      <w:r>
        <w:t xml:space="preserve"> </w:t>
      </w:r>
      <w:r w:rsidRPr="00EB6586">
        <w:t>47 CFR § 10.</w:t>
      </w:r>
      <w:r>
        <w:t>4</w:t>
      </w:r>
      <w:r w:rsidRPr="00EB6586">
        <w:t>50</w:t>
      </w:r>
      <w:r>
        <w:t>(a) (applying the enhanced WEA geo-targeting requirement only to geographic areas specified as a circle or polygon).</w:t>
      </w:r>
    </w:p>
  </w:footnote>
  <w:footnote w:id="32">
    <w:p w:rsidR="00766D25" w14:paraId="356F1CBB" w14:textId="7F31E788">
      <w:pPr>
        <w:pStyle w:val="FootnoteText"/>
      </w:pPr>
      <w:r>
        <w:rPr>
          <w:rStyle w:val="FootnoteReference"/>
        </w:rPr>
        <w:footnoteRef/>
      </w:r>
      <w:r>
        <w:t xml:space="preserve"> </w:t>
      </w:r>
      <w:r>
        <w:rPr>
          <w:i/>
          <w:iCs/>
        </w:rPr>
        <w:t xml:space="preserve">See </w:t>
      </w:r>
      <w:r>
        <w:t>Master WEA Registry,</w:t>
      </w:r>
      <w:r w:rsidRPr="002321DE">
        <w:t xml:space="preserve"> </w:t>
      </w:r>
      <w:hyperlink r:id="rId4" w:history="1">
        <w:r w:rsidRPr="00461038">
          <w:rPr>
            <w:rStyle w:val="Hyperlink"/>
          </w:rPr>
          <w:t>https://www.fcc.gov/files/weamasterregistry112019xls</w:t>
        </w:r>
      </w:hyperlink>
      <w:r>
        <w:t xml:space="preserve"> (last visited Nov. 12, 2021) (providing an account of the CMS Providers that participate in WEA based on PSHSB’s analysis of filings in the WEA election docket, PS Docket No. 08-146). </w:t>
      </w:r>
    </w:p>
  </w:footnote>
  <w:footnote w:id="33">
    <w:p w:rsidR="00766D25" w:rsidRPr="004316E3" w14:paraId="5A22886D" w14:textId="384E0992">
      <w:pPr>
        <w:pStyle w:val="FootnoteText"/>
      </w:pPr>
      <w:r>
        <w:rPr>
          <w:rStyle w:val="FootnoteReference"/>
        </w:rPr>
        <w:footnoteRef/>
      </w:r>
      <w:r>
        <w:t xml:space="preserve"> </w:t>
      </w:r>
      <w:r>
        <w:rPr>
          <w:i/>
          <w:iCs/>
        </w:rPr>
        <w:t xml:space="preserve">See </w:t>
      </w:r>
      <w:r>
        <w:t xml:space="preserve">News Release, FCC Acting Chairwoman Rosenworcel Announces Federal, State, and Local Partnerships to Assess Wireless Emergency Alert Test Performance (Jul. 20, 2021), </w:t>
      </w:r>
      <w:hyperlink r:id="rId5" w:history="1">
        <w:r w:rsidRPr="0002547A">
          <w:rPr>
            <w:rStyle w:val="Hyperlink"/>
          </w:rPr>
          <w:t>https://docs.fcc.gov/public/attachments/DOC-374223A1.pdf</w:t>
        </w:r>
      </w:hyperlink>
      <w:r>
        <w:t>.  PSHSB notes</w:t>
      </w:r>
      <w:r w:rsidRPr="00E07B12">
        <w:t xml:space="preserve"> that th</w:t>
      </w:r>
      <w:r>
        <w:t xml:space="preserve">is </w:t>
      </w:r>
      <w:r w:rsidRPr="00E07B12">
        <w:t>report do</w:t>
      </w:r>
      <w:r>
        <w:t>es</w:t>
      </w:r>
      <w:r w:rsidRPr="00E07B12">
        <w:t xml:space="preserve"> not necessarily reflect the analysis or conclusions of the other </w:t>
      </w:r>
      <w:r>
        <w:t>partners</w:t>
      </w:r>
      <w:r w:rsidRPr="00E07B12">
        <w:t>.</w:t>
      </w:r>
    </w:p>
  </w:footnote>
  <w:footnote w:id="34">
    <w:p w:rsidR="00766D25" w14:paraId="28E0459D" w14:textId="70E58E62">
      <w:pPr>
        <w:pStyle w:val="FootnoteText"/>
      </w:pPr>
      <w:r>
        <w:rPr>
          <w:rStyle w:val="FootnoteReference"/>
        </w:rPr>
        <w:footnoteRef/>
      </w:r>
      <w:r>
        <w:t xml:space="preserve"> Unlike the 2018 nationwide WEA test, the findings presented in this Report are based solely on responses to FCC’s Nationwide WEA Test Survey.  2,290 Nationwide WEA Test Survey respondents were located across the U.S. in 49 states and the District of Columbia (no respondents were located in Rhode Island).   </w:t>
      </w:r>
    </w:p>
  </w:footnote>
  <w:footnote w:id="35">
    <w:p w:rsidR="00766D25" w:rsidRPr="004316E3" w14:paraId="751F7374" w14:textId="16A0672F">
      <w:pPr>
        <w:pStyle w:val="FootnoteText"/>
      </w:pPr>
      <w:r>
        <w:rPr>
          <w:rStyle w:val="FootnoteReference"/>
        </w:rPr>
        <w:footnoteRef/>
      </w:r>
      <w:r>
        <w:t xml:space="preserve"> </w:t>
      </w:r>
      <w:r>
        <w:rPr>
          <w:i/>
          <w:iCs/>
        </w:rPr>
        <w:t>See</w:t>
      </w:r>
      <w:r>
        <w:t xml:space="preserve"> WEA Live Test Survey, OMB Control No. 3060-1269 (2021) (Nationwide WEA Test Survey).  </w:t>
      </w:r>
    </w:p>
  </w:footnote>
  <w:footnote w:id="36">
    <w:p w:rsidR="00766D25" w14:paraId="50DB8B5A" w14:textId="17CB466A">
      <w:pPr>
        <w:pStyle w:val="FootnoteText"/>
      </w:pPr>
      <w:r>
        <w:rPr>
          <w:rStyle w:val="FootnoteReference"/>
        </w:rPr>
        <w:footnoteRef/>
      </w:r>
      <w:r>
        <w:t xml:space="preserve"> Completed survey responses were received from 40 states and the District of Columbia (no completed survey responses were received from Vermont, South Dakota, Rhode Island, New Jersey, Nevada, Massachusetts, Delaware, Connecticut,</w:t>
      </w:r>
      <w:r w:rsidRPr="003A50D1">
        <w:t xml:space="preserve"> </w:t>
      </w:r>
      <w:r>
        <w:t>Colorado, or Arkansas).</w:t>
      </w:r>
    </w:p>
  </w:footnote>
  <w:footnote w:id="37">
    <w:p w:rsidR="00766D25" w14:paraId="3CA8BB2C" w14:textId="50DC3250">
      <w:pPr>
        <w:pStyle w:val="FootnoteText"/>
      </w:pPr>
      <w:r>
        <w:rPr>
          <w:rStyle w:val="FootnoteReference"/>
        </w:rPr>
        <w:footnoteRef/>
      </w:r>
      <w:r>
        <w:t xml:space="preserve"> Three</w:t>
      </w:r>
      <w:r w:rsidRPr="00413D0C">
        <w:t xml:space="preserve"> respondents </w:t>
      </w:r>
      <w:r>
        <w:t>who completed surveys</w:t>
      </w:r>
      <w:r w:rsidRPr="00413D0C">
        <w:t xml:space="preserve"> participated in the test using a mobile device that was not WEA capable</w:t>
      </w:r>
      <w:r>
        <w:t xml:space="preserve"> (i.e., technically incapable of receiving any WEA test or alert message)</w:t>
      </w:r>
      <w:r w:rsidRPr="00413D0C">
        <w:t xml:space="preserve">.  These </w:t>
      </w:r>
      <w:r>
        <w:t xml:space="preserve">respondents’ </w:t>
      </w:r>
      <w:r w:rsidRPr="00413D0C">
        <w:t xml:space="preserve">responses are excluded from </w:t>
      </w:r>
      <w:r>
        <w:t xml:space="preserve">the </w:t>
      </w:r>
      <w:r w:rsidRPr="00413D0C">
        <w:t>data set.</w:t>
      </w:r>
      <w:r>
        <w:t xml:space="preserve">  </w:t>
      </w:r>
    </w:p>
  </w:footnote>
  <w:footnote w:id="38">
    <w:p w:rsidR="00766D25" w:rsidRPr="0050208A" w:rsidP="003D79F5" w14:paraId="686C1E36" w14:textId="02FA8121">
      <w:pPr>
        <w:pStyle w:val="FootnoteText"/>
      </w:pPr>
      <w:r>
        <w:rPr>
          <w:rStyle w:val="FootnoteReference"/>
        </w:rPr>
        <w:footnoteRef/>
      </w:r>
      <w:r>
        <w:t xml:space="preserve"> </w:t>
      </w:r>
      <w:r>
        <w:rPr>
          <w:i/>
          <w:iCs/>
        </w:rPr>
        <w:t>See</w:t>
      </w:r>
      <w:r>
        <w:t xml:space="preserve"> Letter from Lisa Fowlkes, Bureau Chief, Public Safety and Homeland Security Bureau, Federal Communications Commission, to Jaime (Mike) Tan, Director, Federal Regulatory, AT&amp;T Services, Inc. (Jul. 20, 2021); Letter from Lisa Fowlkes, Bureau Chief, Public Safety and Homeland Security Bureau, Federal Communications Commission, to Robert Morse, Associate General Counsel, Verizon (Jul. 20, 2021); Letter from Lisa Fowlkes, Bureau Chief, Public Safety and Homeland Security Bureau, Federal Communications Commission,   to Shellie Blakeney, Director, Federal Regulatory Affairs, T-Mobile USA, Inc. (Jul. 20, 2021).  Responses from the CMS Providers were filed in PS Docket Nos. 15-91 and 15-94.</w:t>
      </w:r>
    </w:p>
  </w:footnote>
  <w:footnote w:id="39">
    <w:p w:rsidR="00766D25" w:rsidRPr="0095252E" w:rsidP="003D79F5" w14:paraId="16CFE71E" w14:textId="6015C513">
      <w:pPr>
        <w:pStyle w:val="FootnoteText"/>
      </w:pPr>
      <w:r>
        <w:rPr>
          <w:rStyle w:val="FootnoteReference"/>
        </w:rPr>
        <w:footnoteRef/>
      </w:r>
      <w:r>
        <w:t xml:space="preserve"> </w:t>
      </w:r>
      <w:r w:rsidR="00066793">
        <w:rPr>
          <w:i/>
          <w:iCs/>
        </w:rPr>
        <w:t>See</w:t>
      </w:r>
      <w:r w:rsidR="00066793">
        <w:t xml:space="preserve"> Letter from Lisa Fowlkes, Bureau Chief, Public Safety and Homeland Security Bureau, Federal Communications Commission, to Jaime (Mike) Tan, Director, Federal Regulatory, AT&amp;T Services, Inc. (Jul. 20, 2021); Letter from Lisa Fowlkes, Bureau Chief, Public Safety and Homeland Security Bureau, Federal Communications Commission, to Robert Morse, Associate General Counsel, Verizon (Jul. 20, 2021); Letter from Lisa Fowlkes, Bureau Chief, Public Safety and Homeland Security Bureau, Federal Communications Commission,   to Shellie Blakeney, Director, Federal Regulatory Affairs, T-Mobile USA, Inc. (Jul. 20, 2021).  </w:t>
      </w:r>
    </w:p>
  </w:footnote>
  <w:footnote w:id="40">
    <w:p w:rsidR="00766D25" w:rsidP="003D79F5" w14:paraId="40E23A26" w14:textId="58D73A28">
      <w:pPr>
        <w:pStyle w:val="FootnoteText"/>
      </w:pPr>
      <w:r>
        <w:rPr>
          <w:rStyle w:val="FootnoteReference"/>
        </w:rPr>
        <w:footnoteRef/>
      </w:r>
      <w:r>
        <w:t xml:space="preserve"> </w:t>
      </w:r>
      <w:r w:rsidRPr="008B0274">
        <w:t xml:space="preserve">PSHSB </w:t>
      </w:r>
      <w:r>
        <w:t xml:space="preserve">did not ask Participating CMS Providers to deploy their own volunteer network of respondents to report on their receipt of the nationwide WEA test.  PSHSB also </w:t>
      </w:r>
      <w:r w:rsidRPr="008B0274">
        <w:t xml:space="preserve">did not ask </w:t>
      </w:r>
      <w:r>
        <w:t xml:space="preserve">Participating CMS Providers </w:t>
      </w:r>
      <w:r w:rsidRPr="008B0274">
        <w:t xml:space="preserve">for information describing how long it took for the nationwide WEA test to traverse the interface between cell sites and mobile devices, nor for how long it took the mobile devices to process and display the nationwide WEA test, nor for the percentage of mobile devices connected to their networks that received the test.  Reporting on these performance factors </w:t>
      </w:r>
      <w:r>
        <w:t>may</w:t>
      </w:r>
      <w:r w:rsidRPr="008B0274">
        <w:t xml:space="preserve"> require Participating CMS Providers to extract information from mobile devices connected to their networks, which Participating CMS Providers </w:t>
      </w:r>
      <w:r>
        <w:t>currently are not required to do under the Commission’s rules</w:t>
      </w:r>
      <w:r w:rsidRPr="008B0274">
        <w:t xml:space="preserve">.  </w:t>
      </w:r>
    </w:p>
  </w:footnote>
  <w:footnote w:id="41">
    <w:p w:rsidR="00766D25" w:rsidP="00416E67" w14:paraId="33A50DC7" w14:textId="6D143FCE">
      <w:pPr>
        <w:pStyle w:val="FootnoteText"/>
      </w:pPr>
      <w:r>
        <w:rPr>
          <w:rStyle w:val="FootnoteReference"/>
        </w:rPr>
        <w:footnoteRef/>
      </w:r>
      <w:r>
        <w:t xml:space="preserve"> This report generates findings that accurately describe, to the extent possible, the likely performance of mobile devices when an actual WEA alert is transmitted</w:t>
      </w:r>
      <w:r w:rsidRPr="00D75E8C">
        <w:t xml:space="preserve"> </w:t>
      </w:r>
      <w:r>
        <w:t xml:space="preserve">based on WEA’s performance during the nationwide WEA test, which was issued as a State/Local WEA Test Alert.  Along with other adjustments to the data described herein, we exclude from the data set mobile devices that support the receipt of WEA alerts but do not support the State/Local WEA Test Alert.  While this report finds that </w:t>
      </w:r>
      <w:r w:rsidRPr="00174C6E">
        <w:t xml:space="preserve">WEA alerts </w:t>
      </w:r>
      <w:r>
        <w:t>can be</w:t>
      </w:r>
      <w:r w:rsidRPr="00174C6E">
        <w:t xml:space="preserve"> delivered to approximately 90% of WEA-capable mobile devices </w:t>
      </w:r>
      <w:r>
        <w:t>nationwide, we encourage state, local, Tribal, and territorial alert originators to confirm the Commission’s findings through independent testing within their alerting jurisdiction using State/Local WEA Test Alerts.  T</w:t>
      </w:r>
      <w:r w:rsidRPr="0095252E">
        <w:t xml:space="preserve">o the extent that these alert originators wish to replicate the Commission’s survey, they may request additional information by contacting </w:t>
      </w:r>
      <w:r>
        <w:t>PSHSB at WEA@fcc.gov.</w:t>
      </w:r>
    </w:p>
  </w:footnote>
  <w:footnote w:id="42">
    <w:p w:rsidR="00766D25" w14:paraId="78BC4791" w14:textId="5B6B3A1A">
      <w:pPr>
        <w:pStyle w:val="FootnoteText"/>
      </w:pPr>
      <w:r>
        <w:rPr>
          <w:rStyle w:val="FootnoteReference"/>
        </w:rPr>
        <w:footnoteRef/>
      </w:r>
      <w:r>
        <w:t xml:space="preserve"> </w:t>
      </w:r>
      <w:r w:rsidRPr="00EB6586">
        <w:t>47 CFR § 10.350(c)</w:t>
      </w:r>
      <w:r>
        <w:t>.  That the nationwide WEA test did not trigger enhanced WEA geo-targeting should not affect the reliability of the nationwide WEA test’s receipt on WEA-capable mobile devices within the nationwide target area.</w:t>
      </w:r>
    </w:p>
  </w:footnote>
  <w:footnote w:id="43">
    <w:p w:rsidR="00766D25" w14:paraId="166D0574" w14:textId="7C1FF43B">
      <w:pPr>
        <w:pStyle w:val="FootnoteText"/>
      </w:pPr>
      <w:r>
        <w:rPr>
          <w:rStyle w:val="FootnoteReference"/>
        </w:rPr>
        <w:footnoteRef/>
      </w:r>
      <w:r>
        <w:t xml:space="preserve"> </w:t>
      </w:r>
      <w:r>
        <w:rPr>
          <w:i/>
          <w:iCs/>
        </w:rPr>
        <w:t>See</w:t>
      </w:r>
      <w:r>
        <w:t xml:space="preserve"> AT&amp;T 2021 Nationwide WEA Test Letter at 1 (offering the caveat that, “due to a reporting issue, we do not have substantiating data from our broadcast message center (BMC)” to confirm AT&amp;T’s belief that “the alert was transmitted successfully to all geographic areas”); Verizon 2021 Nationwide WEA Test Letter at 1; T-Mobile 2021 Nationwide WEA Test Letter at 2.</w:t>
      </w:r>
    </w:p>
  </w:footnote>
  <w:footnote w:id="44">
    <w:p w:rsidR="00766D25" w:rsidP="00B10F80" w14:paraId="4EAF9953" w14:textId="31D44EE9">
      <w:pPr>
        <w:pStyle w:val="FootnoteText"/>
      </w:pPr>
      <w:r>
        <w:rPr>
          <w:rStyle w:val="FootnoteReference"/>
        </w:rPr>
        <w:footnoteRef/>
      </w:r>
      <w:r>
        <w:t xml:space="preserve"> As discussed above, PSHSB excludes from its analysis the 30 completed survey responses that specified that they participated in the test using a mobile device that was technically incapable of opting in to receive the State/Local WEA Test Alert.  </w:t>
      </w:r>
      <w:bookmarkStart w:id="74" w:name="_Hlk86139831"/>
      <w:r>
        <w:t xml:space="preserve">Sixteen respondents in the group stated that they were “not sure” whether they received WEA alert.  To be conservative, we added these respondents to the list of respondents who reported not receiving WEA alert.  </w:t>
      </w:r>
      <w:bookmarkEnd w:id="74"/>
      <w:r w:rsidRPr="00377DC0">
        <w:t xml:space="preserve"> </w:t>
      </w:r>
      <w:r>
        <w:t xml:space="preserve"> </w:t>
      </w:r>
    </w:p>
  </w:footnote>
  <w:footnote w:id="45">
    <w:p w:rsidR="00766D25" w:rsidP="00416E67" w14:paraId="4C1C4197" w14:textId="3B6A83B2">
      <w:pPr>
        <w:pStyle w:val="FootnoteText"/>
      </w:pPr>
      <w:r>
        <w:rPr>
          <w:rStyle w:val="FootnoteReference"/>
        </w:rPr>
        <w:footnoteRef/>
      </w:r>
      <w:r>
        <w:t xml:space="preserve"> This finding is statistically significant at the 5% significance level.  </w:t>
      </w:r>
      <w:r>
        <w:rPr>
          <w:i/>
          <w:iCs/>
        </w:rPr>
        <w:t xml:space="preserve">See </w:t>
      </w:r>
      <w:r>
        <w:t>William Cochran, The X</w:t>
      </w:r>
      <w:r w:rsidRPr="00C631D5">
        <w:rPr>
          <w:vertAlign w:val="superscript"/>
        </w:rPr>
        <w:t>2</w:t>
      </w:r>
      <w:r>
        <w:t xml:space="preserve"> Test of Goodness of Fit, 23 The Annals of Mathematical Statistics 3, 334 (1952),</w:t>
      </w:r>
      <w:r w:rsidRPr="00413D0C">
        <w:t xml:space="preserve"> </w:t>
      </w:r>
      <w:hyperlink r:id="rId6" w:history="1">
        <w:r w:rsidRPr="001F60D6">
          <w:rPr>
            <w:rStyle w:val="Hyperlink"/>
          </w:rPr>
          <w:t>https://www.jstor.org/stable/2236678</w:t>
        </w:r>
      </w:hyperlink>
      <w:r>
        <w:t xml:space="preserve">. </w:t>
      </w:r>
    </w:p>
  </w:footnote>
  <w:footnote w:id="46">
    <w:p w:rsidR="00766D25" w14:paraId="70F32E32" w14:textId="5E4D274D">
      <w:pPr>
        <w:pStyle w:val="FootnoteText"/>
      </w:pPr>
      <w:r>
        <w:rPr>
          <w:rStyle w:val="FootnoteReference"/>
        </w:rPr>
        <w:footnoteRef/>
      </w:r>
      <w:r>
        <w:t xml:space="preserve"> In addition to the exclusions described above, this analysis also excludes responses where the respondent reported being “unsure” of their service provider.  </w:t>
      </w:r>
    </w:p>
  </w:footnote>
  <w:footnote w:id="47">
    <w:p w:rsidR="00766D25" w14:paraId="7AA68F75" w14:textId="242E5648">
      <w:pPr>
        <w:pStyle w:val="FootnoteText"/>
      </w:pPr>
      <w:r>
        <w:rPr>
          <w:rStyle w:val="FootnoteReference"/>
        </w:rPr>
        <w:footnoteRef/>
      </w:r>
      <w:r>
        <w:t xml:space="preserve"> </w:t>
      </w:r>
      <w:r w:rsidRPr="005641E5">
        <w:rPr>
          <w:i/>
          <w:iCs/>
        </w:rPr>
        <w:t>See Communications</w:t>
      </w:r>
      <w:r w:rsidRPr="005F24BD">
        <w:rPr>
          <w:i/>
          <w:iCs/>
        </w:rPr>
        <w:t xml:space="preserve"> Market Report</w:t>
      </w:r>
      <w:r w:rsidRPr="005F24BD">
        <w:t xml:space="preserve">, GN Docket No. 18-231, </w:t>
      </w:r>
      <w:r>
        <w:t xml:space="preserve">Report, </w:t>
      </w:r>
      <w:r w:rsidRPr="005F24BD">
        <w:t>33 FCC Rcd 12558</w:t>
      </w:r>
      <w:r>
        <w:rPr>
          <w:snapToGrid w:val="0"/>
          <w:color w:val="000000"/>
          <w:kern w:val="28"/>
          <w:sz w:val="22"/>
        </w:rPr>
        <w:t xml:space="preserve">, </w:t>
      </w:r>
      <w:r w:rsidRPr="005F24BD">
        <w:t>12562, para</w:t>
      </w:r>
      <w:r>
        <w:t>.</w:t>
      </w:r>
      <w:r w:rsidRPr="005F24BD">
        <w:t xml:space="preserve"> 7</w:t>
      </w:r>
      <w:r>
        <w:t xml:space="preserve"> (2018) (defining MVNOs as entities that</w:t>
      </w:r>
      <w:r w:rsidRPr="005F24BD">
        <w:t> </w:t>
      </w:r>
      <w:r>
        <w:t>“</w:t>
      </w:r>
      <w:r w:rsidRPr="005641E5">
        <w:t>do not own any network facilities, but instead purchase mobile wireless services wholesale from facilities-based providers and resell these services to consumers</w:t>
      </w:r>
      <w:r>
        <w:t>”).</w:t>
      </w:r>
    </w:p>
  </w:footnote>
  <w:footnote w:id="48">
    <w:p w:rsidR="00766D25" w:rsidP="00FE1023" w14:paraId="1EA060DC" w14:textId="77777777">
      <w:pPr>
        <w:pStyle w:val="FootnoteText"/>
      </w:pPr>
      <w:r>
        <w:rPr>
          <w:rStyle w:val="FootnoteReference"/>
        </w:rPr>
        <w:footnoteRef/>
      </w:r>
      <w:r>
        <w:t xml:space="preserve"> There are different types of MVNOs, including those that rely on CMS Providers for some of their network functionalities, and those that rely on CMS Providers for all of their network functionalities.  </w:t>
      </w:r>
    </w:p>
  </w:footnote>
  <w:footnote w:id="49">
    <w:p w:rsidR="00766D25" w:rsidP="0019461B" w14:paraId="12391F92" w14:textId="77777777">
      <w:pPr>
        <w:pStyle w:val="FootnoteText"/>
      </w:pPr>
      <w:r>
        <w:rPr>
          <w:rStyle w:val="FootnoteReference"/>
        </w:rPr>
        <w:footnoteRef/>
      </w:r>
      <w:r>
        <w:t xml:space="preserve"> </w:t>
      </w:r>
      <w:r w:rsidRPr="00451586">
        <w:t xml:space="preserve">Note that the percentages expressed by the analyses in this report may not add up to </w:t>
      </w:r>
      <w:r>
        <w:t xml:space="preserve">exactly </w:t>
      </w:r>
      <w:r w:rsidRPr="00451586">
        <w:t>100</w:t>
      </w:r>
      <w:r>
        <w:t>.0</w:t>
      </w:r>
      <w:r w:rsidRPr="00451586">
        <w:t>% due to rounding to the nearest tenth of a percent.</w:t>
      </w:r>
    </w:p>
  </w:footnote>
  <w:footnote w:id="50">
    <w:p w:rsidR="00766D25" w:rsidRPr="00A723A1" w:rsidP="00276205" w14:paraId="3CD2EDE8" w14:textId="7ADFE2E4">
      <w:pPr>
        <w:pStyle w:val="FootnoteText"/>
      </w:pPr>
      <w:r>
        <w:rPr>
          <w:rStyle w:val="FootnoteReference"/>
        </w:rPr>
        <w:footnoteRef/>
      </w:r>
      <w:r>
        <w:t xml:space="preserve"> </w:t>
      </w:r>
      <w:r>
        <w:rPr>
          <w:i/>
          <w:iCs/>
        </w:rPr>
        <w:t xml:space="preserve">See </w:t>
      </w:r>
      <w:r>
        <w:t xml:space="preserve">Master WEA Registry, </w:t>
      </w:r>
      <w:hyperlink r:id="rId4" w:history="1">
        <w:r w:rsidRPr="001F28D9">
          <w:rPr>
            <w:rStyle w:val="Hyperlink"/>
          </w:rPr>
          <w:t>https://www.fcc.gov/files/weamasterregistry112019xls</w:t>
        </w:r>
      </w:hyperlink>
      <w:r>
        <w:t xml:space="preserve"> (last visited Nov. 12, 2021); </w:t>
      </w:r>
      <w:r>
        <w:rPr>
          <w:i/>
          <w:iCs/>
        </w:rPr>
        <w:t>see also</w:t>
      </w:r>
      <w:r>
        <w:t xml:space="preserve"> Letter from Patrick Fonzo, Compliance Officer, Google North America Inc., to Marlene Dortch, Secretary, Federal Communications Commission, PS Docket No. 08-147 (Apr. 28, 2015).</w:t>
      </w:r>
    </w:p>
  </w:footnote>
  <w:footnote w:id="51">
    <w:p w:rsidR="00766D25" w:rsidP="00416E67" w14:paraId="5B9A4D42" w14:textId="49B2A5B7">
      <w:pPr>
        <w:pStyle w:val="FootnoteText"/>
      </w:pPr>
      <w:r>
        <w:rPr>
          <w:rStyle w:val="FootnoteReference"/>
        </w:rPr>
        <w:footnoteRef/>
      </w:r>
      <w:r>
        <w:t xml:space="preserve"> This finding is statistically significant at the 5% level.  </w:t>
      </w:r>
      <w:r>
        <w:rPr>
          <w:i/>
          <w:iCs/>
        </w:rPr>
        <w:t xml:space="preserve">See </w:t>
      </w:r>
      <w:r>
        <w:t>William Cochran, The X</w:t>
      </w:r>
      <w:r w:rsidRPr="00C631D5">
        <w:rPr>
          <w:vertAlign w:val="superscript"/>
        </w:rPr>
        <w:t>2</w:t>
      </w:r>
      <w:r>
        <w:t xml:space="preserve"> Test of Goodness of Fit, 23 The Annals of Mathematical Statistics 3, 334 (1952),</w:t>
      </w:r>
      <w:r w:rsidRPr="00413D0C">
        <w:t xml:space="preserve"> </w:t>
      </w:r>
      <w:hyperlink r:id="rId6" w:history="1">
        <w:r w:rsidRPr="001F60D6">
          <w:rPr>
            <w:rStyle w:val="Hyperlink"/>
          </w:rPr>
          <w:t>https://www.jstor.org/stable/2236678</w:t>
        </w:r>
      </w:hyperlink>
      <w:r>
        <w:t xml:space="preserve">.  </w:t>
      </w:r>
    </w:p>
  </w:footnote>
  <w:footnote w:id="52">
    <w:p w:rsidR="00766D25" w:rsidP="005F4569" w14:paraId="600D27FA" w14:textId="5DAADA09">
      <w:pPr>
        <w:pStyle w:val="FootnoteText"/>
      </w:pPr>
      <w:r w:rsidRPr="00B63972">
        <w:rPr>
          <w:rStyle w:val="FootnoteReference"/>
        </w:rPr>
        <w:footnoteRef/>
      </w:r>
      <w:r w:rsidRPr="00B63972">
        <w:t xml:space="preserve"> 2G device performance was not sufficiently reported among respondents to reach a finding.  In addition to the exclusions described, this analysis also excludes responses where the respondent did not specify the generation of network technology their phone was using at the </w:t>
      </w:r>
      <w:r>
        <w:t>test was performed</w:t>
      </w:r>
      <w:r w:rsidRPr="00B63972">
        <w:t>.</w:t>
      </w:r>
      <w:r w:rsidRPr="009C4D66">
        <w:t xml:space="preserve">  </w:t>
      </w:r>
    </w:p>
  </w:footnote>
  <w:footnote w:id="53">
    <w:p w:rsidR="00766D25" w14:paraId="30DFE0EC" w14:textId="279142EE">
      <w:pPr>
        <w:pStyle w:val="FootnoteText"/>
      </w:pPr>
      <w:r>
        <w:rPr>
          <w:rStyle w:val="FootnoteReference"/>
        </w:rPr>
        <w:footnoteRef/>
      </w:r>
      <w:r>
        <w:t xml:space="preserve"> </w:t>
      </w:r>
      <w:r w:rsidRPr="00AD709A">
        <w:rPr>
          <w:i/>
          <w:iCs/>
        </w:rPr>
        <w:t>See</w:t>
      </w:r>
      <w:r w:rsidRPr="00AD709A">
        <w:t xml:space="preserve"> AT&amp;T, </w:t>
      </w:r>
      <w:r w:rsidRPr="00AD709A">
        <w:rPr>
          <w:i/>
          <w:iCs/>
        </w:rPr>
        <w:t>Find out about Wireless Emergency Alerts</w:t>
      </w:r>
      <w:r w:rsidRPr="00AD709A">
        <w:t xml:space="preserve">, </w:t>
      </w:r>
      <w:hyperlink r:id="rId7" w:history="1">
        <w:r w:rsidRPr="00AD709A">
          <w:rPr>
            <w:rStyle w:val="Hyperlink"/>
          </w:rPr>
          <w:t>https://www.att.com/support/article/wireless/KM1009041</w:t>
        </w:r>
      </w:hyperlink>
      <w:r w:rsidRPr="00AD709A">
        <w:t xml:space="preserve"> (last visited Aug. 15, 2021); Verizon, </w:t>
      </w:r>
      <w:r w:rsidRPr="00AD709A">
        <w:rPr>
          <w:i/>
          <w:iCs/>
        </w:rPr>
        <w:t>Wireless Emergency Alert Compatible Devices</w:t>
      </w:r>
      <w:r w:rsidRPr="00AD709A">
        <w:t>,</w:t>
      </w:r>
      <w:r w:rsidRPr="00AD709A">
        <w:rPr>
          <w:i/>
          <w:iCs/>
        </w:rPr>
        <w:t xml:space="preserve"> </w:t>
      </w:r>
      <w:hyperlink r:id="rId8" w:history="1">
        <w:r w:rsidRPr="00AD709A">
          <w:rPr>
            <w:rStyle w:val="Hyperlink"/>
          </w:rPr>
          <w:t>https://www.verizon.com/support/wireless-emergency-alerts-compatible-devices/</w:t>
        </w:r>
      </w:hyperlink>
      <w:r w:rsidRPr="00AD709A">
        <w:t xml:space="preserve"> (last visited Aug. 15, 2021); T-Mobile, </w:t>
      </w:r>
      <w:r w:rsidRPr="00AD709A">
        <w:rPr>
          <w:i/>
          <w:iCs/>
        </w:rPr>
        <w:t>Devices Tested for WEA Functionality</w:t>
      </w:r>
      <w:r w:rsidRPr="00AD709A">
        <w:t xml:space="preserve">, </w:t>
      </w:r>
      <w:hyperlink r:id="rId9" w:history="1">
        <w:r w:rsidRPr="0002547A">
          <w:rPr>
            <w:rStyle w:val="Hyperlink"/>
          </w:rPr>
          <w:t>https://www.t-mobile.com/content/dam/t-mobile/pdf/TMobileWEA-4.pdf</w:t>
        </w:r>
      </w:hyperlink>
      <w:r>
        <w:t xml:space="preserve"> </w:t>
      </w:r>
      <w:r w:rsidRPr="00AD709A">
        <w:t xml:space="preserve"> </w:t>
      </w:r>
      <w:r>
        <w:t xml:space="preserve"> </w:t>
      </w:r>
      <w:r w:rsidRPr="00AD709A">
        <w:t>(last visited Aug. 15, 2021).</w:t>
      </w:r>
    </w:p>
  </w:footnote>
  <w:footnote w:id="54">
    <w:p w:rsidR="00766D25" w14:paraId="41582769" w14:textId="600818BE">
      <w:pPr>
        <w:pStyle w:val="FootnoteText"/>
      </w:pPr>
      <w:r>
        <w:rPr>
          <w:rStyle w:val="FootnoteReference"/>
        </w:rPr>
        <w:footnoteRef/>
      </w:r>
      <w:r>
        <w:t xml:space="preserve"> </w:t>
      </w:r>
      <w:r w:rsidRPr="006C0071">
        <w:t>In addition to the exclusions described above</w:t>
      </w:r>
      <w:r>
        <w:t>,</w:t>
      </w:r>
      <w:r w:rsidRPr="006C0071">
        <w:t xml:space="preserve"> this analysis also excludes responses where the respondent reported being “unsure” of the model of their mobile device</w:t>
      </w:r>
      <w:r>
        <w:t>, which therefore prevented PSHSB from determining the WEA capabilities of the phone</w:t>
      </w:r>
      <w:r w:rsidRPr="006C0071">
        <w:t>.</w:t>
      </w:r>
    </w:p>
  </w:footnote>
  <w:footnote w:id="55">
    <w:p w:rsidR="00766D25" w:rsidP="00416E67" w14:paraId="049EA856" w14:textId="658C410F">
      <w:pPr>
        <w:pStyle w:val="FootnoteText"/>
      </w:pPr>
      <w:r>
        <w:rPr>
          <w:rStyle w:val="FootnoteReference"/>
        </w:rPr>
        <w:footnoteRef/>
      </w:r>
      <w:r>
        <w:t xml:space="preserve"> This is statistically significant at the 5% significance level.  </w:t>
      </w:r>
      <w:r>
        <w:rPr>
          <w:i/>
          <w:iCs/>
        </w:rPr>
        <w:t xml:space="preserve">See </w:t>
      </w:r>
      <w:r>
        <w:t>William Cochran, The X</w:t>
      </w:r>
      <w:r w:rsidRPr="00C631D5">
        <w:rPr>
          <w:vertAlign w:val="superscript"/>
        </w:rPr>
        <w:t>2</w:t>
      </w:r>
      <w:r>
        <w:t xml:space="preserve"> Test of Goodness of Fit, 23 The Annals of Mathematical Statistics 3, 334 (1952),</w:t>
      </w:r>
      <w:r w:rsidRPr="00413D0C">
        <w:t xml:space="preserve"> </w:t>
      </w:r>
      <w:hyperlink r:id="rId6" w:history="1">
        <w:r w:rsidRPr="002D64BD">
          <w:rPr>
            <w:rStyle w:val="Hyperlink"/>
          </w:rPr>
          <w:t>https://www.jstor.org/stable/2236678</w:t>
        </w:r>
      </w:hyperlink>
      <w:r>
        <w:t xml:space="preserve">.   </w:t>
      </w:r>
    </w:p>
  </w:footnote>
  <w:footnote w:id="56">
    <w:p w:rsidR="00766D25" w14:paraId="4F9D6D4C" w14:textId="5EE4A2B5">
      <w:pPr>
        <w:pStyle w:val="FootnoteText"/>
      </w:pPr>
      <w:r>
        <w:rPr>
          <w:rStyle w:val="FootnoteReference"/>
        </w:rPr>
        <w:footnoteRef/>
      </w:r>
      <w:r>
        <w:t xml:space="preserve"> </w:t>
      </w:r>
      <w:r w:rsidRPr="006C0071">
        <w:t>In addition to the exclusions described above, this analysis also excludes responses where the respondent reported being “unsure” of the brand of their mobile device.</w:t>
      </w:r>
    </w:p>
  </w:footnote>
  <w:footnote w:id="57">
    <w:p w:rsidR="00766D25" w14:paraId="441A3FA0" w14:textId="17CFCCB7">
      <w:pPr>
        <w:pStyle w:val="FootnoteText"/>
      </w:pPr>
      <w:r>
        <w:rPr>
          <w:rStyle w:val="FootnoteReference"/>
        </w:rPr>
        <w:footnoteRef/>
      </w:r>
      <w:r>
        <w:t xml:space="preserve"> </w:t>
      </w:r>
      <w:r w:rsidRPr="009113B5">
        <w:t xml:space="preserve">In addition to the exclusions described above, this analysis also excludes responses where the respondent reported being “unsure” of </w:t>
      </w:r>
      <w:r>
        <w:t>the operating system of their mobile device.</w:t>
      </w:r>
    </w:p>
  </w:footnote>
  <w:footnote w:id="58">
    <w:p w:rsidR="00766D25" w:rsidP="00416E67" w14:paraId="2393A29A" w14:textId="6C0FE1C4">
      <w:pPr>
        <w:pStyle w:val="FootnoteText"/>
      </w:pPr>
      <w:r>
        <w:rPr>
          <w:rStyle w:val="FootnoteReference"/>
        </w:rPr>
        <w:footnoteRef/>
      </w:r>
      <w:r>
        <w:t xml:space="preserve"> The Commission’s Office of Economic Analysis performed statistical analysis to generate this result and finds it to be insignificant.  There is no statistical test for similarity, however.</w:t>
      </w:r>
    </w:p>
  </w:footnote>
  <w:footnote w:id="59">
    <w:p w:rsidR="00766D25" w:rsidP="00E8084B" w14:paraId="76476DE2" w14:textId="3CE0C63C">
      <w:pPr>
        <w:pStyle w:val="FootnoteText"/>
      </w:pPr>
      <w:r>
        <w:rPr>
          <w:rStyle w:val="FootnoteReference"/>
        </w:rPr>
        <w:footnoteRef/>
      </w:r>
      <w:r>
        <w:t xml:space="preserve"> </w:t>
      </w:r>
      <w:r w:rsidRPr="009113B5">
        <w:t xml:space="preserve">In addition to the exclusions described above, this analysis also excludes responses where the respondent </w:t>
      </w:r>
      <w:r>
        <w:t>did not report whether they were indoors</w:t>
      </w:r>
      <w:r w:rsidRPr="009113B5">
        <w:t xml:space="preserve">.  </w:t>
      </w:r>
    </w:p>
  </w:footnote>
  <w:footnote w:id="60">
    <w:p w:rsidR="00766D25" w:rsidRPr="00EC6E6A" w:rsidP="00416E67" w14:paraId="6D11B625" w14:textId="10360FB8">
      <w:pPr>
        <w:pStyle w:val="FootnoteText"/>
      </w:pPr>
      <w:r>
        <w:rPr>
          <w:rStyle w:val="FootnoteReference"/>
        </w:rPr>
        <w:footnoteRef/>
      </w:r>
      <w:r>
        <w:t xml:space="preserve"> PSHSB performed statistical analysis to generate this result and finds it to be significant.  There is no statistical test for similarity, however.  </w:t>
      </w:r>
      <w:r>
        <w:rPr>
          <w:i/>
          <w:iCs/>
        </w:rPr>
        <w:t>See</w:t>
      </w:r>
      <w:r>
        <w:t xml:space="preserve"> Sebastian Georg,</w:t>
      </w:r>
      <w:r w:rsidRPr="00EC6E6A">
        <w:rPr>
          <w:snapToGrid w:val="0"/>
          <w:kern w:val="28"/>
          <w:sz w:val="43"/>
          <w:szCs w:val="43"/>
        </w:rPr>
        <w:t xml:space="preserve"> </w:t>
      </w:r>
      <w:r w:rsidRPr="00EC6E6A">
        <w:t xml:space="preserve">Nonparametric </w:t>
      </w:r>
      <w:r>
        <w:t>T</w:t>
      </w:r>
      <w:r w:rsidRPr="00EC6E6A">
        <w:t xml:space="preserve">esting of </w:t>
      </w:r>
      <w:r>
        <w:t>D</w:t>
      </w:r>
      <w:r w:rsidRPr="00EC6E6A">
        <w:t>istributions—the</w:t>
      </w:r>
      <w:r>
        <w:t xml:space="preserve"> </w:t>
      </w:r>
      <w:r w:rsidRPr="00EC6E6A">
        <w:t xml:space="preserve">Epps–Singleton </w:t>
      </w:r>
      <w:r>
        <w:t>T</w:t>
      </w:r>
      <w:r w:rsidRPr="00EC6E6A">
        <w:t>wo-</w:t>
      </w:r>
      <w:r>
        <w:t>S</w:t>
      </w:r>
      <w:r w:rsidRPr="00EC6E6A">
        <w:t xml:space="preserve">ample </w:t>
      </w:r>
      <w:r>
        <w:t>T</w:t>
      </w:r>
      <w:r w:rsidRPr="00EC6E6A">
        <w:t xml:space="preserve">est </w:t>
      </w:r>
      <w:r>
        <w:t>U</w:t>
      </w:r>
      <w:r w:rsidRPr="00EC6E6A">
        <w:t>sing the</w:t>
      </w:r>
      <w:r>
        <w:t xml:space="preserve"> E</w:t>
      </w:r>
      <w:r w:rsidRPr="00EC6E6A">
        <w:t xml:space="preserve">mpirical </w:t>
      </w:r>
      <w:r>
        <w:t>C</w:t>
      </w:r>
      <w:r w:rsidRPr="00EC6E6A">
        <w:t xml:space="preserve">haracteristic </w:t>
      </w:r>
      <w:r>
        <w:t>F</w:t>
      </w:r>
      <w:r w:rsidRPr="00EC6E6A">
        <w:t>unction</w:t>
      </w:r>
      <w:r>
        <w:t>, 9 The Strata Journal 3, 454-465 (2009).</w:t>
      </w:r>
    </w:p>
  </w:footnote>
  <w:footnote w:id="61">
    <w:p w:rsidR="00766D25" w14:paraId="30A97753" w14:textId="5EC69362">
      <w:pPr>
        <w:pStyle w:val="FootnoteText"/>
      </w:pPr>
      <w:r>
        <w:rPr>
          <w:rStyle w:val="FootnoteReference"/>
        </w:rPr>
        <w:footnoteRef/>
      </w:r>
      <w:r>
        <w:t xml:space="preserve"> 47 CFR </w:t>
      </w:r>
      <w:r w:rsidRPr="009D7B1A">
        <w:rPr>
          <w:bCs/>
        </w:rPr>
        <w:t>§</w:t>
      </w:r>
      <w:r>
        <w:rPr>
          <w:bCs/>
        </w:rPr>
        <w:t xml:space="preserve"> 10.510.</w:t>
      </w:r>
    </w:p>
  </w:footnote>
  <w:footnote w:id="62">
    <w:p w:rsidR="00766D25" w:rsidRPr="0025224A" w14:paraId="7F90BDCC" w14:textId="540D3390">
      <w:pPr>
        <w:pStyle w:val="FootnoteText"/>
        <w:rPr>
          <w:i/>
          <w:iCs/>
        </w:rPr>
      </w:pPr>
      <w:r>
        <w:rPr>
          <w:rStyle w:val="FootnoteReference"/>
        </w:rPr>
        <w:footnoteRef/>
      </w:r>
      <w:r>
        <w:t xml:space="preserve"> Provided that the mobile device is technically capable of being tuned to the control channel and the voice or data network simultaneously.  </w:t>
      </w:r>
      <w:r>
        <w:rPr>
          <w:i/>
          <w:iCs/>
        </w:rPr>
        <w:t>See</w:t>
      </w:r>
      <w:r>
        <w:t xml:space="preserve"> ATIS, Wireless Emergency Alert (WEA) 3.0 Mobile Device Behavior (MDB) Specification, ATIS-0700036.v002, at 14 (2019); </w:t>
      </w:r>
      <w:r>
        <w:rPr>
          <w:i/>
          <w:iCs/>
        </w:rPr>
        <w:t xml:space="preserve">see also </w:t>
      </w:r>
      <w:r w:rsidRPr="00EC6E6A">
        <w:rPr>
          <w:i/>
          <w:iCs/>
        </w:rPr>
        <w:t>WEA R&amp;O and WEA FNPRM</w:t>
      </w:r>
      <w:r>
        <w:t>,</w:t>
      </w:r>
      <w:r w:rsidRPr="00DC56C6">
        <w:t xml:space="preserve"> 31 FCC Rcd </w:t>
      </w:r>
      <w:r>
        <w:t xml:space="preserve">at 11152, para 59 (observing that, unlike legacy mobile devices, 4G-LTE-capable mobile devices </w:t>
      </w:r>
      <w:r w:rsidRPr="004966AF">
        <w:t>c</w:t>
      </w:r>
      <w:r>
        <w:t>ould</w:t>
      </w:r>
      <w:r w:rsidRPr="004966AF">
        <w:t xml:space="preserve"> receive </w:t>
      </w:r>
      <w:r>
        <w:t>WEA alerts</w:t>
      </w:r>
      <w:r w:rsidRPr="004966AF">
        <w:t xml:space="preserve"> as soon as they are availabl</w:t>
      </w:r>
      <w:r>
        <w:t xml:space="preserve">e, even while the device is engaged in an active voice or data session, because such devices can </w:t>
      </w:r>
      <w:r w:rsidRPr="004966AF">
        <w:t xml:space="preserve">be simultaneously tuned to the </w:t>
      </w:r>
      <w:r>
        <w:t xml:space="preserve">voice or data network and the </w:t>
      </w:r>
      <w:r w:rsidRPr="004966AF">
        <w:t xml:space="preserve">control channel that carries WEA </w:t>
      </w:r>
      <w:r>
        <w:t>a</w:t>
      </w:r>
      <w:r w:rsidRPr="004966AF">
        <w:t>lert</w:t>
      </w:r>
      <w:r>
        <w:t>s);</w:t>
      </w:r>
      <w:r>
        <w:rPr>
          <w:i/>
          <w:iCs/>
        </w:rPr>
        <w:t xml:space="preserve"> </w:t>
      </w:r>
      <w:r>
        <w:t>Letter from Thomas Goode, General Counsel, ATIS, to James Wiley, Attorney Adviser, Cybersecurity and Communications Reliability Division, Public Safety and Homeland Security Bureau, Federal Communications Commission, PS Docket Nos. 15-91, 15-94 (Jun. 14, 2021).</w:t>
      </w:r>
    </w:p>
  </w:footnote>
  <w:footnote w:id="63">
    <w:p w:rsidR="00766D25" w14:paraId="765489CB" w14:textId="447502F6">
      <w:pPr>
        <w:pStyle w:val="FootnoteText"/>
      </w:pPr>
      <w:r>
        <w:rPr>
          <w:rStyle w:val="FootnoteReference"/>
        </w:rPr>
        <w:footnoteRef/>
      </w:r>
      <w:r>
        <w:t xml:space="preserve"> Mobile devices that presented the nationwide WEA test during an active voice or data session displayed the nationwide WEA test to the user while they were using their mobile device for another purpose.</w:t>
      </w:r>
    </w:p>
  </w:footnote>
  <w:footnote w:id="64">
    <w:p w:rsidR="00766D25" w:rsidP="00EA6DF7" w14:paraId="45ADA5BC" w14:textId="32505892">
      <w:pPr>
        <w:pStyle w:val="FootnoteText"/>
      </w:pPr>
      <w:r>
        <w:rPr>
          <w:rStyle w:val="FootnoteReference"/>
        </w:rPr>
        <w:footnoteRef/>
      </w:r>
      <w:r>
        <w:t xml:space="preserve"> </w:t>
      </w:r>
      <w:r w:rsidRPr="005C3DC8">
        <w:rPr>
          <w:i/>
          <w:iCs/>
        </w:rPr>
        <w:t>See</w:t>
      </w:r>
      <w:r>
        <w:rPr>
          <w:i/>
          <w:iCs/>
        </w:rPr>
        <w:t xml:space="preserve"> generally</w:t>
      </w:r>
      <w:r w:rsidRPr="005C3DC8">
        <w:t xml:space="preserve"> AT&amp;T 2021 Nationwide WEA Test Letter.</w:t>
      </w:r>
      <w:r>
        <w:t xml:space="preserve">  </w:t>
      </w:r>
      <w:bookmarkStart w:id="143" w:name="_Hlk85443375"/>
      <w:r w:rsidRPr="00D06097">
        <w:t xml:space="preserve">It took 40 seconds for AT&amp;T’s </w:t>
      </w:r>
      <w:r>
        <w:t>broadcast message center</w:t>
      </w:r>
      <w:r w:rsidRPr="00D06097">
        <w:t xml:space="preserve"> to process the nationwide </w:t>
      </w:r>
      <w:r>
        <w:t>WEA test</w:t>
      </w:r>
      <w:r w:rsidRPr="00D06097">
        <w:t xml:space="preserve"> and send </w:t>
      </w:r>
      <w:r>
        <w:t>it</w:t>
      </w:r>
      <w:r w:rsidRPr="00D06097">
        <w:t xml:space="preserve"> to all radio access network entities nationwide. </w:t>
      </w:r>
      <w:r>
        <w:t xml:space="preserve"> It</w:t>
      </w:r>
      <w:r w:rsidRPr="00D06097">
        <w:t xml:space="preserve"> took under 100ms </w:t>
      </w:r>
      <w:r>
        <w:t xml:space="preserve">for </w:t>
      </w:r>
      <w:r w:rsidRPr="00D06097">
        <w:t xml:space="preserve">AT&amp;T’s Cell Radio Network Controllers/Mobility Management Entities to process and send the alert to its </w:t>
      </w:r>
      <w:r>
        <w:t>cell sites</w:t>
      </w:r>
      <w:r w:rsidRPr="00D06097">
        <w:t xml:space="preserve">.  </w:t>
      </w:r>
      <w:r>
        <w:t xml:space="preserve">It </w:t>
      </w:r>
      <w:r w:rsidRPr="00D06097">
        <w:t xml:space="preserve">took AT&amp;T’s </w:t>
      </w:r>
      <w:r>
        <w:t>cell sites</w:t>
      </w:r>
      <w:r w:rsidRPr="00D06097">
        <w:t xml:space="preserve"> approximately 1 second to process and send the </w:t>
      </w:r>
      <w:r>
        <w:t xml:space="preserve">nationwide WEA test </w:t>
      </w:r>
      <w:r w:rsidRPr="00D06097">
        <w:t>to AT&amp;T’s subscribers.</w:t>
      </w:r>
      <w:r>
        <w:t xml:space="preserve">  Taken together, these latencies (40 seconds + 100 milliseconds + 1 second) equal 41.1 seconds.</w:t>
      </w:r>
      <w:bookmarkEnd w:id="143"/>
    </w:p>
  </w:footnote>
  <w:footnote w:id="65">
    <w:p w:rsidR="00766D25" w:rsidP="00EA6DF7" w14:paraId="31BBF1F8" w14:textId="286E527A">
      <w:pPr>
        <w:pStyle w:val="FootnoteText"/>
      </w:pPr>
      <w:r>
        <w:rPr>
          <w:rStyle w:val="FootnoteReference"/>
        </w:rPr>
        <w:footnoteRef/>
      </w:r>
      <w:r>
        <w:t xml:space="preserve"> </w:t>
      </w:r>
      <w:r w:rsidRPr="005C3DC8">
        <w:rPr>
          <w:i/>
          <w:iCs/>
        </w:rPr>
        <w:t>See</w:t>
      </w:r>
      <w:r>
        <w:rPr>
          <w:i/>
          <w:iCs/>
        </w:rPr>
        <w:t xml:space="preserve"> generally</w:t>
      </w:r>
      <w:r w:rsidRPr="005C3DC8">
        <w:t xml:space="preserve"> </w:t>
      </w:r>
      <w:r>
        <w:t>Verizon</w:t>
      </w:r>
      <w:r w:rsidRPr="005C3DC8">
        <w:t xml:space="preserve"> 2021 Nationwide WEA Test Letter.</w:t>
      </w:r>
      <w:r>
        <w:t xml:space="preserve">  </w:t>
      </w:r>
      <w:bookmarkStart w:id="144" w:name="_Hlk85443767"/>
      <w:r>
        <w:t xml:space="preserve">Verizon provided its network latency data differently than AT&amp;T and T-Mobile, so PSHSB calculated end-to-end latency on Verizon’s network differently from AT&amp;T and T-Mobile.  </w:t>
      </w:r>
      <w:r w:rsidRPr="005008BD">
        <w:t xml:space="preserve">According to Verizon, </w:t>
      </w:r>
      <w:r>
        <w:t xml:space="preserve">on the day of the nationwide WEA test, </w:t>
      </w:r>
      <w:r w:rsidRPr="005008BD">
        <w:t xml:space="preserve">its </w:t>
      </w:r>
      <w:r>
        <w:t>network</w:t>
      </w:r>
      <w:r w:rsidRPr="005008BD">
        <w:t xml:space="preserve"> received the </w:t>
      </w:r>
      <w:r>
        <w:t xml:space="preserve">nationwide WEA test </w:t>
      </w:r>
      <w:r w:rsidRPr="005008BD">
        <w:t xml:space="preserve">from FEMA </w:t>
      </w:r>
      <w:r>
        <w:t xml:space="preserve">at </w:t>
      </w:r>
      <w:r w:rsidRPr="005008BD">
        <w:t>14:20:05,969 and</w:t>
      </w:r>
      <w:r>
        <w:t xml:space="preserve"> first</w:t>
      </w:r>
      <w:r w:rsidRPr="005008BD">
        <w:t xml:space="preserve"> transmitted it to </w:t>
      </w:r>
      <w:r>
        <w:t>Verizon’s</w:t>
      </w:r>
      <w:r w:rsidRPr="005008BD">
        <w:t xml:space="preserve"> subscribers at 14:21:01,274.  The difference is 55</w:t>
      </w:r>
      <w:r>
        <w:t>.</w:t>
      </w:r>
      <w:r w:rsidRPr="005008BD">
        <w:t xml:space="preserve">305 seconds, the minimum delay.   </w:t>
      </w:r>
      <w:r>
        <w:t xml:space="preserve">Verizon reports that its network </w:t>
      </w:r>
      <w:r w:rsidRPr="005008BD">
        <w:t>las</w:t>
      </w:r>
      <w:r>
        <w:t xml:space="preserve">t sent the nationwide WEA test at </w:t>
      </w:r>
      <w:r w:rsidRPr="005008BD">
        <w:t>14:21:01,738</w:t>
      </w:r>
      <w:r>
        <w:t xml:space="preserve">, yielding a maximum delay of </w:t>
      </w:r>
      <w:r w:rsidRPr="005008BD">
        <w:t>55:769 seconds. Therefore, the nationwide WEA test traversed Verizon’s network infrastructure from alert gateway to cell site in 55</w:t>
      </w:r>
      <w:r>
        <w:t>.</w:t>
      </w:r>
      <w:r w:rsidRPr="005008BD">
        <w:t>305 to 55</w:t>
      </w:r>
      <w:r>
        <w:t>.</w:t>
      </w:r>
      <w:r w:rsidRPr="005008BD">
        <w:t xml:space="preserve">769 seconds. </w:t>
      </w:r>
      <w:bookmarkEnd w:id="144"/>
    </w:p>
  </w:footnote>
  <w:footnote w:id="66">
    <w:p w:rsidR="00766D25" w:rsidP="00EA6DF7" w14:paraId="123E7450" w14:textId="2B5ECB0B">
      <w:pPr>
        <w:pStyle w:val="FootnoteText"/>
      </w:pPr>
      <w:r>
        <w:rPr>
          <w:rStyle w:val="FootnoteReference"/>
        </w:rPr>
        <w:footnoteRef/>
      </w:r>
      <w:r>
        <w:t xml:space="preserve"> </w:t>
      </w:r>
      <w:r w:rsidRPr="005C3DC8">
        <w:rPr>
          <w:i/>
          <w:iCs/>
        </w:rPr>
        <w:t>See</w:t>
      </w:r>
      <w:r>
        <w:rPr>
          <w:i/>
          <w:iCs/>
        </w:rPr>
        <w:t xml:space="preserve"> generally</w:t>
      </w:r>
      <w:r w:rsidRPr="005C3DC8">
        <w:t xml:space="preserve"> </w:t>
      </w:r>
      <w:r>
        <w:t>T-Mobile</w:t>
      </w:r>
      <w:r w:rsidRPr="005C3DC8">
        <w:t xml:space="preserve"> 2021 Nationwide WEA Test Letter</w:t>
      </w:r>
      <w:r>
        <w:t xml:space="preserve">. </w:t>
      </w:r>
      <w:bookmarkStart w:id="145" w:name="_Hlk84508694"/>
      <w:bookmarkStart w:id="146" w:name="_Hlk85443388"/>
      <w:r>
        <w:t xml:space="preserve">It took </w:t>
      </w:r>
      <w:r w:rsidRPr="00D27747">
        <w:t>35.895 seconds</w:t>
      </w:r>
      <w:r>
        <w:rPr>
          <w:b/>
          <w:bCs/>
        </w:rPr>
        <w:t xml:space="preserve"> </w:t>
      </w:r>
      <w:r>
        <w:t xml:space="preserve">for </w:t>
      </w:r>
      <w:r w:rsidRPr="00D27747">
        <w:t>T-Mobile</w:t>
      </w:r>
      <w:r>
        <w:t>’s</w:t>
      </w:r>
      <w:r w:rsidRPr="00D27747">
        <w:t xml:space="preserve"> WEA platform to process and transmit the </w:t>
      </w:r>
      <w:r>
        <w:t>nationwide WEA test</w:t>
      </w:r>
      <w:r w:rsidRPr="00D27747">
        <w:t xml:space="preserve"> to T-Mobile’s Radio Network Controllers/Mobility Management Entities/Access and Mobility Function. </w:t>
      </w:r>
      <w:r>
        <w:t xml:space="preserve"> It took under </w:t>
      </w:r>
      <w:r w:rsidRPr="004B3001">
        <w:t>00:144 seconds (144 milliseconds)</w:t>
      </w:r>
      <w:r>
        <w:rPr>
          <w:b/>
          <w:bCs/>
        </w:rPr>
        <w:t xml:space="preserve"> </w:t>
      </w:r>
      <w:r>
        <w:t xml:space="preserve">for T-Mobile’s </w:t>
      </w:r>
      <w:r w:rsidRPr="00D27747">
        <w:t xml:space="preserve">Cell Radio Network Controllers/Mobility Management Entities </w:t>
      </w:r>
      <w:r>
        <w:t>to</w:t>
      </w:r>
      <w:r w:rsidRPr="00D27747">
        <w:t xml:space="preserve"> process and sen</w:t>
      </w:r>
      <w:r>
        <w:t>d</w:t>
      </w:r>
      <w:r w:rsidRPr="00D27747">
        <w:t xml:space="preserve"> the </w:t>
      </w:r>
      <w:r>
        <w:t>nationwide WEA test</w:t>
      </w:r>
      <w:r w:rsidRPr="00D27747">
        <w:t xml:space="preserve"> to its </w:t>
      </w:r>
      <w:r>
        <w:t xml:space="preserve">cell sites.  It took T-Mobile’s cell sites </w:t>
      </w:r>
      <w:r w:rsidRPr="00C631D5">
        <w:t>less than 1 second</w:t>
      </w:r>
      <w:r w:rsidRPr="001D4A31">
        <w:t xml:space="preserve"> </w:t>
      </w:r>
      <w:r>
        <w:t xml:space="preserve">to </w:t>
      </w:r>
      <w:r w:rsidRPr="00C631D5">
        <w:t xml:space="preserve">process </w:t>
      </w:r>
      <w:r>
        <w:t xml:space="preserve">and send </w:t>
      </w:r>
      <w:r w:rsidRPr="00C631D5">
        <w:t xml:space="preserve">the </w:t>
      </w:r>
      <w:r>
        <w:t xml:space="preserve">nationwide WEA </w:t>
      </w:r>
      <w:r w:rsidRPr="00C631D5">
        <w:t xml:space="preserve">test to </w:t>
      </w:r>
      <w:r>
        <w:t xml:space="preserve">T-Mobile’s </w:t>
      </w:r>
      <w:r w:rsidRPr="00C631D5">
        <w:t>subscribers</w:t>
      </w:r>
      <w:r w:rsidRPr="004B3001">
        <w:t xml:space="preserve">. </w:t>
      </w:r>
      <w:r>
        <w:t>Taken together, these latencies (</w:t>
      </w:r>
      <w:r w:rsidRPr="00D27747">
        <w:t xml:space="preserve">35.895 </w:t>
      </w:r>
      <w:r>
        <w:t xml:space="preserve">seconds </w:t>
      </w:r>
      <w:r w:rsidRPr="00D27747">
        <w:t xml:space="preserve">+ </w:t>
      </w:r>
      <w:r>
        <w:t>144 milliseconds</w:t>
      </w:r>
      <w:r w:rsidRPr="00D27747">
        <w:t xml:space="preserve"> + </w:t>
      </w:r>
      <w:r>
        <w:t xml:space="preserve">1 second) equal </w:t>
      </w:r>
      <w:r w:rsidRPr="00D27747">
        <w:t>36.679</w:t>
      </w:r>
      <w:bookmarkEnd w:id="145"/>
      <w:r>
        <w:t xml:space="preserve"> seconds.</w:t>
      </w:r>
      <w:bookmarkEnd w:id="146"/>
    </w:p>
  </w:footnote>
  <w:footnote w:id="67">
    <w:p w:rsidR="00766D25" w:rsidP="00EA6DF7" w14:paraId="0100E3E7" w14:textId="77777777">
      <w:pPr>
        <w:pStyle w:val="FootnoteText"/>
      </w:pPr>
      <w:r>
        <w:rPr>
          <w:rStyle w:val="FootnoteReference"/>
        </w:rPr>
        <w:footnoteRef/>
      </w:r>
      <w:r>
        <w:t xml:space="preserve"> </w:t>
      </w:r>
      <w:r>
        <w:rPr>
          <w:i/>
          <w:iCs/>
        </w:rPr>
        <w:t xml:space="preserve">See </w:t>
      </w:r>
      <w:r w:rsidRPr="005C3DC8">
        <w:t>AT&amp;T 2021 Nationwide WEA Test Letter</w:t>
      </w:r>
      <w:r>
        <w:t xml:space="preserve"> at 1; Verizon</w:t>
      </w:r>
      <w:r w:rsidRPr="005C3DC8">
        <w:t xml:space="preserve"> 2021 Nationwide WEA Test Letter</w:t>
      </w:r>
      <w:r>
        <w:t xml:space="preserve"> at 1; T-Mobile</w:t>
      </w:r>
      <w:r w:rsidRPr="005C3DC8">
        <w:t xml:space="preserve"> 2021 Nationwide WEA Test Lette</w:t>
      </w:r>
      <w:r>
        <w:t>r at 2.</w:t>
      </w:r>
    </w:p>
  </w:footnote>
  <w:footnote w:id="68">
    <w:p w:rsidR="00766D25" w:rsidRPr="002E74F1" w:rsidP="00EA6DF7" w14:paraId="1A33C94C" w14:textId="09DFA8D6">
      <w:pPr>
        <w:pStyle w:val="FootnoteText"/>
      </w:pPr>
      <w:r>
        <w:rPr>
          <w:rStyle w:val="FootnoteReference"/>
        </w:rPr>
        <w:footnoteRef/>
      </w:r>
      <w:r>
        <w:t xml:space="preserve"> </w:t>
      </w:r>
      <w:r w:rsidRPr="002E74F1">
        <w:t>The</w:t>
      </w:r>
      <w:r>
        <w:t xml:space="preserve"> radio network controller</w:t>
      </w:r>
      <w:r w:rsidRPr="002E74F1">
        <w:t xml:space="preserve"> and the </w:t>
      </w:r>
      <w:r>
        <w:t xml:space="preserve">mobility management entity </w:t>
      </w:r>
      <w:r w:rsidRPr="002E74F1">
        <w:t xml:space="preserve">are mainly responsible for interpretation of </w:t>
      </w:r>
      <w:r w:rsidRPr="002E74F1">
        <w:br/>
        <w:t xml:space="preserve">commands from the </w:t>
      </w:r>
      <w:r>
        <w:t>cell broadcast center</w:t>
      </w:r>
      <w:r w:rsidRPr="002E74F1">
        <w:t xml:space="preserve">, storage of messages from the </w:t>
      </w:r>
      <w:r>
        <w:t>cell broadcast center</w:t>
      </w:r>
      <w:r w:rsidRPr="002E74F1">
        <w:t xml:space="preserve">, providing to the </w:t>
      </w:r>
      <w:r>
        <w:t>cell broadcast center</w:t>
      </w:r>
      <w:r w:rsidRPr="002E74F1">
        <w:t xml:space="preserve"> acknowledgement of successful execution of commands received from the </w:t>
      </w:r>
      <w:r>
        <w:t>cell broadcast center</w:t>
      </w:r>
      <w:r w:rsidRPr="002E74F1">
        <w:t xml:space="preserve">, reporting to the </w:t>
      </w:r>
      <w:r>
        <w:t>cell broadcast center</w:t>
      </w:r>
      <w:r w:rsidRPr="002E74F1">
        <w:t xml:space="preserve"> failure when a command received from the </w:t>
      </w:r>
      <w:r>
        <w:t>cell broadcast center</w:t>
      </w:r>
      <w:r w:rsidRPr="002E74F1">
        <w:t xml:space="preserve"> is not understood or cannot be executed, and routing of alert messages to the appropriate distribution area</w:t>
      </w:r>
      <w:r>
        <w:t xml:space="preserve">.  Radio network controllers </w:t>
      </w:r>
      <w:r w:rsidRPr="002E74F1">
        <w:t xml:space="preserve">interface to only one </w:t>
      </w:r>
      <w:r>
        <w:t>cell broadcast center</w:t>
      </w:r>
      <w:r w:rsidRPr="002E74F1">
        <w:t xml:space="preserve">, whereas the </w:t>
      </w:r>
      <w:r>
        <w:t>mobility management entity</w:t>
      </w:r>
      <w:r w:rsidRPr="002E74F1">
        <w:t xml:space="preserve"> may interface to one </w:t>
      </w:r>
      <w:r>
        <w:t>cell broadcast center</w:t>
      </w:r>
      <w:r w:rsidRPr="002E74F1">
        <w:t xml:space="preserve"> or multiple </w:t>
      </w:r>
      <w:r>
        <w:t>cell broadcast center</w:t>
      </w:r>
      <w:r w:rsidRPr="002E74F1">
        <w:t>s.</w:t>
      </w:r>
      <w:r>
        <w:t xml:space="preserve">  </w:t>
      </w:r>
    </w:p>
  </w:footnote>
  <w:footnote w:id="69">
    <w:p w:rsidR="00766D25" w:rsidP="00EA6DF7" w14:paraId="4FBE1AD0" w14:textId="77777777">
      <w:pPr>
        <w:pStyle w:val="FootnoteText"/>
      </w:pPr>
      <w:r>
        <w:rPr>
          <w:rStyle w:val="FootnoteReference"/>
        </w:rPr>
        <w:footnoteRef/>
      </w:r>
      <w:r>
        <w:t xml:space="preserve"> </w:t>
      </w:r>
      <w:r>
        <w:rPr>
          <w:i/>
          <w:iCs/>
        </w:rPr>
        <w:t xml:space="preserve">See </w:t>
      </w:r>
      <w:r w:rsidRPr="005C3DC8">
        <w:t>AT&amp;T 2021 Nationwide WEA Test Letter</w:t>
      </w:r>
      <w:r>
        <w:t xml:space="preserve"> at 2.</w:t>
      </w:r>
    </w:p>
  </w:footnote>
  <w:footnote w:id="70">
    <w:p w:rsidR="00766D25" w:rsidP="00EA6DF7" w14:paraId="4B17775D" w14:textId="32E194A4">
      <w:pPr>
        <w:pStyle w:val="FootnoteText"/>
      </w:pPr>
      <w:r>
        <w:rPr>
          <w:rStyle w:val="FootnoteReference"/>
        </w:rPr>
        <w:footnoteRef/>
      </w:r>
      <w:r>
        <w:t xml:space="preserve"> </w:t>
      </w:r>
      <w:r>
        <w:rPr>
          <w:i/>
          <w:iCs/>
        </w:rPr>
        <w:t xml:space="preserve">See </w:t>
      </w:r>
      <w:r>
        <w:t>Verizon</w:t>
      </w:r>
      <w:r w:rsidRPr="005C3DC8">
        <w:t xml:space="preserve"> 2021 Nationwide WEA Test Letter</w:t>
      </w:r>
      <w:r>
        <w:t xml:space="preserve"> at 2.  The time it took for the nationwide WEA test to transit Verizon’s network is expressed as a range between two values because, unlike the other nationwide CMS Providers, Verizon’s 2021 Nationwide WEA Test Letter provides times for both the first and last transmission of the nationwide WEA test from its Mobility Management Entities.</w:t>
      </w:r>
    </w:p>
  </w:footnote>
  <w:footnote w:id="71">
    <w:p w:rsidR="00766D25" w:rsidP="00EA6DF7" w14:paraId="5E4B0C31" w14:textId="108AADE4">
      <w:pPr>
        <w:pStyle w:val="FootnoteText"/>
      </w:pPr>
      <w:r>
        <w:rPr>
          <w:rStyle w:val="FootnoteReference"/>
        </w:rPr>
        <w:footnoteRef/>
      </w:r>
      <w:r>
        <w:t xml:space="preserve"> </w:t>
      </w:r>
      <w:r>
        <w:rPr>
          <w:i/>
          <w:iCs/>
        </w:rPr>
        <w:t xml:space="preserve">See </w:t>
      </w:r>
      <w:r>
        <w:t>T-Mobile</w:t>
      </w:r>
      <w:r w:rsidRPr="005C3DC8">
        <w:t xml:space="preserve"> 2021 Nationwide WEA Test Letter</w:t>
      </w:r>
      <w:r>
        <w:t xml:space="preserve"> at 2. </w:t>
      </w:r>
    </w:p>
  </w:footnote>
  <w:footnote w:id="72">
    <w:p w:rsidR="00766D25" w14:paraId="31FE0608" w14:textId="68D94829">
      <w:pPr>
        <w:pStyle w:val="FootnoteText"/>
      </w:pPr>
      <w:r>
        <w:rPr>
          <w:rStyle w:val="FootnoteReference"/>
        </w:rPr>
        <w:footnoteRef/>
      </w:r>
      <w:r>
        <w:t xml:space="preserve"> </w:t>
      </w:r>
      <w:r w:rsidRPr="002A38AE">
        <w:rPr>
          <w:i/>
          <w:iCs/>
        </w:rPr>
        <w:t xml:space="preserve">See </w:t>
      </w:r>
      <w:r w:rsidRPr="002A38AE">
        <w:t xml:space="preserve">Letter from Kim Robert Scovill, Vice President, Legal, Regulatory, and External Affairs, </w:t>
      </w:r>
      <w:r>
        <w:t xml:space="preserve">Comtech TCS, </w:t>
      </w:r>
      <w:r w:rsidRPr="002A38AE">
        <w:t>to Marlene Dortch, Secretary, Federal Communications Commission, PS Docket No. 16-32 at 1 (Aug. 11, 2016).</w:t>
      </w:r>
    </w:p>
  </w:footnote>
  <w:footnote w:id="73">
    <w:p w:rsidR="00766D25" w:rsidRPr="00BA71EA" w:rsidP="005B20A2" w14:paraId="7CDBD7FE" w14:textId="0E625872">
      <w:pPr>
        <w:pStyle w:val="FootnoteText"/>
      </w:pPr>
      <w:r>
        <w:rPr>
          <w:rStyle w:val="FootnoteReference"/>
        </w:rPr>
        <w:footnoteRef/>
      </w:r>
      <w:r>
        <w:t xml:space="preserve"> </w:t>
      </w:r>
      <w:r>
        <w:rPr>
          <w:i/>
          <w:iCs/>
        </w:rPr>
        <w:t>See</w:t>
      </w:r>
      <w:r>
        <w:t xml:space="preserve"> Letter from Robert Morse, Associate General Counsel, Verizon, to Lisa Fowlkes, Chief, Public Safety and Homeland Security Bureau, Federal Communications Commission, PS Docket Nos. 15-91, 15-94, at 1 (Oct. 27, 2021); Letter from Jaime (Mike) Tan, Director, Federal Regulatory, AT&amp;T, to Lisa Fowlkes, Chief, Public Safety and Homeland Security Bureau, Federal Communications Commission, PS Docket Nos. 15-91, 15-94, at 1 (Oct. 29, 2021); Letter from Shellie Blakeney, Director, Federal Regulatory Affairs, T-Mobile, to Lisa Fowlkes, Chief, Public Safety and Homeland Security Bureau, Federal Communications Commission, PS Docket Nos. 15-91, 15-94, at 1 (Nov. 8, 2021); </w:t>
      </w:r>
      <w:r>
        <w:rPr>
          <w:i/>
          <w:iCs/>
        </w:rPr>
        <w:t>see also</w:t>
      </w:r>
      <w:r>
        <w:t xml:space="preserve"> Phone call from Nicole McGinnis, Deputy Chief, Public Safety and Homeland Security Bureau, Federal Communications Commission, to Steve Sharkey, Vice President, Government Affairs, T-Mobile (Nov. 9, 2021, 2:00 pm EST). </w:t>
      </w:r>
    </w:p>
  </w:footnote>
  <w:footnote w:id="74">
    <w:p w:rsidR="00766D25" w:rsidP="00EA6DF7" w14:paraId="001F92BD" w14:textId="72B22FA6">
      <w:pPr>
        <w:pStyle w:val="FootnoteText"/>
      </w:pPr>
      <w:r>
        <w:rPr>
          <w:rStyle w:val="FootnoteReference"/>
        </w:rPr>
        <w:footnoteRef/>
      </w:r>
      <w:r>
        <w:rPr>
          <w:i/>
          <w:iCs/>
        </w:rPr>
        <w:t xml:space="preserve"> See </w:t>
      </w:r>
      <w:r w:rsidRPr="005C3DC8">
        <w:t>AT&amp;T 2021 Nationwide WEA Test Letter</w:t>
      </w:r>
      <w:r>
        <w:t xml:space="preserve"> at 2.</w:t>
      </w:r>
    </w:p>
  </w:footnote>
  <w:footnote w:id="75">
    <w:p w:rsidR="00766D25" w:rsidP="00EA6DF7" w14:paraId="564D1574" w14:textId="77777777">
      <w:pPr>
        <w:pStyle w:val="FootnoteText"/>
      </w:pPr>
      <w:r>
        <w:rPr>
          <w:rStyle w:val="FootnoteReference"/>
        </w:rPr>
        <w:footnoteRef/>
      </w:r>
      <w:r>
        <w:t xml:space="preserve"> </w:t>
      </w:r>
      <w:r>
        <w:rPr>
          <w:i/>
          <w:iCs/>
        </w:rPr>
        <w:t xml:space="preserve">See </w:t>
      </w:r>
      <w:r>
        <w:t>Verizon</w:t>
      </w:r>
      <w:r w:rsidRPr="005C3DC8">
        <w:t xml:space="preserve"> 2021 Nationwide WEA Test Letter</w:t>
      </w:r>
      <w:r>
        <w:t xml:space="preserve"> at 2.</w:t>
      </w:r>
    </w:p>
  </w:footnote>
  <w:footnote w:id="76">
    <w:p w:rsidR="00766D25" w:rsidP="00EA6DF7" w14:paraId="663CF734" w14:textId="25B00B5F">
      <w:pPr>
        <w:pStyle w:val="FootnoteText"/>
      </w:pPr>
      <w:r>
        <w:rPr>
          <w:rStyle w:val="FootnoteReference"/>
        </w:rPr>
        <w:footnoteRef/>
      </w:r>
      <w:r>
        <w:t xml:space="preserve"> </w:t>
      </w:r>
      <w:r>
        <w:rPr>
          <w:i/>
          <w:iCs/>
        </w:rPr>
        <w:t xml:space="preserve">See </w:t>
      </w:r>
      <w:r>
        <w:t>T-Mobile</w:t>
      </w:r>
      <w:r w:rsidRPr="005C3DC8">
        <w:t xml:space="preserve"> 2021 Nationwide WEA Test Letter</w:t>
      </w:r>
      <w:r>
        <w:t xml:space="preserve"> at 2.</w:t>
      </w:r>
    </w:p>
  </w:footnote>
  <w:footnote w:id="77">
    <w:p w:rsidR="00766D25" w:rsidP="00EA6DF7" w14:paraId="177509DA" w14:textId="77777777">
      <w:pPr>
        <w:pStyle w:val="FootnoteText"/>
      </w:pPr>
      <w:r>
        <w:rPr>
          <w:rStyle w:val="FootnoteReference"/>
        </w:rPr>
        <w:footnoteRef/>
      </w:r>
      <w:r>
        <w:t xml:space="preserve"> </w:t>
      </w:r>
      <w:r>
        <w:rPr>
          <w:i/>
          <w:iCs/>
        </w:rPr>
        <w:t xml:space="preserve">See </w:t>
      </w:r>
      <w:r w:rsidRPr="005C3DC8">
        <w:t>AT&amp;T 2021 Nationwide WEA Test Letter</w:t>
      </w:r>
      <w:r>
        <w:t xml:space="preserve"> at 2.</w:t>
      </w:r>
    </w:p>
  </w:footnote>
  <w:footnote w:id="78">
    <w:p w:rsidR="00766D25" w:rsidP="00EA6DF7" w14:paraId="0007B67B" w14:textId="77777777">
      <w:pPr>
        <w:pStyle w:val="FootnoteText"/>
      </w:pPr>
      <w:r>
        <w:rPr>
          <w:rStyle w:val="FootnoteReference"/>
        </w:rPr>
        <w:footnoteRef/>
      </w:r>
      <w:r>
        <w:t xml:space="preserve"> </w:t>
      </w:r>
      <w:r>
        <w:rPr>
          <w:i/>
          <w:iCs/>
        </w:rPr>
        <w:t xml:space="preserve">See </w:t>
      </w:r>
      <w:r>
        <w:t>Verizon</w:t>
      </w:r>
      <w:r w:rsidRPr="005C3DC8">
        <w:t xml:space="preserve"> 2021 Nationwide WEA Test Letter</w:t>
      </w:r>
      <w:r>
        <w:t xml:space="preserve"> at 2.</w:t>
      </w:r>
    </w:p>
  </w:footnote>
  <w:footnote w:id="79">
    <w:p w:rsidR="00766D25" w:rsidP="00EA6DF7" w14:paraId="42F04EB2" w14:textId="6DB1071D">
      <w:pPr>
        <w:pStyle w:val="FootnoteText"/>
      </w:pPr>
      <w:r>
        <w:rPr>
          <w:rStyle w:val="FootnoteReference"/>
        </w:rPr>
        <w:footnoteRef/>
      </w:r>
      <w:r>
        <w:t xml:space="preserve"> </w:t>
      </w:r>
      <w:r>
        <w:rPr>
          <w:i/>
          <w:iCs/>
        </w:rPr>
        <w:t xml:space="preserve">See </w:t>
      </w:r>
      <w:r>
        <w:t>T-Mobile</w:t>
      </w:r>
      <w:r w:rsidRPr="005C3DC8">
        <w:t xml:space="preserve"> 2021 Nationwide WEA Test Letter</w:t>
      </w:r>
      <w:r>
        <w:t xml:space="preserve"> at 2.</w:t>
      </w:r>
    </w:p>
  </w:footnote>
  <w:footnote w:id="80">
    <w:p w:rsidR="00766D25" w14:paraId="05C3DC4E" w14:textId="58611BF1">
      <w:pPr>
        <w:pStyle w:val="FootnoteText"/>
      </w:pPr>
      <w:r>
        <w:rPr>
          <w:rStyle w:val="FootnoteReference"/>
        </w:rPr>
        <w:footnoteRef/>
      </w:r>
      <w:r>
        <w:t xml:space="preserve"> The nationwide CMS Providers’ approaches to retransmission are network policies that apply to all WEA alert and test messages, irrespective of their classification.</w:t>
      </w:r>
    </w:p>
  </w:footnote>
  <w:footnote w:id="81">
    <w:p w:rsidR="00766D25" w:rsidRPr="00CF7F23" w:rsidP="00DE049F" w14:paraId="2EA780CA" w14:textId="77777777">
      <w:pPr>
        <w:pStyle w:val="FootnoteText"/>
      </w:pPr>
      <w:r>
        <w:rPr>
          <w:rStyle w:val="FootnoteReference"/>
        </w:rPr>
        <w:footnoteRef/>
      </w:r>
      <w:r>
        <w:t xml:space="preserve"> </w:t>
      </w:r>
      <w:r>
        <w:rPr>
          <w:i/>
          <w:iCs/>
        </w:rPr>
        <w:t>See</w:t>
      </w:r>
      <w:r>
        <w:t xml:space="preserve"> AT&amp;T 2021 Nationwide WEA Test Letter at 3.</w:t>
      </w:r>
    </w:p>
  </w:footnote>
  <w:footnote w:id="82">
    <w:p w:rsidR="00766D25" w:rsidP="00DE049F" w14:paraId="6B049554" w14:textId="77777777">
      <w:pPr>
        <w:pStyle w:val="FootnoteText"/>
      </w:pPr>
      <w:r>
        <w:rPr>
          <w:rStyle w:val="FootnoteReference"/>
        </w:rPr>
        <w:footnoteRef/>
      </w:r>
      <w:r>
        <w:t xml:space="preserve"> </w:t>
      </w:r>
      <w:r>
        <w:rPr>
          <w:i/>
          <w:iCs/>
        </w:rPr>
        <w:t>See</w:t>
      </w:r>
      <w:r>
        <w:t xml:space="preserve"> Verizon 2021 Nationwide WEA Test Letter at 3.</w:t>
      </w:r>
    </w:p>
  </w:footnote>
  <w:footnote w:id="83">
    <w:p w:rsidR="00766D25" w:rsidP="00DE049F" w14:paraId="29E1B074" w14:textId="4DEE7CCB">
      <w:pPr>
        <w:pStyle w:val="FootnoteText"/>
      </w:pPr>
      <w:r>
        <w:rPr>
          <w:rStyle w:val="FootnoteReference"/>
        </w:rPr>
        <w:footnoteRef/>
      </w:r>
      <w:r>
        <w:t xml:space="preserve"> </w:t>
      </w:r>
      <w:r>
        <w:rPr>
          <w:i/>
          <w:iCs/>
        </w:rPr>
        <w:t>See</w:t>
      </w:r>
      <w:r>
        <w:t xml:space="preserve"> T-Mobile 2021 Nationwide WEA Test Letter at 3.</w:t>
      </w:r>
    </w:p>
  </w:footnote>
  <w:footnote w:id="84">
    <w:p w:rsidR="00766D25" w:rsidP="001E168C" w14:paraId="7E112A2D" w14:textId="77777777">
      <w:pPr>
        <w:pStyle w:val="FootnoteText"/>
      </w:pPr>
      <w:r>
        <w:rPr>
          <w:rStyle w:val="FootnoteReference"/>
        </w:rPr>
        <w:footnoteRef/>
      </w:r>
      <w:r>
        <w:t xml:space="preserve"> </w:t>
      </w:r>
      <w:r>
        <w:rPr>
          <w:i/>
          <w:iCs/>
        </w:rPr>
        <w:t xml:space="preserve">See </w:t>
      </w:r>
      <w:r w:rsidRPr="005C3DC8">
        <w:t>AT&amp;T 2021 Nationwide WEA Test Letter</w:t>
      </w:r>
      <w:r>
        <w:t xml:space="preserve"> at 2;</w:t>
      </w:r>
      <w:r w:rsidRPr="00CF1993">
        <w:t xml:space="preserve"> </w:t>
      </w:r>
      <w:r>
        <w:t>Verizon</w:t>
      </w:r>
      <w:r w:rsidRPr="005C3DC8">
        <w:t xml:space="preserve"> 2021 Nationwide WEA Test Letter</w:t>
      </w:r>
      <w:r>
        <w:t xml:space="preserve"> at 2.</w:t>
      </w:r>
    </w:p>
  </w:footnote>
  <w:footnote w:id="85">
    <w:p w:rsidR="00766D25" w:rsidP="009D716D" w14:paraId="2475B419" w14:textId="0A852B51">
      <w:pPr>
        <w:pStyle w:val="FootnoteText"/>
      </w:pPr>
      <w:r>
        <w:rPr>
          <w:rStyle w:val="FootnoteReference"/>
        </w:rPr>
        <w:footnoteRef/>
      </w:r>
      <w:r>
        <w:t xml:space="preserve"> Based on the Nationwide WEA Test Survey data, PSHSB is 95% confident that the median latency value for another nationwide WEA test conducted under identical conditions would be 1 minute. </w:t>
      </w:r>
    </w:p>
  </w:footnote>
  <w:footnote w:id="86">
    <w:p w:rsidR="00766D25" w:rsidP="005026C5" w14:paraId="5A864484" w14:textId="74369EC0">
      <w:pPr>
        <w:pStyle w:val="FootnoteText"/>
      </w:pPr>
      <w:r>
        <w:rPr>
          <w:rStyle w:val="FootnoteReference"/>
        </w:rPr>
        <w:footnoteRef/>
      </w:r>
      <w:r>
        <w:t xml:space="preserve"> PSHSB treats the latency between cell sites and mobile devices as negligible because of the speed of radio frequency communication.  Latencies at the level of mobile device processing may vary by device, but it is expected to be on the order of tens of milliseconds.  The timing of the presentation of the WEA alert at the mobile device may vary by mobile device.</w:t>
      </w:r>
    </w:p>
  </w:footnote>
  <w:footnote w:id="87">
    <w:p w:rsidR="00766D25" w:rsidRPr="00917F02" w14:paraId="3695A8E8" w14:textId="183B2B3F">
      <w:pPr>
        <w:pStyle w:val="FootnoteText"/>
      </w:pPr>
      <w:r>
        <w:rPr>
          <w:rStyle w:val="FootnoteReference"/>
        </w:rPr>
        <w:footnoteRef/>
      </w:r>
      <w:r>
        <w:t xml:space="preserve"> Where values shown in this report’s latency tables represent alert receipt within the stated minute (e.g., “0” in the table represents that the nationwide WEA test was received between 0 and 59 seconds from FEMA’s transmission; “1” in the table represents that the nationwide WEA test was received between 1 minute and 1 minute and 59 seconds</w:t>
      </w:r>
      <w:r w:rsidRPr="00505B30">
        <w:t xml:space="preserve"> </w:t>
      </w:r>
      <w:r>
        <w:t xml:space="preserve">from FEMA’s transmission). </w:t>
      </w:r>
    </w:p>
  </w:footnote>
  <w:footnote w:id="88">
    <w:p w:rsidR="00766D25" w:rsidRPr="00E41CB5" w14:paraId="01B30DEE" w14:textId="254A0D52">
      <w:pPr>
        <w:pStyle w:val="FootnoteText"/>
      </w:pPr>
      <w:r>
        <w:rPr>
          <w:rStyle w:val="FootnoteReference"/>
        </w:rPr>
        <w:footnoteRef/>
      </w:r>
      <w:r>
        <w:t xml:space="preserve"> </w:t>
      </w:r>
      <w:r>
        <w:rPr>
          <w:i/>
          <w:iCs/>
        </w:rPr>
        <w:t>See</w:t>
      </w:r>
      <w:r>
        <w:t xml:space="preserve"> ATIS, Wireless Emergency Alerts (WEA) 3.0 Device-Based Geo-Fencing, ATIS 0700041, at 10 (2019).</w:t>
      </w:r>
    </w:p>
  </w:footnote>
  <w:footnote w:id="89">
    <w:p w:rsidR="00766D25" w:rsidP="00A82788" w14:paraId="1A251E9E" w14:textId="1409F2EB">
      <w:pPr>
        <w:pStyle w:val="FootnoteText"/>
      </w:pPr>
      <w:r>
        <w:rPr>
          <w:rStyle w:val="FootnoteReference"/>
        </w:rPr>
        <w:footnoteRef/>
      </w:r>
      <w:r>
        <w:t xml:space="preserve"> This finding is statistically significant at the 10% significance level but not the 5% significance level.  </w:t>
      </w:r>
      <w:r>
        <w:rPr>
          <w:i/>
          <w:iCs/>
        </w:rPr>
        <w:t xml:space="preserve">See </w:t>
      </w:r>
      <w:r>
        <w:t>William Cochran, The X</w:t>
      </w:r>
      <w:r w:rsidRPr="00C631D5">
        <w:rPr>
          <w:vertAlign w:val="superscript"/>
        </w:rPr>
        <w:t>2</w:t>
      </w:r>
      <w:r>
        <w:t xml:space="preserve"> Test of Goodness of Fit, 23 The Annals of Mathematical Statistics 3, 334 (1952),</w:t>
      </w:r>
      <w:r w:rsidRPr="00413D0C">
        <w:t xml:space="preserve"> </w:t>
      </w:r>
      <w:hyperlink r:id="rId6" w:history="1">
        <w:r w:rsidRPr="002D64BD">
          <w:rPr>
            <w:rStyle w:val="Hyperlink"/>
          </w:rPr>
          <w:t>https://www.jstor.org/stable/2236678</w:t>
        </w:r>
      </w:hyperlink>
      <w:r>
        <w:t>.</w:t>
      </w:r>
    </w:p>
  </w:footnote>
  <w:footnote w:id="90">
    <w:p w:rsidR="00766D25" w:rsidRPr="00B63972" w14:paraId="3C84713C" w14:textId="53FAF390">
      <w:pPr>
        <w:pStyle w:val="FootnoteText"/>
        <w:rPr>
          <w:b/>
          <w:bCs/>
        </w:rPr>
      </w:pPr>
      <w:r>
        <w:rPr>
          <w:rStyle w:val="FootnoteReference"/>
        </w:rPr>
        <w:footnoteRef/>
      </w:r>
      <w:r>
        <w:t xml:space="preserve"> The Commission’s Office of Economics and Analytics performed a log rank test to establish this finding.  </w:t>
      </w:r>
      <w:r w:rsidRPr="002A198E">
        <w:t>Theodore G. Karrison</w:t>
      </w:r>
      <w:r>
        <w:t xml:space="preserve">, </w:t>
      </w:r>
      <w:r w:rsidRPr="00B63972">
        <w:t xml:space="preserve">Versatile </w:t>
      </w:r>
      <w:r>
        <w:t>T</w:t>
      </w:r>
      <w:r w:rsidRPr="00B63972">
        <w:t xml:space="preserve">ests for </w:t>
      </w:r>
      <w:r>
        <w:t>C</w:t>
      </w:r>
      <w:r w:rsidRPr="00B63972">
        <w:t xml:space="preserve">omparing </w:t>
      </w:r>
      <w:r>
        <w:t>S</w:t>
      </w:r>
      <w:r w:rsidRPr="00B63972">
        <w:t xml:space="preserve">urvival </w:t>
      </w:r>
      <w:r>
        <w:t>C</w:t>
      </w:r>
      <w:r w:rsidRPr="00B63972">
        <w:t xml:space="preserve">urves </w:t>
      </w:r>
      <w:r>
        <w:t>B</w:t>
      </w:r>
      <w:r w:rsidRPr="00B63972">
        <w:t xml:space="preserve">ased on </w:t>
      </w:r>
      <w:r>
        <w:t>W</w:t>
      </w:r>
      <w:r w:rsidRPr="00B63972">
        <w:t xml:space="preserve">eighted </w:t>
      </w:r>
      <w:r>
        <w:t>L</w:t>
      </w:r>
      <w:r w:rsidRPr="00B63972">
        <w:t>og-</w:t>
      </w:r>
      <w:r>
        <w:t>R</w:t>
      </w:r>
      <w:r w:rsidRPr="00B63972">
        <w:t xml:space="preserve">ank </w:t>
      </w:r>
      <w:r>
        <w:t>S</w:t>
      </w:r>
      <w:r w:rsidRPr="00B63972">
        <w:t xml:space="preserve">tatistics, </w:t>
      </w:r>
      <w:r>
        <w:t xml:space="preserve">The Stata Journal, </w:t>
      </w:r>
      <w:hyperlink r:id="rId10" w:history="1">
        <w:r w:rsidRPr="002A198E">
          <w:rPr>
            <w:rStyle w:val="Hyperlink"/>
          </w:rPr>
          <w:t>https://www.stata-journal.com/article.html?article=st0449</w:t>
        </w:r>
      </w:hyperlink>
      <w:r>
        <w:t xml:space="preserve">.  The log rank test is the standard test to determine whether one group took longer to perform an action than another. </w:t>
      </w:r>
    </w:p>
  </w:footnote>
  <w:footnote w:id="91">
    <w:p w:rsidR="00766D25" w14:paraId="7663B021" w14:textId="3BD16F86">
      <w:pPr>
        <w:pStyle w:val="FootnoteText"/>
      </w:pPr>
      <w:r>
        <w:rPr>
          <w:rStyle w:val="FootnoteReference"/>
        </w:rPr>
        <w:footnoteRef/>
      </w:r>
      <w:r>
        <w:t xml:space="preserve"> An additional step in the test transmission process on which AT&amp;T and Verizon did not report is the time that it takes mobile devices in receipt of a WEA test to present the test message to the public, but PSHSB does not attribute this difference in overall transmission time to differences in mobile device performance because mobile devices were evenly distributed across AT&amp;T’s and Verizon’s networks in the data set.  </w:t>
      </w:r>
    </w:p>
  </w:footnote>
  <w:footnote w:id="92">
    <w:p w:rsidR="00766D25" w14:paraId="4C5E0EEE" w14:textId="5B0A9CEB">
      <w:pPr>
        <w:pStyle w:val="FootnoteText"/>
      </w:pPr>
      <w:r>
        <w:rPr>
          <w:rStyle w:val="FootnoteReference"/>
        </w:rPr>
        <w:footnoteRef/>
      </w:r>
      <w:r>
        <w:t xml:space="preserve"> CMS Providers’ retransmission periodicity can only explain difference in test message delivery during the test’s 30-minute active period.  Delivery of the nationwide WEA test reported outside of this 30-minute window (e.g., 231 or 241 minutes after FEMA’s transmission) are not explained by this policy difference alone.</w:t>
      </w:r>
    </w:p>
  </w:footnote>
  <w:footnote w:id="93">
    <w:p w:rsidR="00766D25" w14:paraId="14C30DE1" w14:textId="07FE24FA">
      <w:pPr>
        <w:pStyle w:val="FootnoteText"/>
      </w:pPr>
      <w:r>
        <w:rPr>
          <w:rStyle w:val="FootnoteReference"/>
        </w:rPr>
        <w:footnoteRef/>
      </w:r>
      <w:r>
        <w:t xml:space="preserve"> The Commission’s Office of Economics and Analytics performed a log rank test to establish this finding.  </w:t>
      </w:r>
      <w:r w:rsidRPr="002A198E">
        <w:t>Theodore G. Karrison</w:t>
      </w:r>
      <w:r>
        <w:t xml:space="preserve">, </w:t>
      </w:r>
      <w:r w:rsidRPr="00E2299A">
        <w:t xml:space="preserve">Versatile </w:t>
      </w:r>
      <w:r>
        <w:t>T</w:t>
      </w:r>
      <w:r w:rsidRPr="00E2299A">
        <w:t xml:space="preserve">ests for </w:t>
      </w:r>
      <w:r>
        <w:t>C</w:t>
      </w:r>
      <w:r w:rsidRPr="00E2299A">
        <w:t xml:space="preserve">omparing </w:t>
      </w:r>
      <w:r>
        <w:t>S</w:t>
      </w:r>
      <w:r w:rsidRPr="00E2299A">
        <w:t xml:space="preserve">urvival </w:t>
      </w:r>
      <w:r>
        <w:t>C</w:t>
      </w:r>
      <w:r w:rsidRPr="00E2299A">
        <w:t xml:space="preserve">urves </w:t>
      </w:r>
      <w:r>
        <w:t>B</w:t>
      </w:r>
      <w:r w:rsidRPr="00E2299A">
        <w:t xml:space="preserve">ased on </w:t>
      </w:r>
      <w:r>
        <w:t>W</w:t>
      </w:r>
      <w:r w:rsidRPr="00E2299A">
        <w:t xml:space="preserve">eighted </w:t>
      </w:r>
      <w:r>
        <w:t>L</w:t>
      </w:r>
      <w:r w:rsidRPr="00E2299A">
        <w:t>og-</w:t>
      </w:r>
      <w:r>
        <w:t>R</w:t>
      </w:r>
      <w:r w:rsidRPr="00E2299A">
        <w:t xml:space="preserve">ank </w:t>
      </w:r>
      <w:r>
        <w:t>S</w:t>
      </w:r>
      <w:r w:rsidRPr="00E2299A">
        <w:t xml:space="preserve">tatistics, </w:t>
      </w:r>
      <w:r>
        <w:t xml:space="preserve">The Stata Journal, </w:t>
      </w:r>
      <w:hyperlink r:id="rId10" w:history="1">
        <w:r w:rsidRPr="002A198E">
          <w:rPr>
            <w:rStyle w:val="Hyperlink"/>
          </w:rPr>
          <w:t>https://www.stata-journal.com/article.html?article=st0449</w:t>
        </w:r>
      </w:hyperlink>
      <w:r>
        <w:t xml:space="preserve">.  </w:t>
      </w:r>
    </w:p>
  </w:footnote>
  <w:footnote w:id="94">
    <w:p w:rsidR="00766D25" w14:paraId="74FA9899" w14:textId="3B4F7CDD">
      <w:pPr>
        <w:pStyle w:val="FootnoteText"/>
      </w:pPr>
      <w:r>
        <w:rPr>
          <w:rStyle w:val="FootnoteReference"/>
        </w:rPr>
        <w:footnoteRef/>
      </w:r>
      <w:r>
        <w:t xml:space="preserve"> </w:t>
      </w:r>
      <w:r>
        <w:rPr>
          <w:i/>
          <w:iCs/>
        </w:rPr>
        <w:t>See Public Safety and Homeland Security Bureau Reminds EAS Participants and Participating CMS Providers of Requirements to Issue Accessible EAS and WEA Alerts</w:t>
      </w:r>
      <w:r>
        <w:t>, Public Notice, PS Docket Nos. 15-91, 15-94,</w:t>
      </w:r>
      <w:r>
        <w:rPr>
          <w:i/>
          <w:iCs/>
        </w:rPr>
        <w:t xml:space="preserve"> </w:t>
      </w:r>
      <w:r w:rsidRPr="00136346">
        <w:t>DA</w:t>
      </w:r>
      <w:r>
        <w:t xml:space="preserve"> 21-798 (PSHSB rel. Jul. 7, 2021).</w:t>
      </w:r>
    </w:p>
  </w:footnote>
  <w:footnote w:id="95">
    <w:p w:rsidR="00766D25" w14:paraId="09058FCA" w14:textId="142BAC44">
      <w:pPr>
        <w:pStyle w:val="FootnoteText"/>
      </w:pPr>
      <w:r>
        <w:rPr>
          <w:rStyle w:val="FootnoteReference"/>
        </w:rPr>
        <w:footnoteRef/>
      </w:r>
      <w:r>
        <w:t xml:space="preserve"> </w:t>
      </w:r>
      <w:r w:rsidRPr="00D120A7">
        <w:t xml:space="preserve">In addition to the exclusions described above, this analysis also excludes responses </w:t>
      </w:r>
      <w:r>
        <w:t>that did not receive the nationwide WEA test once.</w:t>
      </w:r>
      <w:r w:rsidRPr="00D120A7">
        <w:t xml:space="preserve">  </w:t>
      </w:r>
    </w:p>
  </w:footnote>
  <w:footnote w:id="96">
    <w:p w:rsidR="00766D25" w14:paraId="73A0FD0D" w14:textId="395DD19A">
      <w:pPr>
        <w:pStyle w:val="FootnoteText"/>
      </w:pPr>
      <w:r>
        <w:rPr>
          <w:rStyle w:val="FootnoteReference"/>
        </w:rPr>
        <w:footnoteRef/>
      </w:r>
      <w:r>
        <w:t xml:space="preserve"> Letter from Jaime (Mike) Tan, Director, Federal Regulatory, AT&amp;T, to Lisa Fowlkes, Chief, Public Safety and Homeland Security Bureau, FCC, PS Docket Nos. 15-91, 15-94, at 1 (filed Aug. 25, 2021). </w:t>
      </w:r>
    </w:p>
  </w:footnote>
  <w:footnote w:id="97">
    <w:p w:rsidR="00766D25" w14:paraId="524CA71B" w14:textId="27476620">
      <w:pPr>
        <w:pStyle w:val="FootnoteText"/>
      </w:pPr>
      <w:r>
        <w:rPr>
          <w:rStyle w:val="FootnoteReference"/>
        </w:rPr>
        <w:footnoteRef/>
      </w:r>
      <w:r>
        <w:t xml:space="preserve"> </w:t>
      </w:r>
      <w:r>
        <w:rPr>
          <w:i/>
          <w:iCs/>
        </w:rPr>
        <w:t>Id.</w:t>
      </w:r>
    </w:p>
  </w:footnote>
  <w:footnote w:id="98">
    <w:p w:rsidR="00766D25" w14:paraId="5964FCBA" w14:textId="066E4088">
      <w:pPr>
        <w:pStyle w:val="FootnoteText"/>
      </w:pPr>
      <w:r>
        <w:rPr>
          <w:rStyle w:val="FootnoteReference"/>
        </w:rPr>
        <w:footnoteRef/>
      </w:r>
      <w:r>
        <w:t xml:space="preserve"> </w:t>
      </w:r>
      <w:r>
        <w:rPr>
          <w:i/>
          <w:iCs/>
        </w:rPr>
        <w:t xml:space="preserve">See </w:t>
      </w:r>
      <w:r>
        <w:t xml:space="preserve">Letter from Shellie Blakeney, Director, Federal Regulatory Affairs, T-Mobile, to Lisa Fowlkes, Chief, Public Safety and Homeland Security Bureau, Federal Communications Commission, PS Docket Nos. 15-91, 15-94, at 1 (Nov. 8, 2021); </w:t>
      </w:r>
      <w:r>
        <w:rPr>
          <w:i/>
          <w:iCs/>
        </w:rPr>
        <w:t>see also</w:t>
      </w:r>
      <w:r>
        <w:t xml:space="preserve"> Phone call from Nicole McGinnis, Deputy Chief, Public Safety and Homeland Security Bureau, Federal Communications Commission, to Steve Sharkey, Vice President, Government Affairs, T-Mobile (Nov. 9, 2021, 2:00 pm EST).</w:t>
      </w:r>
    </w:p>
  </w:footnote>
  <w:footnote w:id="99">
    <w:p w:rsidR="00766D25" w14:paraId="3CF5AFBF" w14:textId="6EA02BBA">
      <w:pPr>
        <w:pStyle w:val="FootnoteText"/>
      </w:pPr>
      <w:r>
        <w:rPr>
          <w:rStyle w:val="FootnoteReference"/>
        </w:rPr>
        <w:footnoteRef/>
      </w:r>
      <w:r>
        <w:t xml:space="preserve"> </w:t>
      </w:r>
      <w:r>
        <w:rPr>
          <w:i/>
          <w:iCs/>
        </w:rPr>
        <w:t xml:space="preserve">See </w:t>
      </w:r>
      <w:r>
        <w:t xml:space="preserve">Letter from Shellie Blakeney, Director, Federal Regulatory Affairs, T-Mobile, to Lisa Fowlkes, Chief, Public Safety and Homeland Security Bureau, Federal Communications Commission, PS Docket Nos. 15-91, 15-94, at 1 (Nov. 8, 2021); </w:t>
      </w:r>
      <w:r>
        <w:rPr>
          <w:i/>
          <w:iCs/>
        </w:rPr>
        <w:t>see also</w:t>
      </w:r>
      <w:r>
        <w:t xml:space="preserve"> Phone call from Nicole McGinnis, Deputy Chief, Public Safety and Homeland Security Bureau, Federal Communications Commission, to Steve Sharkey, Vice President, Government Affairs, T-Mobile (Nov. 9, 2021, 2:00 pm EST).</w:t>
      </w:r>
    </w:p>
  </w:footnote>
  <w:footnote w:id="100">
    <w:p w:rsidR="00766D25" w14:paraId="676D0C0D" w14:textId="11BA6A65">
      <w:pPr>
        <w:pStyle w:val="FootnoteText"/>
      </w:pPr>
      <w:r>
        <w:rPr>
          <w:rStyle w:val="FootnoteReference"/>
        </w:rPr>
        <w:footnoteRef/>
      </w:r>
      <w:r>
        <w:t xml:space="preserve"> </w:t>
      </w:r>
      <w:r>
        <w:rPr>
          <w:i/>
          <w:iCs/>
        </w:rPr>
        <w:t xml:space="preserve">See </w:t>
      </w:r>
      <w:r>
        <w:t xml:space="preserve">Letter from Shellie Blakeney, Director, Federal Regulatory Affairs, T-Mobile, to Lisa Fowlkes, Chief, Public Safety and Homeland Security Bureau, Federal Communications Commission, PS Docket Nos. 15-91, 15-94, at 1 (Nov. 8, 2021); </w:t>
      </w:r>
      <w:r>
        <w:rPr>
          <w:i/>
          <w:iCs/>
        </w:rPr>
        <w:t>see also</w:t>
      </w:r>
      <w:r>
        <w:t xml:space="preserve"> Phone call from Nicole McGinnis, Deputy Chief, Public Safety and Homeland Security Bureau, Federal Communications Commission, to Steve Sharkey, Vice President, Government Affairs, T-Mobile (Nov. 9, 2021, 2:00 pm EST).</w:t>
      </w:r>
    </w:p>
  </w:footnote>
  <w:footnote w:id="101">
    <w:p w:rsidR="00766D25" w14:paraId="6B318BD8" w14:textId="39C6A1F2">
      <w:pPr>
        <w:pStyle w:val="FootnoteText"/>
      </w:pPr>
      <w:r>
        <w:rPr>
          <w:rStyle w:val="FootnoteReference"/>
        </w:rPr>
        <w:footnoteRef/>
      </w:r>
      <w:r>
        <w:t xml:space="preserve"> </w:t>
      </w:r>
      <w:r>
        <w:rPr>
          <w:i/>
          <w:iCs/>
        </w:rPr>
        <w:t xml:space="preserve">See </w:t>
      </w:r>
      <w:r>
        <w:t xml:space="preserve">Letter from Shellie Blakeney, Director, Federal Regulatory Affairs, T-Mobile, to Lisa Fowlkes, Chief, Public Safety and Homeland Security Bureau, Federal Communications Commission, PS Docket Nos. 15-91, 15-94, at 1 (Nov. 8, 2021); </w:t>
      </w:r>
      <w:r>
        <w:rPr>
          <w:i/>
          <w:iCs/>
        </w:rPr>
        <w:t>see also</w:t>
      </w:r>
      <w:r>
        <w:t xml:space="preserve"> Phone call from Nicole McGinnis, Deputy Chief, Public Safety and Homeland Security Bureau, Federal Communications Commission, to Steve Sharkey, Vice President, Government Affairs, T-Mobile (Nov. 9, 2021, 2:00 pm EST).</w:t>
      </w:r>
    </w:p>
  </w:footnote>
  <w:footnote w:id="102">
    <w:p w:rsidR="00766D25" w14:paraId="1A8EC190" w14:textId="66BEF42E">
      <w:pPr>
        <w:pStyle w:val="FootnoteText"/>
      </w:pPr>
      <w:r>
        <w:rPr>
          <w:rStyle w:val="FootnoteReference"/>
        </w:rPr>
        <w:footnoteRef/>
      </w:r>
      <w:r>
        <w:t xml:space="preserve"> </w:t>
      </w:r>
      <w:r>
        <w:rPr>
          <w:i/>
          <w:iCs/>
        </w:rPr>
        <w:t xml:space="preserve">See </w:t>
      </w:r>
      <w:r>
        <w:t xml:space="preserve">Letter from Shellie Blakeney, Director, Federal Regulatory Affairs, T-Mobile, to Lisa Fowlkes, Chief, Public Safety and Homeland Security Bureau, Federal Communications Commission, PS Docket Nos. 15-91, 15-94, at 1 (Nov. 8, 2021); </w:t>
      </w:r>
      <w:r>
        <w:rPr>
          <w:i/>
          <w:iCs/>
        </w:rPr>
        <w:t>see also</w:t>
      </w:r>
      <w:r>
        <w:t xml:space="preserve"> Phone call from Nicole McGinnis, Deputy Chief, Public Safety and Homeland Security Bureau, Federal Communications Commission, to Steve Sharkey, Vice President, Government Affairs, T-Mobile (Nov. 9, 2021, 2:00 pm EST).</w:t>
      </w:r>
    </w:p>
  </w:footnote>
  <w:footnote w:id="103">
    <w:p w:rsidR="00766D25" w14:paraId="7CBE6B2C" w14:textId="1542627B">
      <w:pPr>
        <w:pStyle w:val="FootnoteText"/>
      </w:pPr>
      <w:r>
        <w:rPr>
          <w:rStyle w:val="FootnoteReference"/>
        </w:rPr>
        <w:footnoteRef/>
      </w:r>
      <w:r>
        <w:t xml:space="preserve"> </w:t>
      </w:r>
      <w:r>
        <w:rPr>
          <w:i/>
          <w:iCs/>
        </w:rPr>
        <w:t xml:space="preserve">See </w:t>
      </w:r>
      <w:r>
        <w:t xml:space="preserve">Letter from Shellie Blakeney, Director, Federal Regulatory Affairs, T-Mobile, to Lisa Fowlkes, Chief, Public Safety and Homeland Security Bureau, Federal Communications Commission, PS Docket Nos. 15-91, 15-94, at 1 (Nov. 8, 2021); </w:t>
      </w:r>
      <w:r>
        <w:rPr>
          <w:i/>
          <w:iCs/>
        </w:rPr>
        <w:t>see also</w:t>
      </w:r>
      <w:r>
        <w:t xml:space="preserve"> Phone call from Nicole McGinnis, Deputy Chief, Public Safety and Homeland Security Bureau, Federal Communications Commission, to Steve Sharkey, Vice President, Government Affairs, T-Mobile (Nov. 9, 2021, 2:00 pm EST).</w:t>
      </w:r>
    </w:p>
  </w:footnote>
  <w:footnote w:id="104">
    <w:p w:rsidR="00766D25" w14:paraId="5E42DDDA" w14:textId="647D12DC">
      <w:pPr>
        <w:pStyle w:val="FootnoteText"/>
      </w:pPr>
      <w:r>
        <w:rPr>
          <w:rStyle w:val="FootnoteReference"/>
        </w:rPr>
        <w:footnoteRef/>
      </w:r>
      <w:r>
        <w:t xml:space="preserve"> </w:t>
      </w:r>
      <w:r>
        <w:rPr>
          <w:i/>
          <w:iCs/>
        </w:rPr>
        <w:t xml:space="preserve">See </w:t>
      </w:r>
      <w:r>
        <w:t xml:space="preserve">Letter from Shellie Blakeney, Director, Federal Regulatory Affairs, T-Mobile, to Lisa Fowlkes, Chief, Public Safety and Homeland Security Bureau, Federal Communications Commission, PS Docket Nos. 15-91, 15-94, at 1 (Nov. 8, 2021); </w:t>
      </w:r>
      <w:r>
        <w:rPr>
          <w:i/>
          <w:iCs/>
        </w:rPr>
        <w:t>see also</w:t>
      </w:r>
      <w:r>
        <w:t xml:space="preserve"> Phone call from Nicole McGinnis, Deputy Chief, Public Safety and Homeland Security Bureau, Federal Communications Commission, to Steve Sharkey, Vice President, Government Affairs, T-Mobile (Nov. 9, 2021, 2:00 pm EST).</w:t>
      </w:r>
    </w:p>
  </w:footnote>
  <w:footnote w:id="105">
    <w:p w:rsidR="00766D25" w:rsidRPr="004403ED" w14:paraId="2B8CEB1A" w14:textId="0023AF3E">
      <w:pPr>
        <w:pStyle w:val="FootnoteText"/>
      </w:pPr>
      <w:r>
        <w:rPr>
          <w:rStyle w:val="FootnoteReference"/>
        </w:rPr>
        <w:footnoteRef/>
      </w:r>
      <w:r>
        <w:t xml:space="preserve"> </w:t>
      </w:r>
      <w:r>
        <w:rPr>
          <w:i/>
          <w:iCs/>
        </w:rPr>
        <w:t>See</w:t>
      </w:r>
      <w:r>
        <w:t xml:space="preserve"> </w:t>
      </w:r>
      <w:r>
        <w:rPr>
          <w:i/>
          <w:iCs/>
        </w:rPr>
        <w:t>WEA R&amp;O and FNPRM</w:t>
      </w:r>
      <w:r>
        <w:t xml:space="preserve">, 31 FCC Rcd at 11210, para. 161; </w:t>
      </w:r>
      <w:r>
        <w:rPr>
          <w:i/>
          <w:iCs/>
        </w:rPr>
        <w:t>Amendment of Part 11 of the Commission’s Rules Regarding the Emergency Alert System; Wireless Emergency Alerts</w:t>
      </w:r>
      <w:r>
        <w:t>,</w:t>
      </w:r>
      <w:r>
        <w:rPr>
          <w:i/>
          <w:iCs/>
        </w:rPr>
        <w:t xml:space="preserve"> </w:t>
      </w:r>
      <w:r w:rsidRPr="001F2D64">
        <w:t>PS Docket Nos 15-94, 15-91</w:t>
      </w:r>
      <w:r>
        <w:t xml:space="preserve">, Report and Order and Further Notice of Proposed Rulemaking, 33 FCC Rcd 7086, 7105-06, paras. 46-48 (2018); </w:t>
      </w:r>
      <w:r>
        <w:rPr>
          <w:i/>
          <w:iCs/>
        </w:rPr>
        <w:t>see also</w:t>
      </w:r>
      <w:r>
        <w:t xml:space="preserve"> Letter from Ajit Pai, Chairman, Federal Communications Commission, to Maria Cantwell, Ranking Member, Committee on Commerce, Science, and Transportation, United States Senate (Jul. 21, 2021); </w:t>
      </w:r>
      <w:r w:rsidRPr="00061AB2">
        <w:t>Government Accountability Office, Emergency Alerting; Agencies Need to Address Pending Applications and Monitor Industry Progress on System Improvements, GAO 20-294 (2020)</w:t>
      </w:r>
      <w:r>
        <w:t>.</w:t>
      </w:r>
    </w:p>
  </w:footnote>
  <w:footnote w:id="106">
    <w:p w:rsidR="00766D25" w:rsidP="00061AB2" w14:paraId="4EAA8239" w14:textId="77777777">
      <w:pPr>
        <w:pStyle w:val="FootnoteText"/>
      </w:pPr>
      <w:r>
        <w:rPr>
          <w:rStyle w:val="FootnoteReference"/>
        </w:rPr>
        <w:footnoteRef/>
      </w:r>
      <w:r>
        <w:t xml:space="preserve"> </w:t>
      </w:r>
      <w:r>
        <w:rPr>
          <w:i/>
          <w:iCs/>
        </w:rPr>
        <w:t>See</w:t>
      </w:r>
      <w:r>
        <w:t xml:space="preserve"> CSRIC Best Practices, </w:t>
      </w:r>
      <w:hyperlink r:id="rId11" w:history="1">
        <w:r w:rsidRPr="00461038">
          <w:rPr>
            <w:rStyle w:val="Hyperlink"/>
          </w:rPr>
          <w:t>https://opendata.fcc.gov/Public-Safety/CSRIC-Best-Practices/qb45-rw2t/data</w:t>
        </w:r>
      </w:hyperlink>
      <w:r>
        <w:t xml:space="preserve"> (last visited Oct. 15, 2021).</w:t>
      </w:r>
    </w:p>
  </w:footnote>
  <w:footnote w:id="107">
    <w:p w:rsidR="00766D25" w14:paraId="1E4B52C7" w14:textId="33547EDF">
      <w:pPr>
        <w:pStyle w:val="FootnoteText"/>
      </w:pPr>
      <w:r>
        <w:rPr>
          <w:rStyle w:val="FootnoteReference"/>
        </w:rPr>
        <w:footnoteRef/>
      </w:r>
      <w:r>
        <w:t xml:space="preserve"> PSHSB, Report: October 3, 2018 Nationwide WEA and EAS Test, at 6 n.24 (2019), </w:t>
      </w:r>
      <w:hyperlink r:id="rId1" w:history="1">
        <w:r w:rsidRPr="0002547A">
          <w:rPr>
            <w:rStyle w:val="Hyperlink"/>
          </w:rPr>
          <w:t>https://docs.fcc.gov/public/attachments/DOC-356902A1.pdf</w:t>
        </w:r>
      </w:hyperlink>
      <w:r>
        <w:t xml:space="preserve"> (identifying survey respondents as receiving the nationwide WEA test on MVNO networks in 2018).</w:t>
      </w:r>
    </w:p>
  </w:footnote>
  <w:footnote w:id="108">
    <w:p w:rsidR="00766D25" w14:paraId="11F2756E" w14:textId="7D0F1212">
      <w:pPr>
        <w:pStyle w:val="FootnoteText"/>
      </w:pPr>
      <w:r>
        <w:rPr>
          <w:rStyle w:val="FootnoteReference"/>
        </w:rPr>
        <w:footnoteRef/>
      </w:r>
      <w:r>
        <w:t xml:space="preserve"> PS Docket No. 08-146.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6D25" w:rsidP="00810B6F" w14:paraId="3740AADE" w14:textId="4C2C0C3B">
    <w:pPr>
      <w:pStyle w:val="Header"/>
      <w:rPr>
        <w:b w:val="0"/>
      </w:rPr>
    </w:pPr>
    <w:r>
      <w:tab/>
      <w:t>Federal Communications Commission</w:t>
    </w:r>
    <w:r>
      <w:tab/>
    </w:r>
  </w:p>
  <w:p w:rsidR="00766D25" w14:paraId="46E7C763" w14:textId="54F1EE3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66D25" w14:paraId="44D8F86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6D25" w:rsidP="00810B6F" w14:paraId="661F9672" w14:textId="0465FBA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E5226B"/>
    <w:multiLevelType w:val="hybridMultilevel"/>
    <w:tmpl w:val="3D5410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F2C17CB"/>
    <w:multiLevelType w:val="hybridMultilevel"/>
    <w:tmpl w:val="E86E65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883CEFB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97E6115"/>
    <w:multiLevelType w:val="hybridMultilevel"/>
    <w:tmpl w:val="7E34FCE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A3E71EB"/>
    <w:multiLevelType w:val="hybridMultilevel"/>
    <w:tmpl w:val="3CC013E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1C9AAE80"/>
    <w:lvl w:ilvl="0">
      <w:start w:val="1"/>
      <w:numFmt w:val="decimal"/>
      <w:pStyle w:val="ParaNum"/>
      <w:lvlText w:val="%1."/>
      <w:lvlJc w:val="left"/>
      <w:pPr>
        <w:tabs>
          <w:tab w:val="num" w:pos="1080"/>
        </w:tabs>
        <w:ind w:left="0" w:firstLine="720"/>
      </w:pPr>
      <w:rPr>
        <w:i w:val="0"/>
        <w:iCs w:val="0"/>
      </w:rPr>
    </w:lvl>
  </w:abstractNum>
  <w:abstractNum w:abstractNumId="10">
    <w:nsid w:val="71D12ADA"/>
    <w:multiLevelType w:val="hybridMultilevel"/>
    <w:tmpl w:val="7A7EB4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4053831"/>
    <w:multiLevelType w:val="hybridMultilevel"/>
    <w:tmpl w:val="FEBC2AD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8"/>
  </w:num>
  <w:num w:numId="5">
    <w:abstractNumId w:val="4"/>
  </w:num>
  <w:num w:numId="6">
    <w:abstractNumId w:val="1"/>
  </w:num>
  <w:num w:numId="7">
    <w:abstractNumId w:val="9"/>
    <w:lvlOverride w:ilvl="0">
      <w:startOverride w:val="1"/>
    </w:lvlOverride>
  </w:num>
  <w:num w:numId="8">
    <w:abstractNumId w:val="9"/>
    <w:lvlOverride w:ilvl="0">
      <w:startOverride w:val="1"/>
    </w:lvlOverride>
  </w:num>
  <w:num w:numId="9">
    <w:abstractNumId w:val="2"/>
  </w:num>
  <w:num w:numId="10">
    <w:abstractNumId w:val="0"/>
  </w:num>
  <w:num w:numId="11">
    <w:abstractNumId w:val="10"/>
  </w:num>
  <w:num w:numId="12">
    <w:abstractNumId w:val="6"/>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84"/>
    <w:rsid w:val="000039DA"/>
    <w:rsid w:val="000045D6"/>
    <w:rsid w:val="00005102"/>
    <w:rsid w:val="00005C52"/>
    <w:rsid w:val="00006873"/>
    <w:rsid w:val="00010BAA"/>
    <w:rsid w:val="000110E4"/>
    <w:rsid w:val="00013613"/>
    <w:rsid w:val="0001393F"/>
    <w:rsid w:val="000176EB"/>
    <w:rsid w:val="00020294"/>
    <w:rsid w:val="00020F62"/>
    <w:rsid w:val="0002143F"/>
    <w:rsid w:val="0002547A"/>
    <w:rsid w:val="000265FD"/>
    <w:rsid w:val="00026DD6"/>
    <w:rsid w:val="00032CB8"/>
    <w:rsid w:val="00033362"/>
    <w:rsid w:val="00033D42"/>
    <w:rsid w:val="00036039"/>
    <w:rsid w:val="00036216"/>
    <w:rsid w:val="00037ED6"/>
    <w:rsid w:val="00037F90"/>
    <w:rsid w:val="00040215"/>
    <w:rsid w:val="000411B5"/>
    <w:rsid w:val="000441D9"/>
    <w:rsid w:val="000446B0"/>
    <w:rsid w:val="00044FDB"/>
    <w:rsid w:val="0004693D"/>
    <w:rsid w:val="00050005"/>
    <w:rsid w:val="00050D2C"/>
    <w:rsid w:val="00051C1E"/>
    <w:rsid w:val="00051D5C"/>
    <w:rsid w:val="000524DB"/>
    <w:rsid w:val="00053807"/>
    <w:rsid w:val="00055BDF"/>
    <w:rsid w:val="00057A98"/>
    <w:rsid w:val="00061AB2"/>
    <w:rsid w:val="00066793"/>
    <w:rsid w:val="000717F7"/>
    <w:rsid w:val="0007383E"/>
    <w:rsid w:val="00075D92"/>
    <w:rsid w:val="00076D6A"/>
    <w:rsid w:val="000771C0"/>
    <w:rsid w:val="00081FBF"/>
    <w:rsid w:val="0008215B"/>
    <w:rsid w:val="00082367"/>
    <w:rsid w:val="00082475"/>
    <w:rsid w:val="00082556"/>
    <w:rsid w:val="0008340D"/>
    <w:rsid w:val="000874BD"/>
    <w:rsid w:val="000875BF"/>
    <w:rsid w:val="00090216"/>
    <w:rsid w:val="000908F7"/>
    <w:rsid w:val="000917F5"/>
    <w:rsid w:val="00091A3F"/>
    <w:rsid w:val="00091C99"/>
    <w:rsid w:val="0009259C"/>
    <w:rsid w:val="00093736"/>
    <w:rsid w:val="00096D8C"/>
    <w:rsid w:val="000A183F"/>
    <w:rsid w:val="000A528E"/>
    <w:rsid w:val="000A6E7A"/>
    <w:rsid w:val="000A7376"/>
    <w:rsid w:val="000A7808"/>
    <w:rsid w:val="000B01F2"/>
    <w:rsid w:val="000B0BD3"/>
    <w:rsid w:val="000B3978"/>
    <w:rsid w:val="000B793E"/>
    <w:rsid w:val="000B7AC9"/>
    <w:rsid w:val="000C0B65"/>
    <w:rsid w:val="000C0C2E"/>
    <w:rsid w:val="000C54E7"/>
    <w:rsid w:val="000C587F"/>
    <w:rsid w:val="000C6B9E"/>
    <w:rsid w:val="000D04B5"/>
    <w:rsid w:val="000D0D6B"/>
    <w:rsid w:val="000D125A"/>
    <w:rsid w:val="000D4793"/>
    <w:rsid w:val="000D5948"/>
    <w:rsid w:val="000D6A0C"/>
    <w:rsid w:val="000D6B80"/>
    <w:rsid w:val="000D7017"/>
    <w:rsid w:val="000E011E"/>
    <w:rsid w:val="000E05FE"/>
    <w:rsid w:val="000E08EF"/>
    <w:rsid w:val="000E1749"/>
    <w:rsid w:val="000E1B93"/>
    <w:rsid w:val="000E3D42"/>
    <w:rsid w:val="000E4E98"/>
    <w:rsid w:val="000F3DEC"/>
    <w:rsid w:val="000F5CB1"/>
    <w:rsid w:val="0010164F"/>
    <w:rsid w:val="0010221D"/>
    <w:rsid w:val="00102D5B"/>
    <w:rsid w:val="00103754"/>
    <w:rsid w:val="0010663C"/>
    <w:rsid w:val="00107556"/>
    <w:rsid w:val="00110ACB"/>
    <w:rsid w:val="00110D16"/>
    <w:rsid w:val="00112C6F"/>
    <w:rsid w:val="00113004"/>
    <w:rsid w:val="0011498C"/>
    <w:rsid w:val="00114DC1"/>
    <w:rsid w:val="001179F5"/>
    <w:rsid w:val="00117FA1"/>
    <w:rsid w:val="00122BD5"/>
    <w:rsid w:val="00123DF4"/>
    <w:rsid w:val="00124C44"/>
    <w:rsid w:val="00125C3A"/>
    <w:rsid w:val="00125C91"/>
    <w:rsid w:val="00130B0B"/>
    <w:rsid w:val="00131ED2"/>
    <w:rsid w:val="001338EE"/>
    <w:rsid w:val="001339EC"/>
    <w:rsid w:val="00133F79"/>
    <w:rsid w:val="00136168"/>
    <w:rsid w:val="00136346"/>
    <w:rsid w:val="00146EDC"/>
    <w:rsid w:val="00147AAC"/>
    <w:rsid w:val="00150B90"/>
    <w:rsid w:val="00151774"/>
    <w:rsid w:val="0015231A"/>
    <w:rsid w:val="001543A6"/>
    <w:rsid w:val="00154462"/>
    <w:rsid w:val="001563E2"/>
    <w:rsid w:val="00157A4F"/>
    <w:rsid w:val="0016138E"/>
    <w:rsid w:val="0016152B"/>
    <w:rsid w:val="00161B7E"/>
    <w:rsid w:val="0016254A"/>
    <w:rsid w:val="0016409E"/>
    <w:rsid w:val="001642D7"/>
    <w:rsid w:val="001648CC"/>
    <w:rsid w:val="00166F5A"/>
    <w:rsid w:val="00170225"/>
    <w:rsid w:val="001715BC"/>
    <w:rsid w:val="00171823"/>
    <w:rsid w:val="00173AF5"/>
    <w:rsid w:val="001744C1"/>
    <w:rsid w:val="00174C6E"/>
    <w:rsid w:val="00181591"/>
    <w:rsid w:val="00181D15"/>
    <w:rsid w:val="00182F1A"/>
    <w:rsid w:val="00190874"/>
    <w:rsid w:val="00190BF4"/>
    <w:rsid w:val="00193BB6"/>
    <w:rsid w:val="0019461B"/>
    <w:rsid w:val="00194A66"/>
    <w:rsid w:val="00194B08"/>
    <w:rsid w:val="00195604"/>
    <w:rsid w:val="00195849"/>
    <w:rsid w:val="0019626C"/>
    <w:rsid w:val="00197B70"/>
    <w:rsid w:val="001A014A"/>
    <w:rsid w:val="001A0F7D"/>
    <w:rsid w:val="001A13AD"/>
    <w:rsid w:val="001A37F4"/>
    <w:rsid w:val="001A436B"/>
    <w:rsid w:val="001A49CF"/>
    <w:rsid w:val="001A583E"/>
    <w:rsid w:val="001A6AE4"/>
    <w:rsid w:val="001A7EEA"/>
    <w:rsid w:val="001B12D8"/>
    <w:rsid w:val="001B4842"/>
    <w:rsid w:val="001B6469"/>
    <w:rsid w:val="001B68DD"/>
    <w:rsid w:val="001B7D68"/>
    <w:rsid w:val="001D4A31"/>
    <w:rsid w:val="001D4BCF"/>
    <w:rsid w:val="001D6BCF"/>
    <w:rsid w:val="001D75E9"/>
    <w:rsid w:val="001E01CA"/>
    <w:rsid w:val="001E15E9"/>
    <w:rsid w:val="001E168C"/>
    <w:rsid w:val="001E2988"/>
    <w:rsid w:val="001E45F0"/>
    <w:rsid w:val="001E60B7"/>
    <w:rsid w:val="001E752C"/>
    <w:rsid w:val="001F28D9"/>
    <w:rsid w:val="001F2D64"/>
    <w:rsid w:val="001F3C29"/>
    <w:rsid w:val="001F5503"/>
    <w:rsid w:val="001F60D6"/>
    <w:rsid w:val="001F7CF1"/>
    <w:rsid w:val="00201340"/>
    <w:rsid w:val="0020330C"/>
    <w:rsid w:val="00215652"/>
    <w:rsid w:val="00215A8F"/>
    <w:rsid w:val="00216DDA"/>
    <w:rsid w:val="0021759F"/>
    <w:rsid w:val="0022463C"/>
    <w:rsid w:val="00224A6F"/>
    <w:rsid w:val="00224AAA"/>
    <w:rsid w:val="00226EEC"/>
    <w:rsid w:val="002321DE"/>
    <w:rsid w:val="00232CB4"/>
    <w:rsid w:val="0023617B"/>
    <w:rsid w:val="00236186"/>
    <w:rsid w:val="00237F5B"/>
    <w:rsid w:val="00240290"/>
    <w:rsid w:val="00241880"/>
    <w:rsid w:val="002435D1"/>
    <w:rsid w:val="00250B97"/>
    <w:rsid w:val="0025224A"/>
    <w:rsid w:val="00253DEB"/>
    <w:rsid w:val="0026000E"/>
    <w:rsid w:val="00260746"/>
    <w:rsid w:val="0026172C"/>
    <w:rsid w:val="002617BA"/>
    <w:rsid w:val="00262270"/>
    <w:rsid w:val="002662EE"/>
    <w:rsid w:val="00270F98"/>
    <w:rsid w:val="00274E01"/>
    <w:rsid w:val="00274F1F"/>
    <w:rsid w:val="00274FF7"/>
    <w:rsid w:val="002757AC"/>
    <w:rsid w:val="00275A5A"/>
    <w:rsid w:val="00275CF5"/>
    <w:rsid w:val="00276205"/>
    <w:rsid w:val="002820F5"/>
    <w:rsid w:val="0028301F"/>
    <w:rsid w:val="00284159"/>
    <w:rsid w:val="00285017"/>
    <w:rsid w:val="002873B7"/>
    <w:rsid w:val="00290C1D"/>
    <w:rsid w:val="00292D1D"/>
    <w:rsid w:val="0029561B"/>
    <w:rsid w:val="00297E69"/>
    <w:rsid w:val="002A198E"/>
    <w:rsid w:val="002A2B4A"/>
    <w:rsid w:val="002A2D2E"/>
    <w:rsid w:val="002A38AE"/>
    <w:rsid w:val="002A5096"/>
    <w:rsid w:val="002A620C"/>
    <w:rsid w:val="002B2203"/>
    <w:rsid w:val="002B2CD2"/>
    <w:rsid w:val="002B3F24"/>
    <w:rsid w:val="002B4C2D"/>
    <w:rsid w:val="002B6029"/>
    <w:rsid w:val="002B775D"/>
    <w:rsid w:val="002C0012"/>
    <w:rsid w:val="002C00E8"/>
    <w:rsid w:val="002C1470"/>
    <w:rsid w:val="002C1824"/>
    <w:rsid w:val="002C35C1"/>
    <w:rsid w:val="002C60D4"/>
    <w:rsid w:val="002C67D8"/>
    <w:rsid w:val="002D05F7"/>
    <w:rsid w:val="002D0C8B"/>
    <w:rsid w:val="002D170B"/>
    <w:rsid w:val="002D4248"/>
    <w:rsid w:val="002D64BD"/>
    <w:rsid w:val="002D7721"/>
    <w:rsid w:val="002D7FD9"/>
    <w:rsid w:val="002E19B8"/>
    <w:rsid w:val="002E51BF"/>
    <w:rsid w:val="002E6761"/>
    <w:rsid w:val="002E6DBB"/>
    <w:rsid w:val="002E6E0E"/>
    <w:rsid w:val="002E74F1"/>
    <w:rsid w:val="002F3A66"/>
    <w:rsid w:val="002F3B00"/>
    <w:rsid w:val="002F6189"/>
    <w:rsid w:val="00300D7D"/>
    <w:rsid w:val="003010BE"/>
    <w:rsid w:val="003018E3"/>
    <w:rsid w:val="00302498"/>
    <w:rsid w:val="003029A8"/>
    <w:rsid w:val="00303EEE"/>
    <w:rsid w:val="00307729"/>
    <w:rsid w:val="00307F05"/>
    <w:rsid w:val="003103F4"/>
    <w:rsid w:val="0031169F"/>
    <w:rsid w:val="00312AFD"/>
    <w:rsid w:val="003160CD"/>
    <w:rsid w:val="003163EF"/>
    <w:rsid w:val="00316DD6"/>
    <w:rsid w:val="00317F67"/>
    <w:rsid w:val="0032116B"/>
    <w:rsid w:val="003221E8"/>
    <w:rsid w:val="00322E98"/>
    <w:rsid w:val="00324D24"/>
    <w:rsid w:val="00325030"/>
    <w:rsid w:val="00331AC0"/>
    <w:rsid w:val="00331AC6"/>
    <w:rsid w:val="00332C3A"/>
    <w:rsid w:val="00332E35"/>
    <w:rsid w:val="003357D8"/>
    <w:rsid w:val="00337F3E"/>
    <w:rsid w:val="0034006F"/>
    <w:rsid w:val="0034134F"/>
    <w:rsid w:val="0034312B"/>
    <w:rsid w:val="00343749"/>
    <w:rsid w:val="003441B9"/>
    <w:rsid w:val="003461DE"/>
    <w:rsid w:val="00346316"/>
    <w:rsid w:val="00346A2A"/>
    <w:rsid w:val="00346DEB"/>
    <w:rsid w:val="00351F83"/>
    <w:rsid w:val="00357BD7"/>
    <w:rsid w:val="00360926"/>
    <w:rsid w:val="0036152A"/>
    <w:rsid w:val="0036200A"/>
    <w:rsid w:val="00362E82"/>
    <w:rsid w:val="00364C4F"/>
    <w:rsid w:val="00365055"/>
    <w:rsid w:val="003657F9"/>
    <w:rsid w:val="003660ED"/>
    <w:rsid w:val="00372F3A"/>
    <w:rsid w:val="00373261"/>
    <w:rsid w:val="00375A34"/>
    <w:rsid w:val="00377DC0"/>
    <w:rsid w:val="003845BF"/>
    <w:rsid w:val="00384B33"/>
    <w:rsid w:val="00387796"/>
    <w:rsid w:val="0039077C"/>
    <w:rsid w:val="00392765"/>
    <w:rsid w:val="00392A2B"/>
    <w:rsid w:val="00392BDF"/>
    <w:rsid w:val="00392E7D"/>
    <w:rsid w:val="00392F97"/>
    <w:rsid w:val="0039534C"/>
    <w:rsid w:val="003971F8"/>
    <w:rsid w:val="0039751E"/>
    <w:rsid w:val="003A200F"/>
    <w:rsid w:val="003A30F6"/>
    <w:rsid w:val="003A50D1"/>
    <w:rsid w:val="003A52FC"/>
    <w:rsid w:val="003A6E4B"/>
    <w:rsid w:val="003A77F8"/>
    <w:rsid w:val="003B0550"/>
    <w:rsid w:val="003B2709"/>
    <w:rsid w:val="003B34C7"/>
    <w:rsid w:val="003B4EF2"/>
    <w:rsid w:val="003B694F"/>
    <w:rsid w:val="003C3355"/>
    <w:rsid w:val="003C33DF"/>
    <w:rsid w:val="003C3C58"/>
    <w:rsid w:val="003C40F7"/>
    <w:rsid w:val="003C6AA3"/>
    <w:rsid w:val="003C6EE0"/>
    <w:rsid w:val="003D0F73"/>
    <w:rsid w:val="003D1F61"/>
    <w:rsid w:val="003D3458"/>
    <w:rsid w:val="003D46B3"/>
    <w:rsid w:val="003D5089"/>
    <w:rsid w:val="003D6D92"/>
    <w:rsid w:val="003D79F5"/>
    <w:rsid w:val="003E1AFF"/>
    <w:rsid w:val="003E2B0F"/>
    <w:rsid w:val="003E3562"/>
    <w:rsid w:val="003E7F59"/>
    <w:rsid w:val="003F02A0"/>
    <w:rsid w:val="003F0520"/>
    <w:rsid w:val="003F171C"/>
    <w:rsid w:val="003F1B3A"/>
    <w:rsid w:val="003F449F"/>
    <w:rsid w:val="003F46B4"/>
    <w:rsid w:val="003F4D80"/>
    <w:rsid w:val="003F5C50"/>
    <w:rsid w:val="003F7E42"/>
    <w:rsid w:val="003F7FAF"/>
    <w:rsid w:val="00400482"/>
    <w:rsid w:val="00401241"/>
    <w:rsid w:val="004022D3"/>
    <w:rsid w:val="004030DF"/>
    <w:rsid w:val="00403740"/>
    <w:rsid w:val="00404CC9"/>
    <w:rsid w:val="00405595"/>
    <w:rsid w:val="00406608"/>
    <w:rsid w:val="00411762"/>
    <w:rsid w:val="004129E3"/>
    <w:rsid w:val="00412FC5"/>
    <w:rsid w:val="00413D0C"/>
    <w:rsid w:val="00415628"/>
    <w:rsid w:val="00416E67"/>
    <w:rsid w:val="004175BB"/>
    <w:rsid w:val="00417F78"/>
    <w:rsid w:val="00422276"/>
    <w:rsid w:val="004242F1"/>
    <w:rsid w:val="00426648"/>
    <w:rsid w:val="00426ED8"/>
    <w:rsid w:val="00430D99"/>
    <w:rsid w:val="00430EE2"/>
    <w:rsid w:val="004316E3"/>
    <w:rsid w:val="00432876"/>
    <w:rsid w:val="00432EB0"/>
    <w:rsid w:val="00433616"/>
    <w:rsid w:val="004364F0"/>
    <w:rsid w:val="004402D0"/>
    <w:rsid w:val="004403ED"/>
    <w:rsid w:val="00441B2D"/>
    <w:rsid w:val="0044232F"/>
    <w:rsid w:val="00445A00"/>
    <w:rsid w:val="00446314"/>
    <w:rsid w:val="00446F4B"/>
    <w:rsid w:val="00451586"/>
    <w:rsid w:val="00451B0F"/>
    <w:rsid w:val="00457729"/>
    <w:rsid w:val="00461038"/>
    <w:rsid w:val="00461C2E"/>
    <w:rsid w:val="00462740"/>
    <w:rsid w:val="00462A9F"/>
    <w:rsid w:val="00463A48"/>
    <w:rsid w:val="00471B2B"/>
    <w:rsid w:val="00472885"/>
    <w:rsid w:val="004737CB"/>
    <w:rsid w:val="00476EB7"/>
    <w:rsid w:val="00477378"/>
    <w:rsid w:val="00477F87"/>
    <w:rsid w:val="00480519"/>
    <w:rsid w:val="004807DE"/>
    <w:rsid w:val="00483EA8"/>
    <w:rsid w:val="00486281"/>
    <w:rsid w:val="0048787C"/>
    <w:rsid w:val="00490077"/>
    <w:rsid w:val="00493742"/>
    <w:rsid w:val="00495808"/>
    <w:rsid w:val="004966AF"/>
    <w:rsid w:val="00497D55"/>
    <w:rsid w:val="004A0792"/>
    <w:rsid w:val="004A4DE3"/>
    <w:rsid w:val="004A4F56"/>
    <w:rsid w:val="004A6C18"/>
    <w:rsid w:val="004A7332"/>
    <w:rsid w:val="004B184A"/>
    <w:rsid w:val="004B1B4F"/>
    <w:rsid w:val="004B3001"/>
    <w:rsid w:val="004B3984"/>
    <w:rsid w:val="004B4673"/>
    <w:rsid w:val="004B5229"/>
    <w:rsid w:val="004C186C"/>
    <w:rsid w:val="004C1955"/>
    <w:rsid w:val="004C2578"/>
    <w:rsid w:val="004C2EE3"/>
    <w:rsid w:val="004C3509"/>
    <w:rsid w:val="004C55A3"/>
    <w:rsid w:val="004C596C"/>
    <w:rsid w:val="004D2D2F"/>
    <w:rsid w:val="004D47E3"/>
    <w:rsid w:val="004D5268"/>
    <w:rsid w:val="004D53B0"/>
    <w:rsid w:val="004D5AC3"/>
    <w:rsid w:val="004D7E63"/>
    <w:rsid w:val="004E385C"/>
    <w:rsid w:val="004E4A22"/>
    <w:rsid w:val="004E6F5D"/>
    <w:rsid w:val="004F5FC9"/>
    <w:rsid w:val="004F6527"/>
    <w:rsid w:val="004F693A"/>
    <w:rsid w:val="004F7130"/>
    <w:rsid w:val="004F7FCB"/>
    <w:rsid w:val="005008BD"/>
    <w:rsid w:val="0050208A"/>
    <w:rsid w:val="005026C5"/>
    <w:rsid w:val="0050312E"/>
    <w:rsid w:val="00503DC9"/>
    <w:rsid w:val="005053E4"/>
    <w:rsid w:val="00505B30"/>
    <w:rsid w:val="0050607E"/>
    <w:rsid w:val="0050692C"/>
    <w:rsid w:val="0050751A"/>
    <w:rsid w:val="00507A3F"/>
    <w:rsid w:val="00510910"/>
    <w:rsid w:val="00511968"/>
    <w:rsid w:val="00512F53"/>
    <w:rsid w:val="00513FC0"/>
    <w:rsid w:val="00516D45"/>
    <w:rsid w:val="00520CE4"/>
    <w:rsid w:val="00521103"/>
    <w:rsid w:val="00523224"/>
    <w:rsid w:val="005239C7"/>
    <w:rsid w:val="00524B70"/>
    <w:rsid w:val="0052588C"/>
    <w:rsid w:val="0052718C"/>
    <w:rsid w:val="00527548"/>
    <w:rsid w:val="00531B31"/>
    <w:rsid w:val="00531C81"/>
    <w:rsid w:val="00532AD0"/>
    <w:rsid w:val="00534777"/>
    <w:rsid w:val="0053560E"/>
    <w:rsid w:val="005360BA"/>
    <w:rsid w:val="00537F4D"/>
    <w:rsid w:val="005405B2"/>
    <w:rsid w:val="0054366C"/>
    <w:rsid w:val="0054427A"/>
    <w:rsid w:val="00544BC8"/>
    <w:rsid w:val="005463C2"/>
    <w:rsid w:val="005509B3"/>
    <w:rsid w:val="00550CE9"/>
    <w:rsid w:val="00553837"/>
    <w:rsid w:val="0055483D"/>
    <w:rsid w:val="0055614C"/>
    <w:rsid w:val="00556F9A"/>
    <w:rsid w:val="005615B0"/>
    <w:rsid w:val="0056347E"/>
    <w:rsid w:val="0056380F"/>
    <w:rsid w:val="005641E5"/>
    <w:rsid w:val="00566D06"/>
    <w:rsid w:val="0057073E"/>
    <w:rsid w:val="00572FED"/>
    <w:rsid w:val="00581B92"/>
    <w:rsid w:val="0058377F"/>
    <w:rsid w:val="00584BB0"/>
    <w:rsid w:val="00585E05"/>
    <w:rsid w:val="00586D86"/>
    <w:rsid w:val="005872C6"/>
    <w:rsid w:val="0058773B"/>
    <w:rsid w:val="00591556"/>
    <w:rsid w:val="00595C75"/>
    <w:rsid w:val="0059653E"/>
    <w:rsid w:val="0059683F"/>
    <w:rsid w:val="005A124E"/>
    <w:rsid w:val="005A3762"/>
    <w:rsid w:val="005A6124"/>
    <w:rsid w:val="005A74CB"/>
    <w:rsid w:val="005B01B6"/>
    <w:rsid w:val="005B20A2"/>
    <w:rsid w:val="005B23A3"/>
    <w:rsid w:val="005B7143"/>
    <w:rsid w:val="005B74D3"/>
    <w:rsid w:val="005C0E50"/>
    <w:rsid w:val="005C23B2"/>
    <w:rsid w:val="005C3DC8"/>
    <w:rsid w:val="005C5979"/>
    <w:rsid w:val="005C5D8B"/>
    <w:rsid w:val="005C60D8"/>
    <w:rsid w:val="005D0728"/>
    <w:rsid w:val="005D2B2D"/>
    <w:rsid w:val="005D462F"/>
    <w:rsid w:val="005D5535"/>
    <w:rsid w:val="005D6956"/>
    <w:rsid w:val="005D6CEC"/>
    <w:rsid w:val="005D78B9"/>
    <w:rsid w:val="005D7F0C"/>
    <w:rsid w:val="005E14C2"/>
    <w:rsid w:val="005E70F6"/>
    <w:rsid w:val="005E7492"/>
    <w:rsid w:val="005F0DDF"/>
    <w:rsid w:val="005F24BD"/>
    <w:rsid w:val="005F4569"/>
    <w:rsid w:val="005F4F45"/>
    <w:rsid w:val="005F6237"/>
    <w:rsid w:val="005F7AA5"/>
    <w:rsid w:val="006012F1"/>
    <w:rsid w:val="00601ABF"/>
    <w:rsid w:val="0060238B"/>
    <w:rsid w:val="00603EEF"/>
    <w:rsid w:val="00605E7D"/>
    <w:rsid w:val="006062AE"/>
    <w:rsid w:val="0060650E"/>
    <w:rsid w:val="00607BA5"/>
    <w:rsid w:val="0061180A"/>
    <w:rsid w:val="0061415E"/>
    <w:rsid w:val="0061493B"/>
    <w:rsid w:val="00617FC0"/>
    <w:rsid w:val="006202B7"/>
    <w:rsid w:val="00621492"/>
    <w:rsid w:val="0062550C"/>
    <w:rsid w:val="00625A6C"/>
    <w:rsid w:val="00626EB6"/>
    <w:rsid w:val="006305AF"/>
    <w:rsid w:val="0063343B"/>
    <w:rsid w:val="006349DE"/>
    <w:rsid w:val="00635E59"/>
    <w:rsid w:val="006364D2"/>
    <w:rsid w:val="0063666B"/>
    <w:rsid w:val="0063778F"/>
    <w:rsid w:val="00640675"/>
    <w:rsid w:val="00647969"/>
    <w:rsid w:val="00650A44"/>
    <w:rsid w:val="00652151"/>
    <w:rsid w:val="00655D03"/>
    <w:rsid w:val="006561C3"/>
    <w:rsid w:val="00656C5B"/>
    <w:rsid w:val="00656ECF"/>
    <w:rsid w:val="00657576"/>
    <w:rsid w:val="00661A60"/>
    <w:rsid w:val="00661F01"/>
    <w:rsid w:val="00662917"/>
    <w:rsid w:val="00662D47"/>
    <w:rsid w:val="0066735D"/>
    <w:rsid w:val="00670B40"/>
    <w:rsid w:val="00672240"/>
    <w:rsid w:val="00675EF9"/>
    <w:rsid w:val="0068089A"/>
    <w:rsid w:val="00682587"/>
    <w:rsid w:val="00683388"/>
    <w:rsid w:val="00683F84"/>
    <w:rsid w:val="006845C0"/>
    <w:rsid w:val="00684EB5"/>
    <w:rsid w:val="006854F4"/>
    <w:rsid w:val="00686379"/>
    <w:rsid w:val="00687C07"/>
    <w:rsid w:val="00690DC4"/>
    <w:rsid w:val="00690F49"/>
    <w:rsid w:val="00694812"/>
    <w:rsid w:val="0069684A"/>
    <w:rsid w:val="00696969"/>
    <w:rsid w:val="00696EB2"/>
    <w:rsid w:val="006A0A40"/>
    <w:rsid w:val="006A4E31"/>
    <w:rsid w:val="006A6A81"/>
    <w:rsid w:val="006A73FE"/>
    <w:rsid w:val="006B00B6"/>
    <w:rsid w:val="006B0AFC"/>
    <w:rsid w:val="006B1047"/>
    <w:rsid w:val="006B1B2A"/>
    <w:rsid w:val="006B231C"/>
    <w:rsid w:val="006B2BA6"/>
    <w:rsid w:val="006B72E9"/>
    <w:rsid w:val="006B79D2"/>
    <w:rsid w:val="006C0071"/>
    <w:rsid w:val="006C0CA5"/>
    <w:rsid w:val="006C32BA"/>
    <w:rsid w:val="006C4180"/>
    <w:rsid w:val="006C5CF4"/>
    <w:rsid w:val="006C658A"/>
    <w:rsid w:val="006C6A50"/>
    <w:rsid w:val="006D0436"/>
    <w:rsid w:val="006D20CA"/>
    <w:rsid w:val="006D2D23"/>
    <w:rsid w:val="006E7F90"/>
    <w:rsid w:val="006F0481"/>
    <w:rsid w:val="006F1C85"/>
    <w:rsid w:val="006F1DDF"/>
    <w:rsid w:val="006F4B83"/>
    <w:rsid w:val="006F5C26"/>
    <w:rsid w:val="006F6D31"/>
    <w:rsid w:val="006F72F0"/>
    <w:rsid w:val="006F7393"/>
    <w:rsid w:val="006F7B54"/>
    <w:rsid w:val="006F7BCC"/>
    <w:rsid w:val="00700B87"/>
    <w:rsid w:val="0070224F"/>
    <w:rsid w:val="007023FF"/>
    <w:rsid w:val="0070490D"/>
    <w:rsid w:val="00705928"/>
    <w:rsid w:val="007115F7"/>
    <w:rsid w:val="007121A7"/>
    <w:rsid w:val="0071766E"/>
    <w:rsid w:val="00722B11"/>
    <w:rsid w:val="007249AB"/>
    <w:rsid w:val="00726707"/>
    <w:rsid w:val="007316D1"/>
    <w:rsid w:val="00732494"/>
    <w:rsid w:val="00732A45"/>
    <w:rsid w:val="0073335D"/>
    <w:rsid w:val="007347E3"/>
    <w:rsid w:val="007359DC"/>
    <w:rsid w:val="00735D17"/>
    <w:rsid w:val="00735DA0"/>
    <w:rsid w:val="0073661A"/>
    <w:rsid w:val="0074038D"/>
    <w:rsid w:val="007407A3"/>
    <w:rsid w:val="00741A7C"/>
    <w:rsid w:val="00741F24"/>
    <w:rsid w:val="007431A0"/>
    <w:rsid w:val="00744017"/>
    <w:rsid w:val="007450AC"/>
    <w:rsid w:val="0074511B"/>
    <w:rsid w:val="00747312"/>
    <w:rsid w:val="00747CC5"/>
    <w:rsid w:val="00747E40"/>
    <w:rsid w:val="00751F0D"/>
    <w:rsid w:val="007537BF"/>
    <w:rsid w:val="00754706"/>
    <w:rsid w:val="00761077"/>
    <w:rsid w:val="0076136E"/>
    <w:rsid w:val="007637A0"/>
    <w:rsid w:val="00763F0D"/>
    <w:rsid w:val="00764A89"/>
    <w:rsid w:val="00764BA4"/>
    <w:rsid w:val="00765112"/>
    <w:rsid w:val="00766CD5"/>
    <w:rsid w:val="00766D25"/>
    <w:rsid w:val="007707D2"/>
    <w:rsid w:val="007717F1"/>
    <w:rsid w:val="00771AEA"/>
    <w:rsid w:val="00773A3D"/>
    <w:rsid w:val="00773A4F"/>
    <w:rsid w:val="00775A2B"/>
    <w:rsid w:val="0077657A"/>
    <w:rsid w:val="00777864"/>
    <w:rsid w:val="00780AA8"/>
    <w:rsid w:val="00781F6E"/>
    <w:rsid w:val="00782F40"/>
    <w:rsid w:val="00783DE9"/>
    <w:rsid w:val="00784217"/>
    <w:rsid w:val="0078451B"/>
    <w:rsid w:val="00784E92"/>
    <w:rsid w:val="00785689"/>
    <w:rsid w:val="00787DBE"/>
    <w:rsid w:val="00787E4F"/>
    <w:rsid w:val="00790D0D"/>
    <w:rsid w:val="00796E5D"/>
    <w:rsid w:val="0079754B"/>
    <w:rsid w:val="007A0E3F"/>
    <w:rsid w:val="007A1E6D"/>
    <w:rsid w:val="007A4DE4"/>
    <w:rsid w:val="007A5AC2"/>
    <w:rsid w:val="007A6258"/>
    <w:rsid w:val="007A6CC6"/>
    <w:rsid w:val="007A7E2F"/>
    <w:rsid w:val="007B0EB2"/>
    <w:rsid w:val="007B1F16"/>
    <w:rsid w:val="007B30CE"/>
    <w:rsid w:val="007B6B20"/>
    <w:rsid w:val="007B7105"/>
    <w:rsid w:val="007C0846"/>
    <w:rsid w:val="007C3A9A"/>
    <w:rsid w:val="007C4168"/>
    <w:rsid w:val="007C418F"/>
    <w:rsid w:val="007C4AB1"/>
    <w:rsid w:val="007C7286"/>
    <w:rsid w:val="007D1974"/>
    <w:rsid w:val="007D2ADB"/>
    <w:rsid w:val="007D6106"/>
    <w:rsid w:val="007D625F"/>
    <w:rsid w:val="007D6EBB"/>
    <w:rsid w:val="007D7448"/>
    <w:rsid w:val="007E01A7"/>
    <w:rsid w:val="007E4DAB"/>
    <w:rsid w:val="007F081E"/>
    <w:rsid w:val="007F156E"/>
    <w:rsid w:val="007F3395"/>
    <w:rsid w:val="007F3969"/>
    <w:rsid w:val="007F4036"/>
    <w:rsid w:val="007F4230"/>
    <w:rsid w:val="007F46B2"/>
    <w:rsid w:val="007F5304"/>
    <w:rsid w:val="007F5485"/>
    <w:rsid w:val="007F5A59"/>
    <w:rsid w:val="008043C9"/>
    <w:rsid w:val="008051DF"/>
    <w:rsid w:val="00806F18"/>
    <w:rsid w:val="00807B89"/>
    <w:rsid w:val="008103EC"/>
    <w:rsid w:val="0081048C"/>
    <w:rsid w:val="00810B6F"/>
    <w:rsid w:val="00813925"/>
    <w:rsid w:val="00816593"/>
    <w:rsid w:val="00817A53"/>
    <w:rsid w:val="008205FD"/>
    <w:rsid w:val="00820F17"/>
    <w:rsid w:val="00822CE0"/>
    <w:rsid w:val="008239E4"/>
    <w:rsid w:val="008242E0"/>
    <w:rsid w:val="0082483E"/>
    <w:rsid w:val="00824F0F"/>
    <w:rsid w:val="0082678F"/>
    <w:rsid w:val="00830ED6"/>
    <w:rsid w:val="00831A7A"/>
    <w:rsid w:val="008332EA"/>
    <w:rsid w:val="00833641"/>
    <w:rsid w:val="0083654A"/>
    <w:rsid w:val="00836CB4"/>
    <w:rsid w:val="00837EFC"/>
    <w:rsid w:val="00841AB1"/>
    <w:rsid w:val="00846598"/>
    <w:rsid w:val="00846E3B"/>
    <w:rsid w:val="0085067E"/>
    <w:rsid w:val="0085391E"/>
    <w:rsid w:val="008573AF"/>
    <w:rsid w:val="0086147F"/>
    <w:rsid w:val="00861DD3"/>
    <w:rsid w:val="008627B5"/>
    <w:rsid w:val="00864731"/>
    <w:rsid w:val="00865618"/>
    <w:rsid w:val="0086578A"/>
    <w:rsid w:val="00865FD5"/>
    <w:rsid w:val="0087082F"/>
    <w:rsid w:val="00870E11"/>
    <w:rsid w:val="00872C8E"/>
    <w:rsid w:val="0087748C"/>
    <w:rsid w:val="00880519"/>
    <w:rsid w:val="0088167B"/>
    <w:rsid w:val="0088253B"/>
    <w:rsid w:val="00882DFD"/>
    <w:rsid w:val="00885760"/>
    <w:rsid w:val="008858BC"/>
    <w:rsid w:val="00886592"/>
    <w:rsid w:val="00886820"/>
    <w:rsid w:val="00886910"/>
    <w:rsid w:val="00890903"/>
    <w:rsid w:val="008920FD"/>
    <w:rsid w:val="008935AA"/>
    <w:rsid w:val="00896DF5"/>
    <w:rsid w:val="008A4B7B"/>
    <w:rsid w:val="008A4EFF"/>
    <w:rsid w:val="008A59FE"/>
    <w:rsid w:val="008B0274"/>
    <w:rsid w:val="008B1022"/>
    <w:rsid w:val="008B2279"/>
    <w:rsid w:val="008B3E63"/>
    <w:rsid w:val="008B70AB"/>
    <w:rsid w:val="008B7673"/>
    <w:rsid w:val="008C1D82"/>
    <w:rsid w:val="008C22D1"/>
    <w:rsid w:val="008C2608"/>
    <w:rsid w:val="008C27F5"/>
    <w:rsid w:val="008C383D"/>
    <w:rsid w:val="008C3C30"/>
    <w:rsid w:val="008C5F4D"/>
    <w:rsid w:val="008C68F1"/>
    <w:rsid w:val="008D074A"/>
    <w:rsid w:val="008D1D6C"/>
    <w:rsid w:val="008D4671"/>
    <w:rsid w:val="008D5B76"/>
    <w:rsid w:val="008D70CE"/>
    <w:rsid w:val="008E096A"/>
    <w:rsid w:val="008E0C88"/>
    <w:rsid w:val="008E1457"/>
    <w:rsid w:val="008E23E8"/>
    <w:rsid w:val="008E35D9"/>
    <w:rsid w:val="008E4050"/>
    <w:rsid w:val="008E42D7"/>
    <w:rsid w:val="008F2E2A"/>
    <w:rsid w:val="008F2E8F"/>
    <w:rsid w:val="008F527B"/>
    <w:rsid w:val="008F67D7"/>
    <w:rsid w:val="008F7D09"/>
    <w:rsid w:val="0090351B"/>
    <w:rsid w:val="0090394F"/>
    <w:rsid w:val="00905400"/>
    <w:rsid w:val="00905684"/>
    <w:rsid w:val="009065AE"/>
    <w:rsid w:val="009113B5"/>
    <w:rsid w:val="0091323D"/>
    <w:rsid w:val="0091629C"/>
    <w:rsid w:val="00916A95"/>
    <w:rsid w:val="00917F02"/>
    <w:rsid w:val="00921803"/>
    <w:rsid w:val="00922060"/>
    <w:rsid w:val="00923ABA"/>
    <w:rsid w:val="0092530F"/>
    <w:rsid w:val="00925C5C"/>
    <w:rsid w:val="00925D47"/>
    <w:rsid w:val="00926503"/>
    <w:rsid w:val="0092795A"/>
    <w:rsid w:val="00930DE8"/>
    <w:rsid w:val="00931324"/>
    <w:rsid w:val="009344BE"/>
    <w:rsid w:val="00934651"/>
    <w:rsid w:val="009347FC"/>
    <w:rsid w:val="009361B0"/>
    <w:rsid w:val="00937E73"/>
    <w:rsid w:val="00940AFF"/>
    <w:rsid w:val="00941662"/>
    <w:rsid w:val="0094223A"/>
    <w:rsid w:val="0094282B"/>
    <w:rsid w:val="00944CF7"/>
    <w:rsid w:val="00944D21"/>
    <w:rsid w:val="00947047"/>
    <w:rsid w:val="00947469"/>
    <w:rsid w:val="00947AE6"/>
    <w:rsid w:val="00950483"/>
    <w:rsid w:val="00950A87"/>
    <w:rsid w:val="00951C84"/>
    <w:rsid w:val="0095252E"/>
    <w:rsid w:val="00954537"/>
    <w:rsid w:val="00954C21"/>
    <w:rsid w:val="00957D51"/>
    <w:rsid w:val="00961622"/>
    <w:rsid w:val="0096166A"/>
    <w:rsid w:val="00962E91"/>
    <w:rsid w:val="00966EE8"/>
    <w:rsid w:val="0096735B"/>
    <w:rsid w:val="00967FDF"/>
    <w:rsid w:val="0097008B"/>
    <w:rsid w:val="00970622"/>
    <w:rsid w:val="00970C81"/>
    <w:rsid w:val="00971A73"/>
    <w:rsid w:val="009726D8"/>
    <w:rsid w:val="00973D19"/>
    <w:rsid w:val="00974530"/>
    <w:rsid w:val="00975337"/>
    <w:rsid w:val="00980F10"/>
    <w:rsid w:val="00986500"/>
    <w:rsid w:val="00986F10"/>
    <w:rsid w:val="00990377"/>
    <w:rsid w:val="00991DFE"/>
    <w:rsid w:val="00992C6B"/>
    <w:rsid w:val="009941C3"/>
    <w:rsid w:val="0099596A"/>
    <w:rsid w:val="00995D40"/>
    <w:rsid w:val="00995D5E"/>
    <w:rsid w:val="00996355"/>
    <w:rsid w:val="00997828"/>
    <w:rsid w:val="009A095F"/>
    <w:rsid w:val="009A20F5"/>
    <w:rsid w:val="009A2950"/>
    <w:rsid w:val="009A3625"/>
    <w:rsid w:val="009A3E2F"/>
    <w:rsid w:val="009A74F6"/>
    <w:rsid w:val="009B5E7E"/>
    <w:rsid w:val="009C070F"/>
    <w:rsid w:val="009C10A8"/>
    <w:rsid w:val="009C4D66"/>
    <w:rsid w:val="009C4F8D"/>
    <w:rsid w:val="009C50DE"/>
    <w:rsid w:val="009C69E1"/>
    <w:rsid w:val="009C785F"/>
    <w:rsid w:val="009D1D78"/>
    <w:rsid w:val="009D5696"/>
    <w:rsid w:val="009D5749"/>
    <w:rsid w:val="009D716D"/>
    <w:rsid w:val="009D7308"/>
    <w:rsid w:val="009D7B1A"/>
    <w:rsid w:val="009D7EF8"/>
    <w:rsid w:val="009E14E0"/>
    <w:rsid w:val="009E1EF8"/>
    <w:rsid w:val="009E25F3"/>
    <w:rsid w:val="009E2CEB"/>
    <w:rsid w:val="009E6B67"/>
    <w:rsid w:val="009E74F3"/>
    <w:rsid w:val="009F19D3"/>
    <w:rsid w:val="009F2190"/>
    <w:rsid w:val="009F261C"/>
    <w:rsid w:val="009F2CEB"/>
    <w:rsid w:val="009F4E04"/>
    <w:rsid w:val="009F533C"/>
    <w:rsid w:val="009F637C"/>
    <w:rsid w:val="009F76DB"/>
    <w:rsid w:val="00A00CD2"/>
    <w:rsid w:val="00A00D4E"/>
    <w:rsid w:val="00A00E7B"/>
    <w:rsid w:val="00A01E9D"/>
    <w:rsid w:val="00A02309"/>
    <w:rsid w:val="00A02EA7"/>
    <w:rsid w:val="00A1055D"/>
    <w:rsid w:val="00A12CC7"/>
    <w:rsid w:val="00A22C59"/>
    <w:rsid w:val="00A23B2E"/>
    <w:rsid w:val="00A24E64"/>
    <w:rsid w:val="00A2581F"/>
    <w:rsid w:val="00A2718F"/>
    <w:rsid w:val="00A271F8"/>
    <w:rsid w:val="00A30409"/>
    <w:rsid w:val="00A311A3"/>
    <w:rsid w:val="00A32C3B"/>
    <w:rsid w:val="00A33CFE"/>
    <w:rsid w:val="00A342B5"/>
    <w:rsid w:val="00A34B81"/>
    <w:rsid w:val="00A35BB5"/>
    <w:rsid w:val="00A36D6D"/>
    <w:rsid w:val="00A41050"/>
    <w:rsid w:val="00A4244F"/>
    <w:rsid w:val="00A42EFA"/>
    <w:rsid w:val="00A44E57"/>
    <w:rsid w:val="00A45F4F"/>
    <w:rsid w:val="00A50DAF"/>
    <w:rsid w:val="00A5363B"/>
    <w:rsid w:val="00A5599F"/>
    <w:rsid w:val="00A600A9"/>
    <w:rsid w:val="00A655D6"/>
    <w:rsid w:val="00A67361"/>
    <w:rsid w:val="00A70647"/>
    <w:rsid w:val="00A70F4D"/>
    <w:rsid w:val="00A71E2F"/>
    <w:rsid w:val="00A723A1"/>
    <w:rsid w:val="00A72B90"/>
    <w:rsid w:val="00A72E9B"/>
    <w:rsid w:val="00A73024"/>
    <w:rsid w:val="00A7511B"/>
    <w:rsid w:val="00A8205B"/>
    <w:rsid w:val="00A82788"/>
    <w:rsid w:val="00A82B6A"/>
    <w:rsid w:val="00A83951"/>
    <w:rsid w:val="00A84B44"/>
    <w:rsid w:val="00A918E8"/>
    <w:rsid w:val="00A96ABB"/>
    <w:rsid w:val="00AA55B7"/>
    <w:rsid w:val="00AA5A0F"/>
    <w:rsid w:val="00AA5B9E"/>
    <w:rsid w:val="00AA74F9"/>
    <w:rsid w:val="00AB0130"/>
    <w:rsid w:val="00AB0726"/>
    <w:rsid w:val="00AB13AA"/>
    <w:rsid w:val="00AB19F3"/>
    <w:rsid w:val="00AB2407"/>
    <w:rsid w:val="00AB27FA"/>
    <w:rsid w:val="00AB52F3"/>
    <w:rsid w:val="00AB53DF"/>
    <w:rsid w:val="00AB682F"/>
    <w:rsid w:val="00AB7692"/>
    <w:rsid w:val="00AC14FF"/>
    <w:rsid w:val="00AC2CC7"/>
    <w:rsid w:val="00AC4CA3"/>
    <w:rsid w:val="00AC6209"/>
    <w:rsid w:val="00AC6F67"/>
    <w:rsid w:val="00AC748C"/>
    <w:rsid w:val="00AC77C3"/>
    <w:rsid w:val="00AD1939"/>
    <w:rsid w:val="00AD1C40"/>
    <w:rsid w:val="00AD4F2D"/>
    <w:rsid w:val="00AD709A"/>
    <w:rsid w:val="00AE0B1A"/>
    <w:rsid w:val="00AE1822"/>
    <w:rsid w:val="00AE2DD1"/>
    <w:rsid w:val="00AE5E1F"/>
    <w:rsid w:val="00AF1383"/>
    <w:rsid w:val="00AF2878"/>
    <w:rsid w:val="00AF34E0"/>
    <w:rsid w:val="00AF3732"/>
    <w:rsid w:val="00AF38C4"/>
    <w:rsid w:val="00AF4ABB"/>
    <w:rsid w:val="00AF4B30"/>
    <w:rsid w:val="00AF5F44"/>
    <w:rsid w:val="00AF6D1D"/>
    <w:rsid w:val="00B00AD1"/>
    <w:rsid w:val="00B0177A"/>
    <w:rsid w:val="00B01E46"/>
    <w:rsid w:val="00B01F99"/>
    <w:rsid w:val="00B02DF8"/>
    <w:rsid w:val="00B03ABF"/>
    <w:rsid w:val="00B03AEC"/>
    <w:rsid w:val="00B041A0"/>
    <w:rsid w:val="00B0543B"/>
    <w:rsid w:val="00B05AB1"/>
    <w:rsid w:val="00B07858"/>
    <w:rsid w:val="00B07B38"/>
    <w:rsid w:val="00B07E5C"/>
    <w:rsid w:val="00B10AAF"/>
    <w:rsid w:val="00B10D55"/>
    <w:rsid w:val="00B10F80"/>
    <w:rsid w:val="00B11928"/>
    <w:rsid w:val="00B1215F"/>
    <w:rsid w:val="00B13C5B"/>
    <w:rsid w:val="00B14D04"/>
    <w:rsid w:val="00B16C2D"/>
    <w:rsid w:val="00B21792"/>
    <w:rsid w:val="00B23516"/>
    <w:rsid w:val="00B23D43"/>
    <w:rsid w:val="00B24F36"/>
    <w:rsid w:val="00B25EAE"/>
    <w:rsid w:val="00B260C3"/>
    <w:rsid w:val="00B30D55"/>
    <w:rsid w:val="00B35D34"/>
    <w:rsid w:val="00B37406"/>
    <w:rsid w:val="00B40687"/>
    <w:rsid w:val="00B41129"/>
    <w:rsid w:val="00B45C60"/>
    <w:rsid w:val="00B52E8C"/>
    <w:rsid w:val="00B54843"/>
    <w:rsid w:val="00B570B2"/>
    <w:rsid w:val="00B600A7"/>
    <w:rsid w:val="00B615D6"/>
    <w:rsid w:val="00B63972"/>
    <w:rsid w:val="00B651AD"/>
    <w:rsid w:val="00B673AD"/>
    <w:rsid w:val="00B70BB3"/>
    <w:rsid w:val="00B7139E"/>
    <w:rsid w:val="00B713CE"/>
    <w:rsid w:val="00B72015"/>
    <w:rsid w:val="00B729FD"/>
    <w:rsid w:val="00B730C3"/>
    <w:rsid w:val="00B7335C"/>
    <w:rsid w:val="00B7695D"/>
    <w:rsid w:val="00B8081C"/>
    <w:rsid w:val="00B80836"/>
    <w:rsid w:val="00B80F56"/>
    <w:rsid w:val="00B811F7"/>
    <w:rsid w:val="00B82AD1"/>
    <w:rsid w:val="00B84149"/>
    <w:rsid w:val="00B91CBB"/>
    <w:rsid w:val="00B9215D"/>
    <w:rsid w:val="00B9230D"/>
    <w:rsid w:val="00B93D3D"/>
    <w:rsid w:val="00B94DC6"/>
    <w:rsid w:val="00B95575"/>
    <w:rsid w:val="00BA07F8"/>
    <w:rsid w:val="00BA16F4"/>
    <w:rsid w:val="00BA39F5"/>
    <w:rsid w:val="00BA5984"/>
    <w:rsid w:val="00BA5DC6"/>
    <w:rsid w:val="00BA6196"/>
    <w:rsid w:val="00BA71EA"/>
    <w:rsid w:val="00BB04D4"/>
    <w:rsid w:val="00BB2BFF"/>
    <w:rsid w:val="00BB31B5"/>
    <w:rsid w:val="00BB4E88"/>
    <w:rsid w:val="00BB5B9F"/>
    <w:rsid w:val="00BB65C1"/>
    <w:rsid w:val="00BC04E9"/>
    <w:rsid w:val="00BC2584"/>
    <w:rsid w:val="00BC3BB2"/>
    <w:rsid w:val="00BC6D8C"/>
    <w:rsid w:val="00BD0675"/>
    <w:rsid w:val="00BD094F"/>
    <w:rsid w:val="00BD0C53"/>
    <w:rsid w:val="00BD0EF9"/>
    <w:rsid w:val="00BD14C2"/>
    <w:rsid w:val="00BD33B3"/>
    <w:rsid w:val="00BD476F"/>
    <w:rsid w:val="00BD59BB"/>
    <w:rsid w:val="00BD59EA"/>
    <w:rsid w:val="00BD60E9"/>
    <w:rsid w:val="00BD76A5"/>
    <w:rsid w:val="00BD7E21"/>
    <w:rsid w:val="00BE1FF8"/>
    <w:rsid w:val="00BE3134"/>
    <w:rsid w:val="00BE44BB"/>
    <w:rsid w:val="00BE5F67"/>
    <w:rsid w:val="00BF0227"/>
    <w:rsid w:val="00BF229F"/>
    <w:rsid w:val="00BF3DBB"/>
    <w:rsid w:val="00BF7690"/>
    <w:rsid w:val="00C02EF9"/>
    <w:rsid w:val="00C039A9"/>
    <w:rsid w:val="00C06D8D"/>
    <w:rsid w:val="00C100F0"/>
    <w:rsid w:val="00C10708"/>
    <w:rsid w:val="00C10A15"/>
    <w:rsid w:val="00C144EB"/>
    <w:rsid w:val="00C1728C"/>
    <w:rsid w:val="00C17572"/>
    <w:rsid w:val="00C21961"/>
    <w:rsid w:val="00C22DD3"/>
    <w:rsid w:val="00C24D78"/>
    <w:rsid w:val="00C31E5F"/>
    <w:rsid w:val="00C331D9"/>
    <w:rsid w:val="00C34006"/>
    <w:rsid w:val="00C34C1B"/>
    <w:rsid w:val="00C34CA8"/>
    <w:rsid w:val="00C34F87"/>
    <w:rsid w:val="00C36B4C"/>
    <w:rsid w:val="00C40626"/>
    <w:rsid w:val="00C41813"/>
    <w:rsid w:val="00C41DC8"/>
    <w:rsid w:val="00C426B1"/>
    <w:rsid w:val="00C448C2"/>
    <w:rsid w:val="00C45D00"/>
    <w:rsid w:val="00C477D1"/>
    <w:rsid w:val="00C51262"/>
    <w:rsid w:val="00C52035"/>
    <w:rsid w:val="00C52B1B"/>
    <w:rsid w:val="00C5634A"/>
    <w:rsid w:val="00C5679E"/>
    <w:rsid w:val="00C56DC7"/>
    <w:rsid w:val="00C60ADC"/>
    <w:rsid w:val="00C621BE"/>
    <w:rsid w:val="00C631D5"/>
    <w:rsid w:val="00C63718"/>
    <w:rsid w:val="00C63DBC"/>
    <w:rsid w:val="00C64463"/>
    <w:rsid w:val="00C658DC"/>
    <w:rsid w:val="00C66160"/>
    <w:rsid w:val="00C665C6"/>
    <w:rsid w:val="00C71BB4"/>
    <w:rsid w:val="00C71E35"/>
    <w:rsid w:val="00C71E3B"/>
    <w:rsid w:val="00C721AC"/>
    <w:rsid w:val="00C74F67"/>
    <w:rsid w:val="00C74F9D"/>
    <w:rsid w:val="00C75E20"/>
    <w:rsid w:val="00C76A9D"/>
    <w:rsid w:val="00C806F0"/>
    <w:rsid w:val="00C813C8"/>
    <w:rsid w:val="00C815B2"/>
    <w:rsid w:val="00C82EE9"/>
    <w:rsid w:val="00C905D3"/>
    <w:rsid w:val="00C90D6A"/>
    <w:rsid w:val="00C90F8C"/>
    <w:rsid w:val="00C9235F"/>
    <w:rsid w:val="00C9465B"/>
    <w:rsid w:val="00C96D54"/>
    <w:rsid w:val="00C97E48"/>
    <w:rsid w:val="00CA241E"/>
    <w:rsid w:val="00CA247E"/>
    <w:rsid w:val="00CA5282"/>
    <w:rsid w:val="00CA5475"/>
    <w:rsid w:val="00CA6D21"/>
    <w:rsid w:val="00CB2A92"/>
    <w:rsid w:val="00CB2F53"/>
    <w:rsid w:val="00CB377D"/>
    <w:rsid w:val="00CB380F"/>
    <w:rsid w:val="00CB4618"/>
    <w:rsid w:val="00CB4EFB"/>
    <w:rsid w:val="00CC0203"/>
    <w:rsid w:val="00CC0EDF"/>
    <w:rsid w:val="00CC11C0"/>
    <w:rsid w:val="00CC72B6"/>
    <w:rsid w:val="00CD166D"/>
    <w:rsid w:val="00CD59EB"/>
    <w:rsid w:val="00CE0DF4"/>
    <w:rsid w:val="00CE0F67"/>
    <w:rsid w:val="00CE10ED"/>
    <w:rsid w:val="00CE2EDF"/>
    <w:rsid w:val="00CE3B6B"/>
    <w:rsid w:val="00CE3FA8"/>
    <w:rsid w:val="00CE5E9F"/>
    <w:rsid w:val="00CE7A30"/>
    <w:rsid w:val="00CF1993"/>
    <w:rsid w:val="00CF1F24"/>
    <w:rsid w:val="00CF2B48"/>
    <w:rsid w:val="00CF7F23"/>
    <w:rsid w:val="00D00701"/>
    <w:rsid w:val="00D015B9"/>
    <w:rsid w:val="00D01622"/>
    <w:rsid w:val="00D01EE8"/>
    <w:rsid w:val="00D0218D"/>
    <w:rsid w:val="00D03C75"/>
    <w:rsid w:val="00D06097"/>
    <w:rsid w:val="00D066F8"/>
    <w:rsid w:val="00D1011C"/>
    <w:rsid w:val="00D1133A"/>
    <w:rsid w:val="00D11AAA"/>
    <w:rsid w:val="00D120A7"/>
    <w:rsid w:val="00D15D23"/>
    <w:rsid w:val="00D15EEF"/>
    <w:rsid w:val="00D166A1"/>
    <w:rsid w:val="00D16962"/>
    <w:rsid w:val="00D21CBD"/>
    <w:rsid w:val="00D22AD9"/>
    <w:rsid w:val="00D25FB5"/>
    <w:rsid w:val="00D264B4"/>
    <w:rsid w:val="00D267C9"/>
    <w:rsid w:val="00D26EB1"/>
    <w:rsid w:val="00D2727C"/>
    <w:rsid w:val="00D27747"/>
    <w:rsid w:val="00D3027B"/>
    <w:rsid w:val="00D312FC"/>
    <w:rsid w:val="00D3488D"/>
    <w:rsid w:val="00D34FDD"/>
    <w:rsid w:val="00D3603D"/>
    <w:rsid w:val="00D372AD"/>
    <w:rsid w:val="00D403C0"/>
    <w:rsid w:val="00D4205E"/>
    <w:rsid w:val="00D43B91"/>
    <w:rsid w:val="00D44223"/>
    <w:rsid w:val="00D445BF"/>
    <w:rsid w:val="00D44FA3"/>
    <w:rsid w:val="00D45BE3"/>
    <w:rsid w:val="00D50503"/>
    <w:rsid w:val="00D52EF7"/>
    <w:rsid w:val="00D53630"/>
    <w:rsid w:val="00D56B1D"/>
    <w:rsid w:val="00D60211"/>
    <w:rsid w:val="00D62433"/>
    <w:rsid w:val="00D62C00"/>
    <w:rsid w:val="00D630CF"/>
    <w:rsid w:val="00D64101"/>
    <w:rsid w:val="00D64112"/>
    <w:rsid w:val="00D65DB4"/>
    <w:rsid w:val="00D67A45"/>
    <w:rsid w:val="00D67A58"/>
    <w:rsid w:val="00D711C1"/>
    <w:rsid w:val="00D725B7"/>
    <w:rsid w:val="00D73443"/>
    <w:rsid w:val="00D73A5A"/>
    <w:rsid w:val="00D75E8C"/>
    <w:rsid w:val="00D75F76"/>
    <w:rsid w:val="00D77BE0"/>
    <w:rsid w:val="00D802EF"/>
    <w:rsid w:val="00D827C2"/>
    <w:rsid w:val="00D840B6"/>
    <w:rsid w:val="00D85A26"/>
    <w:rsid w:val="00D86DFC"/>
    <w:rsid w:val="00D90DC3"/>
    <w:rsid w:val="00D91493"/>
    <w:rsid w:val="00D918C0"/>
    <w:rsid w:val="00D93E43"/>
    <w:rsid w:val="00D94538"/>
    <w:rsid w:val="00D94B3B"/>
    <w:rsid w:val="00D97711"/>
    <w:rsid w:val="00D97B94"/>
    <w:rsid w:val="00D97CBE"/>
    <w:rsid w:val="00DA098B"/>
    <w:rsid w:val="00DA18D6"/>
    <w:rsid w:val="00DA2529"/>
    <w:rsid w:val="00DA3C61"/>
    <w:rsid w:val="00DA56CF"/>
    <w:rsid w:val="00DA578F"/>
    <w:rsid w:val="00DB130A"/>
    <w:rsid w:val="00DB263F"/>
    <w:rsid w:val="00DB2EBB"/>
    <w:rsid w:val="00DB3F27"/>
    <w:rsid w:val="00DB4C1A"/>
    <w:rsid w:val="00DB5A4E"/>
    <w:rsid w:val="00DB7816"/>
    <w:rsid w:val="00DB79F4"/>
    <w:rsid w:val="00DC0800"/>
    <w:rsid w:val="00DC10A1"/>
    <w:rsid w:val="00DC2FE1"/>
    <w:rsid w:val="00DC4CC3"/>
    <w:rsid w:val="00DC56C6"/>
    <w:rsid w:val="00DC655F"/>
    <w:rsid w:val="00DC66C8"/>
    <w:rsid w:val="00DC7782"/>
    <w:rsid w:val="00DD0B59"/>
    <w:rsid w:val="00DD2FD1"/>
    <w:rsid w:val="00DD36B6"/>
    <w:rsid w:val="00DD3DC9"/>
    <w:rsid w:val="00DD51E6"/>
    <w:rsid w:val="00DD5B4F"/>
    <w:rsid w:val="00DD67E7"/>
    <w:rsid w:val="00DD7EBD"/>
    <w:rsid w:val="00DE049F"/>
    <w:rsid w:val="00DE171D"/>
    <w:rsid w:val="00DE2604"/>
    <w:rsid w:val="00DE470E"/>
    <w:rsid w:val="00DE5E6B"/>
    <w:rsid w:val="00DE71CE"/>
    <w:rsid w:val="00DE7C0B"/>
    <w:rsid w:val="00DF3583"/>
    <w:rsid w:val="00DF4C8E"/>
    <w:rsid w:val="00DF4F73"/>
    <w:rsid w:val="00DF62B6"/>
    <w:rsid w:val="00E02E89"/>
    <w:rsid w:val="00E04FAD"/>
    <w:rsid w:val="00E06E62"/>
    <w:rsid w:val="00E07225"/>
    <w:rsid w:val="00E07257"/>
    <w:rsid w:val="00E07B12"/>
    <w:rsid w:val="00E100E2"/>
    <w:rsid w:val="00E1229A"/>
    <w:rsid w:val="00E13BF3"/>
    <w:rsid w:val="00E14AEA"/>
    <w:rsid w:val="00E17131"/>
    <w:rsid w:val="00E202D9"/>
    <w:rsid w:val="00E225B6"/>
    <w:rsid w:val="00E2299A"/>
    <w:rsid w:val="00E230BB"/>
    <w:rsid w:val="00E27A5B"/>
    <w:rsid w:val="00E27B16"/>
    <w:rsid w:val="00E3078E"/>
    <w:rsid w:val="00E308B7"/>
    <w:rsid w:val="00E31B06"/>
    <w:rsid w:val="00E3291C"/>
    <w:rsid w:val="00E32AF6"/>
    <w:rsid w:val="00E34ADC"/>
    <w:rsid w:val="00E4080C"/>
    <w:rsid w:val="00E41CB5"/>
    <w:rsid w:val="00E41DF5"/>
    <w:rsid w:val="00E43CB7"/>
    <w:rsid w:val="00E447AB"/>
    <w:rsid w:val="00E51E5A"/>
    <w:rsid w:val="00E5409F"/>
    <w:rsid w:val="00E570D5"/>
    <w:rsid w:val="00E61D32"/>
    <w:rsid w:val="00E62224"/>
    <w:rsid w:val="00E6343D"/>
    <w:rsid w:val="00E63C58"/>
    <w:rsid w:val="00E6447B"/>
    <w:rsid w:val="00E644F1"/>
    <w:rsid w:val="00E652EC"/>
    <w:rsid w:val="00E66F9E"/>
    <w:rsid w:val="00E7149C"/>
    <w:rsid w:val="00E71BB6"/>
    <w:rsid w:val="00E7475D"/>
    <w:rsid w:val="00E75440"/>
    <w:rsid w:val="00E756CD"/>
    <w:rsid w:val="00E75E19"/>
    <w:rsid w:val="00E773A9"/>
    <w:rsid w:val="00E8084B"/>
    <w:rsid w:val="00E80DB4"/>
    <w:rsid w:val="00E82C09"/>
    <w:rsid w:val="00E830DA"/>
    <w:rsid w:val="00E83A0F"/>
    <w:rsid w:val="00E86C52"/>
    <w:rsid w:val="00E87252"/>
    <w:rsid w:val="00E9188C"/>
    <w:rsid w:val="00E91A36"/>
    <w:rsid w:val="00E92369"/>
    <w:rsid w:val="00E93672"/>
    <w:rsid w:val="00E94516"/>
    <w:rsid w:val="00E97A27"/>
    <w:rsid w:val="00EA14C3"/>
    <w:rsid w:val="00EA3D57"/>
    <w:rsid w:val="00EA6DF7"/>
    <w:rsid w:val="00EA6FD7"/>
    <w:rsid w:val="00EA70D0"/>
    <w:rsid w:val="00EB2E69"/>
    <w:rsid w:val="00EB3DB2"/>
    <w:rsid w:val="00EB5E72"/>
    <w:rsid w:val="00EB6586"/>
    <w:rsid w:val="00EB72C8"/>
    <w:rsid w:val="00EC120F"/>
    <w:rsid w:val="00EC1D16"/>
    <w:rsid w:val="00EC3C53"/>
    <w:rsid w:val="00EC5B05"/>
    <w:rsid w:val="00EC5C3D"/>
    <w:rsid w:val="00EC625C"/>
    <w:rsid w:val="00EC6330"/>
    <w:rsid w:val="00EC6D8A"/>
    <w:rsid w:val="00EC6E6A"/>
    <w:rsid w:val="00ED2C37"/>
    <w:rsid w:val="00ED30EC"/>
    <w:rsid w:val="00ED31FB"/>
    <w:rsid w:val="00ED41B9"/>
    <w:rsid w:val="00ED440D"/>
    <w:rsid w:val="00EE0F38"/>
    <w:rsid w:val="00EE2391"/>
    <w:rsid w:val="00EE5DE4"/>
    <w:rsid w:val="00EE60C2"/>
    <w:rsid w:val="00EE6488"/>
    <w:rsid w:val="00EE7272"/>
    <w:rsid w:val="00EF01B3"/>
    <w:rsid w:val="00EF2A70"/>
    <w:rsid w:val="00EF52B3"/>
    <w:rsid w:val="00EF622C"/>
    <w:rsid w:val="00F00E06"/>
    <w:rsid w:val="00F01B97"/>
    <w:rsid w:val="00F021FA"/>
    <w:rsid w:val="00F03824"/>
    <w:rsid w:val="00F04C79"/>
    <w:rsid w:val="00F05C4F"/>
    <w:rsid w:val="00F0735E"/>
    <w:rsid w:val="00F10774"/>
    <w:rsid w:val="00F12652"/>
    <w:rsid w:val="00F13B38"/>
    <w:rsid w:val="00F153C7"/>
    <w:rsid w:val="00F16093"/>
    <w:rsid w:val="00F168CA"/>
    <w:rsid w:val="00F16CA4"/>
    <w:rsid w:val="00F2166B"/>
    <w:rsid w:val="00F221BA"/>
    <w:rsid w:val="00F22893"/>
    <w:rsid w:val="00F229B0"/>
    <w:rsid w:val="00F22BFF"/>
    <w:rsid w:val="00F23DC3"/>
    <w:rsid w:val="00F3095D"/>
    <w:rsid w:val="00F3380A"/>
    <w:rsid w:val="00F35B17"/>
    <w:rsid w:val="00F36BA3"/>
    <w:rsid w:val="00F375A4"/>
    <w:rsid w:val="00F4220E"/>
    <w:rsid w:val="00F443B2"/>
    <w:rsid w:val="00F44B54"/>
    <w:rsid w:val="00F5066A"/>
    <w:rsid w:val="00F50A7A"/>
    <w:rsid w:val="00F523F1"/>
    <w:rsid w:val="00F53141"/>
    <w:rsid w:val="00F54916"/>
    <w:rsid w:val="00F56F23"/>
    <w:rsid w:val="00F5748C"/>
    <w:rsid w:val="00F57F5A"/>
    <w:rsid w:val="00F62E4B"/>
    <w:rsid w:val="00F62E97"/>
    <w:rsid w:val="00F62EBB"/>
    <w:rsid w:val="00F64209"/>
    <w:rsid w:val="00F64545"/>
    <w:rsid w:val="00F654B3"/>
    <w:rsid w:val="00F65893"/>
    <w:rsid w:val="00F66FC0"/>
    <w:rsid w:val="00F707EC"/>
    <w:rsid w:val="00F71343"/>
    <w:rsid w:val="00F72108"/>
    <w:rsid w:val="00F763C8"/>
    <w:rsid w:val="00F77113"/>
    <w:rsid w:val="00F77201"/>
    <w:rsid w:val="00F81BD3"/>
    <w:rsid w:val="00F83E24"/>
    <w:rsid w:val="00F853C1"/>
    <w:rsid w:val="00F87A52"/>
    <w:rsid w:val="00F9164F"/>
    <w:rsid w:val="00F91CE3"/>
    <w:rsid w:val="00F9397A"/>
    <w:rsid w:val="00F93BF5"/>
    <w:rsid w:val="00FA46D5"/>
    <w:rsid w:val="00FA4A9F"/>
    <w:rsid w:val="00FA630F"/>
    <w:rsid w:val="00FA6722"/>
    <w:rsid w:val="00FB0835"/>
    <w:rsid w:val="00FB0929"/>
    <w:rsid w:val="00FB667C"/>
    <w:rsid w:val="00FB67DB"/>
    <w:rsid w:val="00FB7A34"/>
    <w:rsid w:val="00FC103E"/>
    <w:rsid w:val="00FC586A"/>
    <w:rsid w:val="00FD2AB7"/>
    <w:rsid w:val="00FD4AEF"/>
    <w:rsid w:val="00FD513A"/>
    <w:rsid w:val="00FE035E"/>
    <w:rsid w:val="00FE1023"/>
    <w:rsid w:val="00FE1BBA"/>
    <w:rsid w:val="00FE1F5A"/>
    <w:rsid w:val="00FE2ED7"/>
    <w:rsid w:val="00FE3256"/>
    <w:rsid w:val="00FE3958"/>
    <w:rsid w:val="00FE3B45"/>
    <w:rsid w:val="00FE5CC4"/>
    <w:rsid w:val="00FE5E87"/>
    <w:rsid w:val="00FF46C2"/>
    <w:rsid w:val="00FF4994"/>
    <w:rsid w:val="00FF5EC6"/>
    <w:rsid w:val="00FF73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617F0F"/>
  <w15:chartTrackingRefBased/>
  <w15:docId w15:val="{53988805-41CE-450D-8BBE-8EF7A56C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202D9"/>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table" w:styleId="TableGrid">
    <w:name w:val="Table Grid"/>
    <w:basedOn w:val="TableNormal"/>
    <w:rsid w:val="002B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B30D55"/>
    <w:rPr>
      <w:color w:val="605E5C"/>
      <w:shd w:val="clear" w:color="auto" w:fill="E1DFDD"/>
    </w:rPr>
  </w:style>
  <w:style w:type="character" w:styleId="CommentReference">
    <w:name w:val="annotation reference"/>
    <w:rsid w:val="000A7808"/>
    <w:rPr>
      <w:sz w:val="16"/>
      <w:szCs w:val="16"/>
    </w:rPr>
  </w:style>
  <w:style w:type="paragraph" w:styleId="CommentText">
    <w:name w:val="annotation text"/>
    <w:basedOn w:val="Normal"/>
    <w:link w:val="CommentTextChar"/>
    <w:rsid w:val="000A7808"/>
    <w:rPr>
      <w:sz w:val="20"/>
    </w:rPr>
  </w:style>
  <w:style w:type="character" w:customStyle="1" w:styleId="CommentTextChar">
    <w:name w:val="Comment Text Char"/>
    <w:link w:val="CommentText"/>
    <w:rsid w:val="000A7808"/>
    <w:rPr>
      <w:snapToGrid w:val="0"/>
      <w:kern w:val="28"/>
    </w:rPr>
  </w:style>
  <w:style w:type="paragraph" w:styleId="CommentSubject">
    <w:name w:val="annotation subject"/>
    <w:basedOn w:val="CommentText"/>
    <w:next w:val="CommentText"/>
    <w:link w:val="CommentSubjectChar"/>
    <w:rsid w:val="000A7808"/>
    <w:rPr>
      <w:b/>
      <w:bCs/>
    </w:rPr>
  </w:style>
  <w:style w:type="character" w:customStyle="1" w:styleId="CommentSubjectChar">
    <w:name w:val="Comment Subject Char"/>
    <w:link w:val="CommentSubject"/>
    <w:rsid w:val="000A7808"/>
    <w:rPr>
      <w:b/>
      <w:bCs/>
      <w:snapToGrid w:val="0"/>
      <w:kern w:val="28"/>
    </w:rPr>
  </w:style>
  <w:style w:type="character" w:styleId="FollowedHyperlink">
    <w:name w:val="FollowedHyperlink"/>
    <w:basedOn w:val="DefaultParagraphFont"/>
    <w:rsid w:val="00771AEA"/>
    <w:rPr>
      <w:color w:val="954F72" w:themeColor="followedHyperlink"/>
      <w:u w:val="single"/>
    </w:rPr>
  </w:style>
  <w:style w:type="character" w:customStyle="1" w:styleId="FootnoteTextChar">
    <w:name w:val="Footnote Text Char"/>
    <w:basedOn w:val="DefaultParagraphFont"/>
    <w:link w:val="FootnoteText"/>
    <w:uiPriority w:val="99"/>
    <w:rsid w:val="004316E3"/>
  </w:style>
  <w:style w:type="character" w:customStyle="1" w:styleId="markedcontent">
    <w:name w:val="markedcontent"/>
    <w:basedOn w:val="DefaultParagraphFont"/>
    <w:rsid w:val="004316E3"/>
  </w:style>
  <w:style w:type="character" w:customStyle="1" w:styleId="normaltextrun">
    <w:name w:val="normaltextrun"/>
    <w:basedOn w:val="DefaultParagraphFont"/>
    <w:rsid w:val="004316E3"/>
  </w:style>
  <w:style w:type="paragraph" w:customStyle="1" w:styleId="paragraph">
    <w:name w:val="paragraph"/>
    <w:basedOn w:val="Normal"/>
    <w:rsid w:val="004316E3"/>
    <w:pPr>
      <w:widowControl/>
      <w:spacing w:before="100" w:beforeAutospacing="1" w:after="100" w:afterAutospacing="1"/>
    </w:pPr>
    <w:rPr>
      <w:snapToGrid/>
      <w:kern w:val="0"/>
      <w:sz w:val="24"/>
      <w:szCs w:val="24"/>
    </w:rPr>
  </w:style>
  <w:style w:type="paragraph" w:styleId="ListParagraph">
    <w:name w:val="List Paragraph"/>
    <w:basedOn w:val="Normal"/>
    <w:uiPriority w:val="34"/>
    <w:qFormat/>
    <w:rsid w:val="00C41DC8"/>
    <w:pPr>
      <w:widowControl/>
      <w:spacing w:after="200" w:line="276" w:lineRule="auto"/>
      <w:ind w:left="720"/>
      <w:contextualSpacing/>
    </w:pPr>
    <w:rPr>
      <w:rFonts w:ascii="Calibri" w:hAnsi="Calibri" w:eastAsiaTheme="minorHAnsi" w:cs="Calibri"/>
      <w:snapToGrid/>
      <w:kern w:val="0"/>
      <w:szCs w:val="22"/>
    </w:rPr>
  </w:style>
  <w:style w:type="paragraph" w:styleId="Revision">
    <w:name w:val="Revision"/>
    <w:hidden/>
    <w:uiPriority w:val="99"/>
    <w:semiHidden/>
    <w:rsid w:val="00D4205E"/>
    <w:rPr>
      <w:snapToGrid w:val="0"/>
      <w:kern w:val="28"/>
      <w:sz w:val="22"/>
    </w:rPr>
  </w:style>
  <w:style w:type="paragraph" w:styleId="NormalWeb">
    <w:name w:val="Normal (Web)"/>
    <w:basedOn w:val="Normal"/>
    <w:uiPriority w:val="99"/>
    <w:unhideWhenUsed/>
    <w:rsid w:val="001B6469"/>
    <w:pPr>
      <w:widowControl/>
      <w:spacing w:before="100" w:beforeAutospacing="1" w:after="100" w:afterAutospacing="1"/>
    </w:pPr>
    <w:rPr>
      <w:rFonts w:eastAsiaTheme="minorEastAsia"/>
      <w:snapToGrid/>
      <w:kern w:val="0"/>
      <w:sz w:val="24"/>
      <w:szCs w:val="24"/>
    </w:rPr>
  </w:style>
  <w:style w:type="character" w:customStyle="1" w:styleId="ParaNumChar">
    <w:name w:val="ParaNum Char"/>
    <w:link w:val="ParaNum"/>
    <w:locked/>
    <w:rsid w:val="001B6469"/>
    <w:rPr>
      <w:snapToGrid w:val="0"/>
      <w:kern w:val="28"/>
      <w:sz w:val="22"/>
    </w:rPr>
  </w:style>
  <w:style w:type="character" w:styleId="Emphasis">
    <w:name w:val="Emphasis"/>
    <w:basedOn w:val="DefaultParagraphFont"/>
    <w:uiPriority w:val="20"/>
    <w:qFormat/>
    <w:rsid w:val="00B91C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image" Target="media/image3.png"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56902A1.pdf" TargetMode="External" /><Relationship Id="rId10" Type="http://schemas.openxmlformats.org/officeDocument/2006/relationships/hyperlink" Target="https://www.stata-journal.com/article.html?article=st0449" TargetMode="External" /><Relationship Id="rId11" Type="http://schemas.openxmlformats.org/officeDocument/2006/relationships/hyperlink" Target="https://opendata.fcc.gov/Public-Safety/CSRIC-Best-Practices/qb45-rw2t/data" TargetMode="External" /><Relationship Id="rId2" Type="http://schemas.openxmlformats.org/officeDocument/2006/relationships/hyperlink" Target="https://www.everbridge.com/blog/thepresidential-alert-was-it-a-success/" TargetMode="External" /><Relationship Id="rId3" Type="http://schemas.openxmlformats.org/officeDocument/2006/relationships/hyperlink" Target="https://www.wired.com/story/why-didnt-i-get-emergencypresidential-alert-text/" TargetMode="External" /><Relationship Id="rId4" Type="http://schemas.openxmlformats.org/officeDocument/2006/relationships/hyperlink" Target="https://www.fcc.gov/files/weamasterregistry112019xls" TargetMode="External" /><Relationship Id="rId5" Type="http://schemas.openxmlformats.org/officeDocument/2006/relationships/hyperlink" Target="https://docs.fcc.gov/public/attachments/DOC-374223A1.pdf" TargetMode="External" /><Relationship Id="rId6" Type="http://schemas.openxmlformats.org/officeDocument/2006/relationships/hyperlink" Target="https://www.jstor.org/stable/2236678" TargetMode="External" /><Relationship Id="rId7" Type="http://schemas.openxmlformats.org/officeDocument/2006/relationships/hyperlink" Target="https://www.att.com/support/article/wireless/KM1009041" TargetMode="External" /><Relationship Id="rId8" Type="http://schemas.openxmlformats.org/officeDocument/2006/relationships/hyperlink" Target="https://www.verizon.com/support/wireless-emergency-alerts-compatible-devices/" TargetMode="External" /><Relationship Id="rId9" Type="http://schemas.openxmlformats.org/officeDocument/2006/relationships/hyperlink" Target="https://www.t-mobile.com/content/dam/t-mobile/pdf/TMobileWEA-4.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