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D25F9" w14:paraId="2DFCD19A" w14:textId="77777777">
      <w:pPr>
        <w:suppressAutoHyphens/>
        <w:jc w:val="both"/>
        <w:rPr>
          <w:rFonts w:ascii="Times New Roman" w:hAnsi="Times New Roman"/>
          <w:spacing w:val="-3"/>
        </w:rPr>
      </w:pPr>
    </w:p>
    <w:p w:rsidR="001D25F9" w14:paraId="5701DF81" w14:textId="52C76764">
      <w:pPr>
        <w:framePr w:w="2820" w:h="2880" w:hRule="atLeast" w:hSpace="240" w:vSpace="240" w:wrap="auto" w:vAnchor="page" w:hAnchor="page" w:x="4994" w:y="2548"/>
        <w:tabs>
          <w:tab w:val="left" w:pos="-720"/>
          <w:tab w:val="left" w:pos="90"/>
        </w:tabs>
        <w:suppressAutoHyphens/>
        <w:jc w:val="both"/>
        <w:rPr>
          <w:rFonts w:ascii="Times New Roman" w:hAnsi="Times New Roman"/>
          <w:b/>
          <w:spacing w:val="-6"/>
          <w:sz w:val="2"/>
        </w:rPr>
      </w:pPr>
    </w:p>
    <w:p w:rsidR="001D25F9" w:rsidRPr="006D21DA" w:rsidP="006D21DA" w14:paraId="7DE83A8A" w14:textId="446B88F7">
      <w:pPr>
        <w:suppressAutoHyphens/>
        <w:rPr>
          <w:rFonts w:ascii="Times New Roman" w:hAnsi="Times New Roman"/>
          <w:b/>
          <w:bCs/>
          <w:spacing w:val="-3"/>
          <w:sz w:val="28"/>
          <w:szCs w:val="28"/>
        </w:rPr>
      </w:pPr>
      <w:r w:rsidRPr="006D21DA">
        <w:rPr>
          <w:rFonts w:ascii="Times New Roman" w:hAnsi="Times New Roman"/>
          <w:b/>
          <w:bCs/>
          <w:spacing w:val="-3"/>
          <w:sz w:val="28"/>
          <w:szCs w:val="28"/>
        </w:rPr>
        <w:t>Federal Communications Commission</w:t>
      </w:r>
    </w:p>
    <w:p w:rsidR="006D21DA" w:rsidRPr="006D21DA" w:rsidP="006D21DA" w14:paraId="6C723C47" w14:textId="7F42E4E9">
      <w:pPr>
        <w:suppressAutoHyphens/>
        <w:rPr>
          <w:rFonts w:ascii="Times New Roman" w:hAnsi="Times New Roman"/>
          <w:b/>
          <w:bCs/>
          <w:spacing w:val="-3"/>
          <w:sz w:val="28"/>
          <w:szCs w:val="28"/>
        </w:rPr>
      </w:pPr>
      <w:r w:rsidRPr="006D21DA">
        <w:rPr>
          <w:rFonts w:ascii="Times New Roman" w:hAnsi="Times New Roman"/>
          <w:b/>
          <w:bCs/>
          <w:spacing w:val="-3"/>
          <w:sz w:val="28"/>
          <w:szCs w:val="28"/>
        </w:rPr>
        <w:t>Wireline Competition Bureau</w:t>
      </w:r>
    </w:p>
    <w:p w:rsidR="006D21DA" w:rsidRPr="006D21DA" w:rsidP="006D21DA" w14:paraId="214CB5E5" w14:textId="05C53012">
      <w:pPr>
        <w:suppressAutoHyphens/>
        <w:rPr>
          <w:rFonts w:ascii="Times New Roman" w:hAnsi="Times New Roman"/>
          <w:b/>
          <w:bCs/>
          <w:spacing w:val="-3"/>
          <w:sz w:val="28"/>
          <w:szCs w:val="28"/>
        </w:rPr>
      </w:pPr>
      <w:r w:rsidRPr="006D21DA">
        <w:rPr>
          <w:rFonts w:ascii="Times New Roman" w:hAnsi="Times New Roman"/>
          <w:b/>
          <w:bCs/>
          <w:spacing w:val="-3"/>
          <w:sz w:val="28"/>
          <w:szCs w:val="28"/>
        </w:rPr>
        <w:t>Common Carrier Services</w:t>
      </w:r>
    </w:p>
    <w:p w:rsidR="006D21DA" w:rsidRPr="006D21DA" w:rsidP="006D21DA" w14:paraId="78D1E526" w14:textId="399F91A8">
      <w:pPr>
        <w:suppressAutoHyphens/>
        <w:rPr>
          <w:rFonts w:ascii="Times New Roman" w:hAnsi="Times New Roman"/>
          <w:b/>
          <w:bCs/>
          <w:spacing w:val="-3"/>
          <w:sz w:val="28"/>
          <w:szCs w:val="28"/>
        </w:rPr>
      </w:pPr>
      <w:r w:rsidRPr="006D21DA">
        <w:rPr>
          <w:rFonts w:ascii="Times New Roman" w:hAnsi="Times New Roman"/>
          <w:b/>
          <w:bCs/>
          <w:spacing w:val="-3"/>
          <w:sz w:val="28"/>
          <w:szCs w:val="28"/>
        </w:rPr>
        <w:t>Fee Filing Guide</w:t>
      </w:r>
    </w:p>
    <w:tbl>
      <w:tblPr>
        <w:tblW w:w="0" w:type="auto"/>
        <w:tblInd w:w="404" w:type="dxa"/>
        <w:tblLayout w:type="fixed"/>
        <w:tblCellMar>
          <w:left w:w="120" w:type="dxa"/>
          <w:right w:w="120" w:type="dxa"/>
        </w:tblCellMar>
        <w:tblLook w:val="0000"/>
      </w:tblPr>
      <w:tblGrid>
        <w:gridCol w:w="9076"/>
      </w:tblGrid>
      <w:tr w14:paraId="77B0A30C" w14:textId="77777777">
        <w:tblPrEx>
          <w:tblW w:w="0" w:type="auto"/>
          <w:tblInd w:w="404" w:type="dxa"/>
          <w:tblLayout w:type="fixed"/>
          <w:tblCellMar>
            <w:left w:w="120" w:type="dxa"/>
            <w:right w:w="120" w:type="dxa"/>
          </w:tblCellMar>
          <w:tblLook w:val="0000"/>
        </w:tblPrEx>
        <w:tc>
          <w:tcPr>
            <w:tcW w:w="9076" w:type="dxa"/>
            <w:tcBorders>
              <w:top w:val="double" w:sz="7" w:space="0" w:color="auto"/>
              <w:left w:val="double" w:sz="7" w:space="0" w:color="auto"/>
              <w:bottom w:val="double" w:sz="7" w:space="0" w:color="auto"/>
              <w:right w:val="double" w:sz="7" w:space="0" w:color="auto"/>
            </w:tcBorders>
          </w:tcPr>
          <w:p w:rsidR="001D25F9" w14:paraId="1319B07B" w14:textId="77777777">
            <w:pPr>
              <w:tabs>
                <w:tab w:val="center" w:pos="3840"/>
              </w:tabs>
              <w:suppressAutoHyphens/>
              <w:spacing w:before="90"/>
              <w:rPr>
                <w:rFonts w:ascii="Times New Roman" w:hAnsi="Times New Roman"/>
                <w:b/>
                <w:sz w:val="36"/>
              </w:rPr>
            </w:pPr>
            <w:r>
              <w:rPr>
                <w:rFonts w:ascii="Times New Roman" w:hAnsi="Times New Roman"/>
                <w:spacing w:val="-4"/>
                <w:sz w:val="36"/>
              </w:rPr>
              <w:fldChar w:fldCharType="begin"/>
            </w:r>
            <w:r>
              <w:rPr>
                <w:rFonts w:ascii="Times New Roman" w:hAnsi="Times New Roman"/>
                <w:spacing w:val="-4"/>
                <w:sz w:val="36"/>
              </w:rPr>
              <w:instrText xml:space="preserve">PRIVATE </w:instrText>
            </w:r>
            <w:r>
              <w:rPr>
                <w:rFonts w:ascii="Times New Roman" w:hAnsi="Times New Roman"/>
                <w:spacing w:val="-4"/>
                <w:sz w:val="36"/>
              </w:rPr>
              <w:fldChar w:fldCharType="end"/>
            </w:r>
            <w:r>
              <w:rPr>
                <w:rFonts w:ascii="Times New Roman" w:hAnsi="Times New Roman"/>
                <w:b/>
                <w:sz w:val="36"/>
              </w:rPr>
              <w:tab/>
            </w:r>
            <w:r>
              <w:rPr>
                <w:rFonts w:ascii="Times New Roman" w:hAnsi="Times New Roman"/>
                <w:b/>
                <w:sz w:val="36"/>
                <w:u w:val="single"/>
              </w:rPr>
              <w:t>SECTION 8 FEES</w:t>
            </w:r>
          </w:p>
          <w:p w:rsidR="001D25F9" w14:paraId="5B942258" w14:textId="77777777">
            <w:pPr>
              <w:tabs>
                <w:tab w:val="center" w:pos="3840"/>
              </w:tabs>
              <w:suppressAutoHyphens/>
              <w:rPr>
                <w:rFonts w:ascii="Times New Roman" w:hAnsi="Times New Roman"/>
                <w:b/>
                <w:sz w:val="36"/>
              </w:rPr>
            </w:pPr>
            <w:r>
              <w:rPr>
                <w:rFonts w:ascii="Times New Roman" w:hAnsi="Times New Roman"/>
                <w:b/>
                <w:sz w:val="36"/>
              </w:rPr>
              <w:tab/>
              <w:t>(PROCESSING FEES)</w:t>
            </w:r>
          </w:p>
          <w:p w:rsidR="001D25F9" w14:paraId="5CF664A1" w14:textId="77777777">
            <w:pPr>
              <w:tabs>
                <w:tab w:val="left" w:pos="-720"/>
              </w:tabs>
              <w:suppressAutoHyphens/>
              <w:rPr>
                <w:rFonts w:ascii="Times New Roman" w:hAnsi="Times New Roman"/>
                <w:b/>
                <w:sz w:val="36"/>
              </w:rPr>
            </w:pPr>
            <w:r>
              <w:rPr>
                <w:rFonts w:ascii="Times New Roman" w:hAnsi="Times New Roman"/>
                <w:b/>
                <w:sz w:val="36"/>
              </w:rPr>
              <w:t>FOR:</w:t>
            </w:r>
          </w:p>
          <w:p w:rsidR="001D25F9" w14:paraId="737F6C72" w14:textId="4F0B3F45">
            <w:pPr>
              <w:numPr>
                <w:ilvl w:val="0"/>
                <w:numId w:val="19"/>
              </w:numPr>
              <w:tabs>
                <w:tab w:val="left" w:pos="-720"/>
                <w:tab w:val="left" w:pos="0"/>
              </w:tabs>
              <w:suppressAutoHyphens/>
              <w:rPr>
                <w:rFonts w:ascii="Times New Roman" w:hAnsi="Times New Roman"/>
                <w:b/>
                <w:sz w:val="36"/>
              </w:rPr>
            </w:pPr>
            <w:r>
              <w:rPr>
                <w:rFonts w:ascii="Times New Roman" w:hAnsi="Times New Roman"/>
                <w:b/>
                <w:sz w:val="36"/>
              </w:rPr>
              <w:t>Section 214 Applications</w:t>
            </w:r>
            <w:r w:rsidR="00D932B1">
              <w:rPr>
                <w:rFonts w:ascii="Times New Roman" w:hAnsi="Times New Roman"/>
                <w:b/>
                <w:sz w:val="36"/>
              </w:rPr>
              <w:t xml:space="preserve"> (Transfer of Control, STA, and Discontinuance)</w:t>
            </w:r>
          </w:p>
          <w:p w:rsidR="00D954E3" w14:paraId="66411565" w14:textId="4DBBB954">
            <w:pPr>
              <w:numPr>
                <w:ilvl w:val="0"/>
                <w:numId w:val="19"/>
              </w:numPr>
              <w:tabs>
                <w:tab w:val="left" w:pos="-720"/>
                <w:tab w:val="left" w:pos="0"/>
              </w:tabs>
              <w:suppressAutoHyphens/>
              <w:rPr>
                <w:rFonts w:ascii="Times New Roman" w:hAnsi="Times New Roman"/>
                <w:b/>
                <w:sz w:val="36"/>
              </w:rPr>
            </w:pPr>
            <w:r>
              <w:rPr>
                <w:rFonts w:ascii="Times New Roman" w:hAnsi="Times New Roman"/>
                <w:b/>
                <w:sz w:val="36"/>
              </w:rPr>
              <w:t>VoIP Numbering Applications</w:t>
            </w:r>
          </w:p>
          <w:p w:rsidR="001D25F9" w14:paraId="7A704A32" w14:textId="77777777">
            <w:pPr>
              <w:numPr>
                <w:ilvl w:val="0"/>
                <w:numId w:val="19"/>
              </w:numPr>
              <w:tabs>
                <w:tab w:val="left" w:pos="-720"/>
                <w:tab w:val="left" w:pos="0"/>
              </w:tabs>
              <w:suppressAutoHyphens/>
              <w:rPr>
                <w:rFonts w:ascii="Times New Roman" w:hAnsi="Times New Roman"/>
                <w:b/>
                <w:sz w:val="36"/>
              </w:rPr>
            </w:pPr>
            <w:r>
              <w:rPr>
                <w:rFonts w:ascii="Times New Roman" w:hAnsi="Times New Roman"/>
                <w:b/>
                <w:sz w:val="36"/>
              </w:rPr>
              <w:t>Tariff Filings</w:t>
            </w:r>
          </w:p>
          <w:p w:rsidR="001D25F9" w14:paraId="40DB58E0" w14:textId="203FD560">
            <w:pPr>
              <w:numPr>
                <w:ilvl w:val="0"/>
                <w:numId w:val="19"/>
              </w:numPr>
              <w:tabs>
                <w:tab w:val="left" w:pos="777"/>
                <w:tab w:val="center" w:pos="3840"/>
              </w:tabs>
              <w:suppressAutoHyphens/>
              <w:rPr>
                <w:rFonts w:ascii="Times New Roman" w:hAnsi="Times New Roman"/>
                <w:b/>
                <w:sz w:val="36"/>
              </w:rPr>
            </w:pPr>
            <w:r>
              <w:rPr>
                <w:rFonts w:ascii="Times New Roman" w:hAnsi="Times New Roman"/>
                <w:b/>
                <w:sz w:val="36"/>
              </w:rPr>
              <w:t>Accounting</w:t>
            </w:r>
          </w:p>
          <w:p w:rsidR="00453407" w14:paraId="4BE9764D" w14:textId="3E30008E">
            <w:pPr>
              <w:numPr>
                <w:ilvl w:val="0"/>
                <w:numId w:val="19"/>
              </w:numPr>
              <w:tabs>
                <w:tab w:val="left" w:pos="777"/>
                <w:tab w:val="center" w:pos="3840"/>
              </w:tabs>
              <w:suppressAutoHyphens/>
              <w:rPr>
                <w:rFonts w:ascii="Times New Roman" w:hAnsi="Times New Roman"/>
                <w:b/>
                <w:sz w:val="36"/>
              </w:rPr>
            </w:pPr>
            <w:r>
              <w:rPr>
                <w:rFonts w:ascii="Times New Roman" w:hAnsi="Times New Roman"/>
                <w:b/>
                <w:sz w:val="36"/>
              </w:rPr>
              <w:t>Universal Service Fund Auction</w:t>
            </w:r>
            <w:r w:rsidR="00445CB9">
              <w:rPr>
                <w:rFonts w:ascii="Times New Roman" w:hAnsi="Times New Roman"/>
                <w:b/>
                <w:sz w:val="36"/>
              </w:rPr>
              <w:t>s</w:t>
            </w:r>
          </w:p>
          <w:p w:rsidR="001D25F9" w14:paraId="39ED54D4" w14:textId="77777777">
            <w:pPr>
              <w:tabs>
                <w:tab w:val="left" w:pos="777"/>
                <w:tab w:val="center" w:pos="3840"/>
              </w:tabs>
              <w:suppressAutoHyphens/>
              <w:rPr>
                <w:rFonts w:ascii="Times New Roman" w:hAnsi="Times New Roman"/>
                <w:b/>
                <w:sz w:val="36"/>
              </w:rPr>
            </w:pPr>
          </w:p>
          <w:p w:rsidR="001D25F9" w14:paraId="60DC1F7B" w14:textId="77777777">
            <w:pPr>
              <w:pStyle w:val="BodyText2"/>
            </w:pPr>
          </w:p>
        </w:tc>
      </w:tr>
    </w:tbl>
    <w:p w:rsidR="001D25F9" w14:paraId="4E6BFCBE" w14:textId="77777777">
      <w:pPr>
        <w:tabs>
          <w:tab w:val="left" w:pos="-720"/>
        </w:tabs>
        <w:suppressAutoHyphens/>
        <w:ind w:left="1440" w:right="1440"/>
        <w:jc w:val="both"/>
        <w:rPr>
          <w:rFonts w:ascii="Times New Roman" w:hAnsi="Times New Roman"/>
        </w:rPr>
      </w:pPr>
    </w:p>
    <w:p w:rsidR="001D25F9" w14:paraId="1FCBE8C1" w14:textId="77777777">
      <w:pPr>
        <w:tabs>
          <w:tab w:val="left" w:pos="-720"/>
        </w:tabs>
        <w:suppressAutoHyphens/>
        <w:ind w:right="720"/>
        <w:jc w:val="both"/>
        <w:rPr>
          <w:rFonts w:ascii="Times New Roman" w:hAnsi="Times New Roman"/>
          <w:sz w:val="14"/>
        </w:rPr>
      </w:pPr>
    </w:p>
    <w:p w:rsidR="001D25F9" w14:paraId="6CAD04E2" w14:textId="5D23C39C">
      <w:pPr>
        <w:tabs>
          <w:tab w:val="left" w:pos="-720"/>
        </w:tabs>
        <w:suppressAutoHyphens/>
        <w:ind w:right="720"/>
        <w:jc w:val="both"/>
        <w:rPr>
          <w:rFonts w:ascii="Times New Roman" w:hAnsi="Times New Roman"/>
          <w:sz w:val="14"/>
        </w:rPr>
      </w:pPr>
      <w:r>
        <w:rPr>
          <w:rFonts w:ascii="Times New Roman" w:hAnsi="Times New Roman"/>
          <w:sz w:val="14"/>
        </w:rPr>
        <w:t>This is an unofficial compilation of the requests for FCC actions that are subject to fees.  The public should consult the Commission's Rules as set out in Title 47 of the Code of Federal Regulations (CFR) for application filing requirements.  Further information on fees may be obtained at Part I, Subpart G of the CFR or in the Commission's official decision implementing the Congressional Schedule of Charges.  This decision is published in the FCC Record</w:t>
      </w:r>
      <w:r w:rsidR="00E90800">
        <w:rPr>
          <w:rFonts w:ascii="Times New Roman" w:hAnsi="Times New Roman"/>
          <w:sz w:val="14"/>
        </w:rPr>
        <w:t xml:space="preserve">, </w:t>
      </w:r>
      <w:r w:rsidRPr="00024877" w:rsidR="00E90800">
        <w:rPr>
          <w:rFonts w:ascii="Times New Roman" w:hAnsi="Times New Roman"/>
          <w:i/>
          <w:iCs/>
          <w:sz w:val="14"/>
        </w:rPr>
        <w:t>see Amendment of Schedule of Application Fees Set Forth in Sections 1.1102 through 1.1109 of the Commission’s Rules</w:t>
      </w:r>
      <w:r w:rsidR="00E90800">
        <w:rPr>
          <w:rFonts w:ascii="Times New Roman" w:hAnsi="Times New Roman"/>
          <w:sz w:val="14"/>
        </w:rPr>
        <w:t xml:space="preserve">, MD Docket No. 20-270, 35 FCC Rcd 15089, </w:t>
      </w:r>
      <w:r w:rsidR="00445CB9">
        <w:rPr>
          <w:rFonts w:ascii="Times New Roman" w:hAnsi="Times New Roman"/>
          <w:sz w:val="14"/>
        </w:rPr>
        <w:t>15127-</w:t>
      </w:r>
      <w:r w:rsidR="00E90800">
        <w:rPr>
          <w:rFonts w:ascii="Times New Roman" w:hAnsi="Times New Roman"/>
          <w:sz w:val="14"/>
        </w:rPr>
        <w:t>32</w:t>
      </w:r>
      <w:r w:rsidR="00445CB9">
        <w:rPr>
          <w:rFonts w:ascii="Times New Roman" w:hAnsi="Times New Roman"/>
          <w:sz w:val="14"/>
        </w:rPr>
        <w:t>, paras. 118-35 (2020)</w:t>
      </w:r>
      <w:r>
        <w:rPr>
          <w:rFonts w:ascii="Times New Roman" w:hAnsi="Times New Roman"/>
          <w:sz w:val="14"/>
        </w:rPr>
        <w:t>.</w:t>
      </w:r>
    </w:p>
    <w:p w:rsidR="001D25F9" w14:paraId="44A14AF6" w14:textId="77777777">
      <w:pPr>
        <w:tabs>
          <w:tab w:val="right" w:pos="10080"/>
        </w:tabs>
        <w:suppressAutoHyphens/>
        <w:ind w:right="720"/>
        <w:jc w:val="both"/>
        <w:rPr>
          <w:rFonts w:ascii="Times New Roman" w:hAnsi="Times New Roman"/>
          <w:b/>
          <w:i/>
        </w:rPr>
      </w:pPr>
    </w:p>
    <w:p w:rsidR="001D25F9" w14:paraId="7AC598C1" w14:textId="77777777">
      <w:pPr>
        <w:tabs>
          <w:tab w:val="right" w:pos="10080"/>
        </w:tabs>
        <w:suppressAutoHyphens/>
        <w:ind w:right="720"/>
        <w:jc w:val="both"/>
        <w:rPr>
          <w:rFonts w:ascii="Times New Roman" w:hAnsi="Times New Roman"/>
          <w:b/>
          <w:i/>
        </w:rPr>
      </w:pPr>
    </w:p>
    <w:p w:rsidR="001D25F9" w14:paraId="098218B5" w14:textId="1C9F8AA2">
      <w:pPr>
        <w:tabs>
          <w:tab w:val="left" w:pos="6390"/>
          <w:tab w:val="right" w:pos="10080"/>
        </w:tabs>
        <w:suppressAutoHyphens/>
        <w:ind w:right="-90"/>
        <w:jc w:val="right"/>
        <w:rPr>
          <w:rFonts w:ascii="Times New Roman" w:hAnsi="Times New Roman"/>
          <w:b/>
        </w:rPr>
      </w:pPr>
      <w:r>
        <w:rPr>
          <w:rFonts w:ascii="Times New Roman" w:hAnsi="Times New Roman"/>
          <w:b/>
          <w:i/>
        </w:rPr>
        <w:tab/>
        <w:t xml:space="preserve">Effective </w:t>
      </w:r>
      <w:r w:rsidR="00D932B1">
        <w:rPr>
          <w:rFonts w:ascii="Times New Roman" w:hAnsi="Times New Roman"/>
          <w:b/>
          <w:i/>
        </w:rPr>
        <w:t>December 15, 2021</w:t>
      </w:r>
    </w:p>
    <w:p w:rsidR="001D25F9" w14:paraId="5EFA7D24" w14:textId="77777777">
      <w:pPr>
        <w:tabs>
          <w:tab w:val="left" w:pos="-720"/>
        </w:tabs>
        <w:suppressAutoHyphens/>
        <w:ind w:left="810" w:right="720"/>
        <w:jc w:val="both"/>
        <w:rPr>
          <w:rFonts w:ascii="Times New Roman" w:hAnsi="Times New Roman"/>
          <w:sz w:val="22"/>
        </w:rPr>
      </w:pPr>
      <w:r>
        <w:rPr>
          <w:rFonts w:ascii="Times New Roman" w:hAnsi="Times New Roman"/>
        </w:rPr>
        <w:br w:type="page"/>
      </w:r>
    </w:p>
    <w:p w:rsidR="001D25F9" w14:paraId="4A9FC06B" w14:textId="77777777">
      <w:pPr>
        <w:tabs>
          <w:tab w:val="center" w:pos="4680"/>
        </w:tabs>
        <w:suppressAutoHyphens/>
        <w:jc w:val="both"/>
        <w:rPr>
          <w:rFonts w:ascii="Times New Roman" w:hAnsi="Times New Roman"/>
          <w:b/>
          <w:i/>
          <w:sz w:val="22"/>
        </w:rPr>
      </w:pPr>
    </w:p>
    <w:p w:rsidR="001D25F9" w:rsidRPr="006D21DA" w14:paraId="6DA5A9C0" w14:textId="77777777">
      <w:pPr>
        <w:pStyle w:val="Heading2"/>
        <w:ind w:hanging="1080"/>
        <w:jc w:val="center"/>
        <w:rPr>
          <w:sz w:val="24"/>
          <w:u w:val="single"/>
        </w:rPr>
      </w:pPr>
      <w:r w:rsidRPr="006D21DA">
        <w:rPr>
          <w:sz w:val="24"/>
          <w:u w:val="single"/>
        </w:rPr>
        <w:t>INTRODUCTION</w:t>
      </w:r>
    </w:p>
    <w:p w:rsidR="001D25F9" w14:paraId="076E25A3" w14:textId="77777777">
      <w:pPr>
        <w:tabs>
          <w:tab w:val="left" w:pos="-720"/>
        </w:tabs>
        <w:suppressAutoHyphens/>
        <w:rPr>
          <w:rFonts w:ascii="Times New Roman" w:hAnsi="Times New Roman"/>
        </w:rPr>
      </w:pPr>
    </w:p>
    <w:p w:rsidR="001D25F9" w14:paraId="27A68D7F" w14:textId="77777777">
      <w:pPr>
        <w:tabs>
          <w:tab w:val="left" w:pos="-720"/>
        </w:tabs>
        <w:suppressAutoHyphens/>
        <w:rPr>
          <w:rFonts w:ascii="Times New Roman" w:hAnsi="Times New Roman"/>
        </w:rPr>
      </w:pPr>
    </w:p>
    <w:p w:rsidR="001D25F9" w14:paraId="3B8F0C37" w14:textId="10AADDAE">
      <w:pPr>
        <w:tabs>
          <w:tab w:val="left" w:pos="-720"/>
        </w:tabs>
        <w:suppressAutoHyphens/>
        <w:ind w:left="720"/>
        <w:rPr>
          <w:rFonts w:ascii="Times New Roman" w:hAnsi="Times New Roman"/>
          <w:sz w:val="22"/>
          <w:szCs w:val="22"/>
        </w:rPr>
      </w:pPr>
      <w:r>
        <w:rPr>
          <w:rFonts w:ascii="Times New Roman" w:hAnsi="Times New Roman"/>
          <w:sz w:val="22"/>
          <w:szCs w:val="22"/>
        </w:rPr>
        <w:t>The authority of the Federal Communications Commission (</w:t>
      </w:r>
      <w:r w:rsidR="00D954E3">
        <w:rPr>
          <w:rFonts w:ascii="Times New Roman" w:hAnsi="Times New Roman"/>
          <w:sz w:val="22"/>
          <w:szCs w:val="22"/>
        </w:rPr>
        <w:t xml:space="preserve">FCC or </w:t>
      </w:r>
      <w:r>
        <w:rPr>
          <w:rFonts w:ascii="Times New Roman" w:hAnsi="Times New Roman"/>
          <w:sz w:val="22"/>
          <w:szCs w:val="22"/>
        </w:rPr>
        <w:t>Commission) to impose and collect fees and associated charges is contained in Title III, Section 3001 of the Omnibus Budget Reconciliation Act of 1989 (Public Law 101-39), Section 8, revising 47 U.S.C. 158, which directs the Commission to prescribe charges for certain types of applications and other filings by communications entities over which it has jurisdiction.  Application processing fees are deposited in the U.S. Treasury.</w:t>
      </w:r>
    </w:p>
    <w:p w:rsidR="001D25F9" w14:paraId="79D473F7" w14:textId="77777777">
      <w:pPr>
        <w:tabs>
          <w:tab w:val="left" w:pos="-720"/>
        </w:tabs>
        <w:suppressAutoHyphens/>
        <w:ind w:left="720"/>
        <w:rPr>
          <w:rFonts w:ascii="Times New Roman" w:hAnsi="Times New Roman"/>
          <w:sz w:val="22"/>
          <w:szCs w:val="22"/>
        </w:rPr>
      </w:pPr>
    </w:p>
    <w:p w:rsidR="001D25F9" w14:paraId="6671D0B3" w14:textId="556448B2">
      <w:pPr>
        <w:tabs>
          <w:tab w:val="left" w:pos="-720"/>
        </w:tabs>
        <w:suppressAutoHyphens/>
        <w:ind w:left="720"/>
        <w:rPr>
          <w:rFonts w:ascii="Times New Roman" w:hAnsi="Times New Roman"/>
          <w:sz w:val="22"/>
          <w:szCs w:val="22"/>
        </w:rPr>
      </w:pPr>
      <w:r>
        <w:rPr>
          <w:rFonts w:ascii="Times New Roman" w:hAnsi="Times New Roman"/>
          <w:sz w:val="22"/>
          <w:szCs w:val="22"/>
        </w:rPr>
        <w:t xml:space="preserve">This Fee Filing Guide is considered a reference guide to identify and describe the filing requirements for the Wireline Competition Bureau.  It is meant to be a handy reference of the services and requests for </w:t>
      </w:r>
      <w:r w:rsidR="00D932B1">
        <w:rPr>
          <w:rFonts w:ascii="Times New Roman" w:hAnsi="Times New Roman"/>
          <w:sz w:val="22"/>
          <w:szCs w:val="22"/>
        </w:rPr>
        <w:t xml:space="preserve">FCC </w:t>
      </w:r>
      <w:r>
        <w:rPr>
          <w:rFonts w:ascii="Times New Roman" w:hAnsi="Times New Roman"/>
          <w:sz w:val="22"/>
          <w:szCs w:val="22"/>
        </w:rPr>
        <w:t xml:space="preserve">actions for which the Wireline Competition Bureau has responsibility </w:t>
      </w:r>
      <w:r w:rsidR="00B81787">
        <w:rPr>
          <w:rFonts w:ascii="Times New Roman" w:hAnsi="Times New Roman"/>
          <w:sz w:val="22"/>
          <w:szCs w:val="22"/>
        </w:rPr>
        <w:t xml:space="preserve">and </w:t>
      </w:r>
      <w:r>
        <w:rPr>
          <w:rFonts w:ascii="Times New Roman" w:hAnsi="Times New Roman"/>
          <w:sz w:val="22"/>
          <w:szCs w:val="22"/>
        </w:rPr>
        <w:t xml:space="preserve">that are subject to a fee.  The guide consists of two parts, Parts A and B, as well as a breakdown of the types of applications, form numbers, fee amounts, </w:t>
      </w:r>
      <w:r w:rsidR="00EB2C4F">
        <w:rPr>
          <w:rFonts w:ascii="Times New Roman" w:hAnsi="Times New Roman"/>
          <w:sz w:val="22"/>
          <w:szCs w:val="22"/>
        </w:rPr>
        <w:t xml:space="preserve">and </w:t>
      </w:r>
      <w:r>
        <w:rPr>
          <w:rFonts w:ascii="Times New Roman" w:hAnsi="Times New Roman"/>
          <w:sz w:val="22"/>
          <w:szCs w:val="22"/>
        </w:rPr>
        <w:t xml:space="preserve">payment type codes for each service provided.  </w:t>
      </w:r>
    </w:p>
    <w:p w:rsidR="001D25F9" w14:paraId="37605A8A" w14:textId="77777777">
      <w:pPr>
        <w:tabs>
          <w:tab w:val="left" w:pos="-720"/>
        </w:tabs>
        <w:suppressAutoHyphens/>
        <w:ind w:left="720"/>
        <w:rPr>
          <w:rFonts w:ascii="Times New Roman" w:hAnsi="Times New Roman"/>
          <w:sz w:val="22"/>
          <w:szCs w:val="22"/>
        </w:rPr>
      </w:pPr>
    </w:p>
    <w:p w:rsidR="001D25F9" w14:paraId="067E2F1C" w14:textId="77777777">
      <w:pPr>
        <w:tabs>
          <w:tab w:val="left" w:pos="-720"/>
        </w:tabs>
        <w:suppressAutoHyphens/>
        <w:ind w:left="720"/>
        <w:rPr>
          <w:rFonts w:ascii="Times New Roman" w:hAnsi="Times New Roman"/>
          <w:sz w:val="22"/>
          <w:szCs w:val="22"/>
        </w:rPr>
      </w:pPr>
      <w:r>
        <w:rPr>
          <w:rFonts w:ascii="Times New Roman" w:hAnsi="Times New Roman"/>
          <w:sz w:val="22"/>
          <w:szCs w:val="22"/>
        </w:rPr>
        <w:t xml:space="preserve">Part A provides instructions on how to pay a fee and identifies other processing services available to the requestor.  Always read Part A before attempting to complete any of the forms required with your submission.  Part B provides specific information pertaining to the Wireline Competition Bureau’s Section 8 (application) fees.  </w:t>
      </w:r>
    </w:p>
    <w:p w:rsidR="001D25F9" w14:paraId="31E209E2" w14:textId="77777777">
      <w:pPr>
        <w:tabs>
          <w:tab w:val="left" w:pos="-720"/>
        </w:tabs>
        <w:suppressAutoHyphens/>
        <w:ind w:left="720"/>
        <w:rPr>
          <w:rFonts w:ascii="Times New Roman" w:hAnsi="Times New Roman"/>
          <w:sz w:val="22"/>
          <w:szCs w:val="22"/>
        </w:rPr>
      </w:pPr>
    </w:p>
    <w:p w:rsidR="001D25F9" w14:paraId="47A1EC3B" w14:textId="61E26D80">
      <w:pPr>
        <w:tabs>
          <w:tab w:val="left" w:pos="-720"/>
        </w:tabs>
        <w:suppressAutoHyphens/>
        <w:ind w:left="720"/>
        <w:rPr>
          <w:rFonts w:ascii="Times New Roman" w:hAnsi="Times New Roman"/>
          <w:sz w:val="22"/>
          <w:szCs w:val="22"/>
        </w:rPr>
      </w:pPr>
      <w:r>
        <w:rPr>
          <w:rFonts w:ascii="Times New Roman" w:hAnsi="Times New Roman"/>
          <w:sz w:val="22"/>
          <w:szCs w:val="22"/>
        </w:rPr>
        <w:t>If further information is required that cannot be answered in this guide, please consult the Commission's Rules as set forth in Title 47, Part 1, Subpart G, Section 1.110</w:t>
      </w:r>
      <w:r w:rsidR="00EB2C4F">
        <w:rPr>
          <w:rFonts w:ascii="Times New Roman" w:hAnsi="Times New Roman"/>
          <w:sz w:val="22"/>
          <w:szCs w:val="22"/>
        </w:rPr>
        <w:t>5</w:t>
      </w:r>
      <w:r>
        <w:rPr>
          <w:rFonts w:ascii="Times New Roman" w:hAnsi="Times New Roman"/>
          <w:sz w:val="22"/>
          <w:szCs w:val="22"/>
        </w:rPr>
        <w:t xml:space="preserve"> of the Code of Federal Regulations (CFR). </w:t>
      </w:r>
      <w:r w:rsidRPr="001F01FA">
        <w:rPr>
          <w:rFonts w:ascii="Times New Roman" w:hAnsi="Times New Roman"/>
          <w:color w:val="0000FF"/>
          <w:sz w:val="22"/>
          <w:szCs w:val="22"/>
        </w:rPr>
        <w:t xml:space="preserve"> </w:t>
      </w:r>
      <w:r>
        <w:rPr>
          <w:rFonts w:ascii="Times New Roman" w:hAnsi="Times New Roman"/>
          <w:sz w:val="22"/>
          <w:szCs w:val="22"/>
        </w:rPr>
        <w:t>All fees are subject to modification as required by Congress.  An electronic version of the CFR, including updates, is available at www.ecfr.gov.</w:t>
      </w:r>
    </w:p>
    <w:p w:rsidR="001D25F9" w:rsidRPr="006D21DA" w14:paraId="29F07810" w14:textId="77777777">
      <w:pPr>
        <w:jc w:val="center"/>
        <w:rPr>
          <w:rFonts w:ascii="Times New Roman" w:hAnsi="Times New Roman"/>
          <w:b/>
          <w:sz w:val="36"/>
          <w:szCs w:val="36"/>
          <w:u w:val="single"/>
        </w:rPr>
      </w:pPr>
      <w:r>
        <w:rPr>
          <w:rFonts w:ascii="Times New Roman" w:hAnsi="Times New Roman"/>
          <w:sz w:val="22"/>
          <w:szCs w:val="22"/>
        </w:rPr>
        <w:br w:type="page"/>
      </w:r>
      <w:r w:rsidRPr="006D21DA">
        <w:rPr>
          <w:rFonts w:ascii="Times New Roman" w:hAnsi="Times New Roman"/>
          <w:b/>
          <w:sz w:val="36"/>
          <w:szCs w:val="36"/>
          <w:u w:val="single"/>
        </w:rPr>
        <w:t>PART A</w:t>
      </w:r>
    </w:p>
    <w:p w:rsidR="001D25F9" w:rsidRPr="006D21DA" w14:paraId="093AD57B" w14:textId="77777777">
      <w:pPr>
        <w:jc w:val="center"/>
        <w:rPr>
          <w:rFonts w:ascii="Times New Roman" w:hAnsi="Times New Roman"/>
          <w:b/>
          <w:sz w:val="36"/>
          <w:szCs w:val="36"/>
        </w:rPr>
      </w:pPr>
    </w:p>
    <w:p w:rsidR="001D25F9" w:rsidRPr="006D21DA" w14:paraId="311C9717" w14:textId="77777777">
      <w:pPr>
        <w:jc w:val="center"/>
        <w:rPr>
          <w:rFonts w:ascii="Times New Roman" w:hAnsi="Times New Roman"/>
          <w:b/>
          <w:sz w:val="36"/>
          <w:szCs w:val="36"/>
        </w:rPr>
      </w:pPr>
      <w:r w:rsidRPr="006D21DA">
        <w:rPr>
          <w:rFonts w:ascii="Times New Roman" w:hAnsi="Times New Roman"/>
          <w:b/>
          <w:sz w:val="36"/>
          <w:szCs w:val="36"/>
        </w:rPr>
        <w:t>IMPORTANT</w:t>
      </w:r>
      <w:r w:rsidRPr="006D21DA">
        <w:rPr>
          <w:rFonts w:ascii="Times New Roman" w:hAnsi="Times New Roman"/>
          <w:sz w:val="36"/>
          <w:szCs w:val="36"/>
        </w:rPr>
        <w:t xml:space="preserve"> </w:t>
      </w:r>
      <w:r w:rsidRPr="006D21DA">
        <w:rPr>
          <w:rFonts w:ascii="Times New Roman" w:hAnsi="Times New Roman"/>
          <w:b/>
          <w:sz w:val="36"/>
          <w:szCs w:val="36"/>
        </w:rPr>
        <w:t xml:space="preserve">NOTICE FOR APPLICANTS/LICENSEES </w:t>
      </w:r>
    </w:p>
    <w:p w:rsidR="001D25F9" w:rsidRPr="006D21DA" w14:paraId="30DD2B2B" w14:textId="77777777">
      <w:pPr>
        <w:jc w:val="center"/>
        <w:rPr>
          <w:rFonts w:ascii="Times New Roman" w:hAnsi="Times New Roman"/>
          <w:b/>
          <w:sz w:val="36"/>
          <w:szCs w:val="36"/>
        </w:rPr>
      </w:pPr>
      <w:r w:rsidRPr="006D21DA">
        <w:rPr>
          <w:rFonts w:ascii="Times New Roman" w:hAnsi="Times New Roman"/>
          <w:b/>
          <w:sz w:val="36"/>
          <w:szCs w:val="36"/>
        </w:rPr>
        <w:t>WHO SUBMIT FEEABLE</w:t>
      </w:r>
      <w:r w:rsidRPr="006D21DA">
        <w:rPr>
          <w:rFonts w:ascii="Times New Roman" w:hAnsi="Times New Roman"/>
          <w:sz w:val="36"/>
          <w:szCs w:val="36"/>
        </w:rPr>
        <w:t xml:space="preserve"> </w:t>
      </w:r>
      <w:r w:rsidRPr="006D21DA">
        <w:rPr>
          <w:rFonts w:ascii="Times New Roman" w:hAnsi="Times New Roman"/>
          <w:b/>
          <w:sz w:val="36"/>
          <w:szCs w:val="36"/>
        </w:rPr>
        <w:t>FILINGS</w:t>
      </w:r>
    </w:p>
    <w:p w:rsidR="001D25F9" w14:paraId="2FCDD3FC" w14:textId="77777777">
      <w:pPr>
        <w:tabs>
          <w:tab w:val="left" w:pos="-720"/>
        </w:tabs>
        <w:suppressAutoHyphens/>
        <w:jc w:val="both"/>
        <w:rPr>
          <w:rFonts w:ascii="Times New Roman" w:hAnsi="Times New Roman"/>
          <w:sz w:val="22"/>
        </w:rPr>
      </w:pPr>
    </w:p>
    <w:p w:rsidR="001D25F9" w14:paraId="064A2957" w14:textId="7B3AE44C">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rPr>
          <w:sz w:val="22"/>
          <w:szCs w:val="22"/>
        </w:rPr>
      </w:pPr>
      <w:r>
        <w:rPr>
          <w:sz w:val="22"/>
          <w:szCs w:val="22"/>
        </w:rPr>
        <w:t xml:space="preserve">Effective December 3, 2001, the use of the FCC Registration Number (FRN) is </w:t>
      </w:r>
      <w:r>
        <w:rPr>
          <w:sz w:val="22"/>
          <w:szCs w:val="22"/>
          <w:u w:val="single"/>
        </w:rPr>
        <w:t>mandatory</w:t>
      </w:r>
      <w:r>
        <w:rPr>
          <w:sz w:val="22"/>
          <w:szCs w:val="22"/>
        </w:rPr>
        <w:t xml:space="preserve">. Failure to register or include an FRN on your FCC Form 159 will result in your application being returned as unprocessable.  If you do not yet have an FRN, you can obtain one through the FCC website listed below, or by filling out the registration form (Form 160) and submitting the registration form </w:t>
      </w:r>
      <w:r w:rsidR="00D954E3">
        <w:rPr>
          <w:sz w:val="22"/>
          <w:szCs w:val="22"/>
        </w:rPr>
        <w:t xml:space="preserve">to the FCC. </w:t>
      </w:r>
      <w:r w:rsidR="00EB2C4F">
        <w:rPr>
          <w:sz w:val="22"/>
          <w:szCs w:val="22"/>
        </w:rPr>
        <w:t xml:space="preserve"> </w:t>
      </w:r>
      <w:r w:rsidR="00EB2C4F">
        <w:rPr>
          <w:b/>
          <w:sz w:val="22"/>
          <w:szCs w:val="22"/>
        </w:rPr>
        <w:t>P\</w:t>
      </w:r>
      <w:r>
        <w:rPr>
          <w:b/>
          <w:sz w:val="22"/>
          <w:szCs w:val="22"/>
        </w:rPr>
        <w:t>please have the FRN available when contacting or submitting documents to the FCC.</w:t>
      </w:r>
    </w:p>
    <w:p w:rsidR="001D25F9" w14:paraId="6620AA52" w14:textId="77777777">
      <w:pPr>
        <w:rPr>
          <w:rFonts w:ascii="Times New Roman" w:hAnsi="Times New Roman"/>
          <w:sz w:val="22"/>
          <w:szCs w:val="22"/>
        </w:rPr>
      </w:pPr>
    </w:p>
    <w:p w:rsidR="001D25F9" w14:paraId="0E330314" w14:textId="1D55375D">
      <w:pPr>
        <w:rPr>
          <w:rFonts w:ascii="Times New Roman" w:hAnsi="Times New Roman"/>
          <w:sz w:val="22"/>
          <w:szCs w:val="22"/>
        </w:rPr>
      </w:pPr>
      <w:r>
        <w:rPr>
          <w:rFonts w:ascii="Times New Roman" w:hAnsi="Times New Roman"/>
          <w:sz w:val="22"/>
          <w:szCs w:val="22"/>
        </w:rPr>
        <w:t>Ways to obtain a</w:t>
      </w:r>
      <w:r w:rsidR="00EB2C4F">
        <w:rPr>
          <w:rFonts w:ascii="Times New Roman" w:hAnsi="Times New Roman"/>
          <w:sz w:val="22"/>
          <w:szCs w:val="22"/>
        </w:rPr>
        <w:t>n</w:t>
      </w:r>
      <w:r>
        <w:rPr>
          <w:rFonts w:ascii="Times New Roman" w:hAnsi="Times New Roman"/>
          <w:sz w:val="22"/>
          <w:szCs w:val="22"/>
        </w:rPr>
        <w:t xml:space="preserve"> FCC Form 159:</w:t>
      </w:r>
    </w:p>
    <w:p w:rsidR="001D25F9" w:rsidP="007C11AF" w14:paraId="5609D056" w14:textId="77777777">
      <w:pPr>
        <w:numPr>
          <w:ilvl w:val="0"/>
          <w:numId w:val="28"/>
        </w:numPr>
        <w:rPr>
          <w:rFonts w:ascii="Times New Roman" w:hAnsi="Times New Roman"/>
          <w:sz w:val="22"/>
          <w:szCs w:val="22"/>
        </w:rPr>
      </w:pPr>
      <w:r>
        <w:rPr>
          <w:rFonts w:ascii="Times New Roman" w:hAnsi="Times New Roman"/>
          <w:sz w:val="22"/>
          <w:szCs w:val="22"/>
        </w:rPr>
        <w:t xml:space="preserve">Go to </w:t>
      </w:r>
      <w:hyperlink r:id="rId5" w:history="1">
        <w:r w:rsidRPr="00D94B5E">
          <w:rPr>
            <w:rStyle w:val="Hyperlink"/>
            <w:rFonts w:ascii="Times New Roman" w:hAnsi="Times New Roman"/>
            <w:sz w:val="22"/>
            <w:szCs w:val="22"/>
          </w:rPr>
          <w:t>http://www.fcc.gov/formpage.html</w:t>
        </w:r>
      </w:hyperlink>
      <w:r>
        <w:rPr>
          <w:rFonts w:ascii="Times New Roman" w:hAnsi="Times New Roman"/>
          <w:sz w:val="22"/>
          <w:szCs w:val="22"/>
        </w:rPr>
        <w:t>.</w:t>
      </w:r>
    </w:p>
    <w:p w:rsidR="007C11AF" w:rsidP="007C11AF" w14:paraId="406B9F6F" w14:textId="0BC5A057">
      <w:pPr>
        <w:numPr>
          <w:ilvl w:val="0"/>
          <w:numId w:val="28"/>
        </w:numPr>
        <w:rPr>
          <w:rFonts w:ascii="Times New Roman" w:hAnsi="Times New Roman"/>
          <w:sz w:val="22"/>
          <w:szCs w:val="22"/>
        </w:rPr>
      </w:pPr>
      <w:r>
        <w:rPr>
          <w:rFonts w:ascii="Times New Roman" w:hAnsi="Times New Roman"/>
          <w:sz w:val="22"/>
          <w:szCs w:val="22"/>
        </w:rPr>
        <w:t xml:space="preserve">Call CORES </w:t>
      </w:r>
      <w:r w:rsidR="00B4487B">
        <w:rPr>
          <w:rFonts w:ascii="Times New Roman" w:hAnsi="Times New Roman"/>
          <w:sz w:val="22"/>
          <w:szCs w:val="22"/>
        </w:rPr>
        <w:t xml:space="preserve">Financial </w:t>
      </w:r>
      <w:r>
        <w:rPr>
          <w:rFonts w:ascii="Times New Roman" w:hAnsi="Times New Roman"/>
          <w:sz w:val="22"/>
          <w:szCs w:val="22"/>
        </w:rPr>
        <w:t>Helpdesk at 1-877-480-3201, Option 6.</w:t>
      </w:r>
    </w:p>
    <w:p w:rsidR="005A715D" w:rsidP="005A715D" w14:paraId="49AE5DDB" w14:textId="77777777">
      <w:pPr>
        <w:rPr>
          <w:rFonts w:ascii="Times New Roman" w:hAnsi="Times New Roman"/>
          <w:sz w:val="22"/>
          <w:szCs w:val="22"/>
        </w:rPr>
      </w:pPr>
      <w:bookmarkStart w:id="0" w:name="_Hlk76475838"/>
    </w:p>
    <w:p w:rsidR="005A715D" w:rsidRPr="006F0FD3" w:rsidP="005A715D" w14:paraId="5190AE44" w14:textId="2905417F">
      <w:pPr>
        <w:rPr>
          <w:rFonts w:ascii="Times New Roman" w:hAnsi="Times New Roman"/>
          <w:sz w:val="22"/>
          <w:szCs w:val="22"/>
        </w:rPr>
      </w:pPr>
      <w:r w:rsidRPr="006F0FD3">
        <w:rPr>
          <w:rFonts w:ascii="Times New Roman" w:hAnsi="Times New Roman"/>
          <w:sz w:val="22"/>
          <w:szCs w:val="22"/>
        </w:rPr>
        <w:t>Ways to obtain an FCC Registration Number (FRN):</w:t>
      </w:r>
    </w:p>
    <w:p w:rsidR="005A715D" w:rsidRPr="006F0FD3" w:rsidP="005A715D" w14:paraId="367A4E08" w14:textId="77777777">
      <w:pPr>
        <w:pStyle w:val="BodyText2"/>
        <w:numPr>
          <w:ilvl w:val="0"/>
          <w:numId w:val="29"/>
        </w:numPr>
        <w:tabs>
          <w:tab w:val="clear" w:pos="777"/>
          <w:tab w:val="left" w:pos="1080"/>
          <w:tab w:val="left" w:pos="1170"/>
          <w:tab w:val="clear" w:pos="3840"/>
        </w:tabs>
        <w:ind w:right="720"/>
        <w:rPr>
          <w:sz w:val="22"/>
          <w:szCs w:val="22"/>
        </w:rPr>
      </w:pPr>
      <w:r w:rsidRPr="006F0FD3">
        <w:rPr>
          <w:sz w:val="22"/>
          <w:szCs w:val="22"/>
        </w:rPr>
        <w:t xml:space="preserve">Go to </w:t>
      </w:r>
      <w:hyperlink r:id="rId6" w:history="1">
        <w:r w:rsidRPr="006F0FD3">
          <w:rPr>
            <w:rStyle w:val="Hyperlink"/>
            <w:sz w:val="22"/>
            <w:szCs w:val="22"/>
          </w:rPr>
          <w:t>www.fcc.gov/cores</w:t>
        </w:r>
      </w:hyperlink>
      <w:r w:rsidRPr="006F0FD3">
        <w:rPr>
          <w:sz w:val="22"/>
          <w:szCs w:val="22"/>
        </w:rPr>
        <w:t xml:space="preserve"> and click Register link.</w:t>
      </w:r>
    </w:p>
    <w:p w:rsidR="005A715D" w:rsidRPr="006F0FD3" w:rsidP="005A715D" w14:paraId="0D104EE5" w14:textId="77777777">
      <w:pPr>
        <w:pStyle w:val="BodyText2"/>
        <w:numPr>
          <w:ilvl w:val="0"/>
          <w:numId w:val="29"/>
        </w:numPr>
        <w:tabs>
          <w:tab w:val="clear" w:pos="777"/>
          <w:tab w:val="left" w:pos="1080"/>
          <w:tab w:val="left" w:pos="1170"/>
          <w:tab w:val="clear" w:pos="3840"/>
        </w:tabs>
        <w:ind w:right="720"/>
        <w:rPr>
          <w:sz w:val="22"/>
          <w:szCs w:val="22"/>
        </w:rPr>
      </w:pPr>
      <w:r w:rsidRPr="006F0FD3">
        <w:rPr>
          <w:sz w:val="22"/>
          <w:szCs w:val="22"/>
        </w:rPr>
        <w:t>Calling the FCC’s CORES Helpdesk at 1-877-480-3201, Option 1.</w:t>
      </w:r>
    </w:p>
    <w:bookmarkEnd w:id="0"/>
    <w:p w:rsidR="001D25F9" w14:paraId="57F62686" w14:textId="77777777">
      <w:pPr>
        <w:pStyle w:val="BodyText2"/>
        <w:ind w:left="720"/>
        <w:rPr>
          <w:i/>
          <w:sz w:val="22"/>
          <w:szCs w:val="22"/>
        </w:rPr>
      </w:pPr>
    </w:p>
    <w:p w:rsidR="001D25F9" w:rsidRPr="00024877" w14:paraId="012D2649" w14:textId="77777777">
      <w:pPr>
        <w:rPr>
          <w:rFonts w:ascii="Times New Roman" w:hAnsi="Times New Roman"/>
          <w:b/>
          <w:sz w:val="22"/>
          <w:szCs w:val="22"/>
          <w:u w:val="single"/>
        </w:rPr>
      </w:pPr>
      <w:r w:rsidRPr="00024877">
        <w:rPr>
          <w:rFonts w:ascii="Times New Roman" w:hAnsi="Times New Roman"/>
          <w:b/>
          <w:sz w:val="22"/>
          <w:szCs w:val="22"/>
          <w:u w:val="single"/>
        </w:rPr>
        <w:t>DEBT COLLECTION IMPROVEMENT ACT</w:t>
      </w:r>
    </w:p>
    <w:p w:rsidR="001D25F9" w14:paraId="3C227C6A" w14:textId="77777777">
      <w:pPr>
        <w:rPr>
          <w:rFonts w:ascii="Times New Roman" w:hAnsi="Times New Roman"/>
          <w:b/>
          <w:sz w:val="22"/>
          <w:szCs w:val="22"/>
        </w:rPr>
      </w:pPr>
    </w:p>
    <w:p w:rsidR="001D25F9" w14:paraId="120BBA55" w14:textId="77777777">
      <w:pPr>
        <w:rPr>
          <w:rFonts w:ascii="Times New Roman" w:hAnsi="Times New Roman"/>
          <w:b/>
          <w:sz w:val="22"/>
          <w:szCs w:val="22"/>
        </w:rPr>
      </w:pPr>
      <w:r>
        <w:rPr>
          <w:rFonts w:ascii="Times New Roman" w:hAnsi="Times New Roman"/>
          <w:b/>
          <w:sz w:val="22"/>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9C3C43" w14:paraId="66F80EB7" w14:textId="77777777">
      <w:pPr>
        <w:tabs>
          <w:tab w:val="left" w:pos="9360"/>
        </w:tabs>
        <w:outlineLvl w:val="0"/>
        <w:rPr>
          <w:rFonts w:ascii="Times New Roman" w:hAnsi="Times New Roman"/>
          <w:b/>
          <w:sz w:val="22"/>
          <w:szCs w:val="22"/>
        </w:rPr>
      </w:pPr>
    </w:p>
    <w:p w:rsidR="00C8471C" w:rsidRPr="00024877" w:rsidP="00C8471C" w14:paraId="55597964" w14:textId="77777777">
      <w:pPr>
        <w:tabs>
          <w:tab w:val="left" w:pos="9360"/>
        </w:tabs>
        <w:outlineLvl w:val="0"/>
        <w:rPr>
          <w:rFonts w:ascii="Times New Roman" w:hAnsi="Times New Roman"/>
          <w:b/>
          <w:sz w:val="22"/>
          <w:szCs w:val="22"/>
          <w:u w:val="single"/>
        </w:rPr>
      </w:pPr>
      <w:r w:rsidRPr="00024877">
        <w:rPr>
          <w:rFonts w:ascii="Times New Roman" w:hAnsi="Times New Roman"/>
          <w:b/>
          <w:sz w:val="22"/>
          <w:szCs w:val="22"/>
          <w:u w:val="single"/>
        </w:rPr>
        <w:t>REMINDER REGARDING LOCKBOX CLOSURES</w:t>
      </w:r>
    </w:p>
    <w:p w:rsidR="00C8471C" w:rsidP="00C8471C" w14:paraId="6492D548" w14:textId="77777777">
      <w:pPr>
        <w:tabs>
          <w:tab w:val="left" w:pos="9360"/>
        </w:tabs>
        <w:rPr>
          <w:rFonts w:ascii="Times New Roman" w:hAnsi="Times New Roman"/>
          <w:b/>
          <w:sz w:val="22"/>
          <w:szCs w:val="22"/>
        </w:rPr>
      </w:pPr>
    </w:p>
    <w:p w:rsidR="001D25F9" w:rsidP="00C8471C" w14:paraId="700D10D5" w14:textId="7BEE241D">
      <w:pPr>
        <w:tabs>
          <w:tab w:val="left" w:pos="9360"/>
        </w:tabs>
        <w:rPr>
          <w:rFonts w:ascii="Times New Roman" w:hAnsi="Times New Roman"/>
          <w:sz w:val="22"/>
          <w:szCs w:val="22"/>
        </w:rPr>
      </w:pPr>
      <w:r>
        <w:rPr>
          <w:rFonts w:ascii="Times New Roman" w:hAnsi="Times New Roman"/>
          <w:sz w:val="22"/>
          <w:szCs w:val="22"/>
        </w:rPr>
        <w:t xml:space="preserve">The </w:t>
      </w:r>
      <w:r w:rsidRPr="00CE1859" w:rsidR="0095794F">
        <w:rPr>
          <w:rFonts w:ascii="Times New Roman" w:hAnsi="Times New Roman"/>
          <w:sz w:val="22"/>
          <w:szCs w:val="22"/>
        </w:rPr>
        <w:t xml:space="preserve">Commission has </w:t>
      </w:r>
      <w:r>
        <w:rPr>
          <w:rFonts w:ascii="Times New Roman" w:hAnsi="Times New Roman"/>
          <w:sz w:val="22"/>
          <w:szCs w:val="22"/>
        </w:rPr>
        <w:t>closed</w:t>
      </w:r>
      <w:r w:rsidRPr="00CE1859" w:rsidR="0095794F">
        <w:rPr>
          <w:rFonts w:ascii="Times New Roman" w:hAnsi="Times New Roman"/>
          <w:sz w:val="22"/>
          <w:szCs w:val="22"/>
        </w:rPr>
        <w:t xml:space="preserve"> P.O. Boxes for the collection of fees and has </w:t>
      </w:r>
      <w:r>
        <w:rPr>
          <w:rFonts w:ascii="Times New Roman" w:hAnsi="Times New Roman"/>
          <w:sz w:val="22"/>
          <w:szCs w:val="22"/>
        </w:rPr>
        <w:t>required</w:t>
      </w:r>
      <w:r w:rsidRPr="00CE1859" w:rsidR="0095794F">
        <w:rPr>
          <w:rFonts w:ascii="Times New Roman" w:hAnsi="Times New Roman"/>
          <w:sz w:val="22"/>
          <w:szCs w:val="22"/>
        </w:rPr>
        <w:t xml:space="preserve"> the use of electronic payment systems for all application and regulatory fees.</w:t>
      </w:r>
      <w:r>
        <w:rPr>
          <w:rFonts w:ascii="Times New Roman" w:hAnsi="Times New Roman"/>
          <w:sz w:val="22"/>
          <w:szCs w:val="22"/>
          <w:vertAlign w:val="superscript"/>
        </w:rPr>
        <w:footnoteReference w:id="2"/>
      </w:r>
      <w:r w:rsidRPr="00CE1859" w:rsidR="0095794F">
        <w:rPr>
          <w:rFonts w:ascii="Times New Roman" w:hAnsi="Times New Roman"/>
          <w:sz w:val="22"/>
          <w:szCs w:val="22"/>
        </w:rPr>
        <w:t xml:space="preserve">  The electronic payment of fees for applications, tariffs, and petitions increases the agency’s financial efficiency by reducing expenditures, including the annual fee for utilizing the bank’s services and the cost of processing each transaction manually, with very little or no inconvenience to the regulatees, applicants, and the public.</w:t>
      </w:r>
      <w:r>
        <w:rPr>
          <w:rFonts w:ascii="Times New Roman" w:hAnsi="Times New Roman"/>
          <w:sz w:val="22"/>
          <w:szCs w:val="22"/>
          <w:vertAlign w:val="superscript"/>
        </w:rPr>
        <w:footnoteReference w:id="3"/>
      </w:r>
      <w:r w:rsidRPr="00CE1859" w:rsidR="0095794F">
        <w:rPr>
          <w:rFonts w:ascii="Times New Roman" w:hAnsi="Times New Roman"/>
          <w:sz w:val="22"/>
          <w:szCs w:val="22"/>
        </w:rPr>
        <w:t xml:space="preserve">  As part of this process, the Commission has closed Lockbox 979091 (used to submit fees and petitions related to services provided by the Wireline Competition Bureau).</w:t>
      </w:r>
      <w:r>
        <w:rPr>
          <w:rStyle w:val="FootnoteReference"/>
          <w:rFonts w:ascii="Times New Roman" w:hAnsi="Times New Roman"/>
          <w:sz w:val="22"/>
          <w:szCs w:val="22"/>
        </w:rPr>
        <w:footnoteReference w:id="4"/>
      </w:r>
      <w:r w:rsidRPr="00CE1859" w:rsidR="0095794F">
        <w:rPr>
          <w:rFonts w:ascii="Times New Roman" w:hAnsi="Times New Roman"/>
          <w:sz w:val="22"/>
          <w:szCs w:val="22"/>
        </w:rPr>
        <w:t xml:space="preserve">  </w:t>
      </w:r>
      <w:r>
        <w:rPr>
          <w:rFonts w:ascii="Times New Roman" w:hAnsi="Times New Roman"/>
          <w:sz w:val="22"/>
          <w:szCs w:val="22"/>
        </w:rPr>
        <w:t>As a result, applications should be submitted electronically in accordance with the instructions below.  Any applications or p</w:t>
      </w:r>
      <w:r w:rsidRPr="00CE1859" w:rsidR="0095794F">
        <w:rPr>
          <w:rFonts w:ascii="Times New Roman" w:hAnsi="Times New Roman"/>
          <w:sz w:val="22"/>
          <w:szCs w:val="22"/>
        </w:rPr>
        <w:t xml:space="preserve">etitions filed in hard copy format should be submitted according to the procedures set forth on the web page of the Commission’s Office of the Secretary, </w:t>
      </w:r>
      <w:hyperlink r:id="rId7" w:history="1">
        <w:r w:rsidRPr="00CE1859" w:rsidR="0095794F">
          <w:rPr>
            <w:rStyle w:val="Hyperlink"/>
            <w:rFonts w:ascii="Times New Roman" w:hAnsi="Times New Roman"/>
            <w:sz w:val="22"/>
            <w:szCs w:val="22"/>
          </w:rPr>
          <w:t>https://www.fcc.gov/seretary</w:t>
        </w:r>
      </w:hyperlink>
      <w:r w:rsidRPr="00CE1859" w:rsidR="0095794F">
        <w:rPr>
          <w:rFonts w:ascii="Times New Roman" w:hAnsi="Times New Roman"/>
          <w:sz w:val="22"/>
          <w:szCs w:val="22"/>
        </w:rPr>
        <w:t>.</w:t>
      </w:r>
      <w:r w:rsidR="0095794F">
        <w:rPr>
          <w:rFonts w:ascii="Times New Roman" w:hAnsi="Times New Roman"/>
          <w:sz w:val="22"/>
          <w:szCs w:val="22"/>
        </w:rPr>
        <w:t xml:space="preserve"> </w:t>
      </w:r>
    </w:p>
    <w:p w:rsidR="005A715D" w:rsidP="00C8471C" w14:paraId="0E32C6C8" w14:textId="7C1DB428">
      <w:pPr>
        <w:tabs>
          <w:tab w:val="left" w:pos="9360"/>
        </w:tabs>
        <w:rPr>
          <w:rFonts w:ascii="Times New Roman" w:hAnsi="Times New Roman"/>
          <w:sz w:val="22"/>
          <w:szCs w:val="22"/>
        </w:rPr>
      </w:pPr>
    </w:p>
    <w:p w:rsidR="00EB2C4F" w:rsidP="00C8471C" w14:paraId="2E0B2F19" w14:textId="77777777">
      <w:pPr>
        <w:tabs>
          <w:tab w:val="left" w:pos="9360"/>
        </w:tabs>
        <w:rPr>
          <w:rFonts w:ascii="Times New Roman" w:hAnsi="Times New Roman"/>
          <w:b/>
          <w:bCs/>
          <w:sz w:val="22"/>
          <w:szCs w:val="22"/>
        </w:rPr>
      </w:pPr>
    </w:p>
    <w:p w:rsidR="00EB2C4F" w:rsidP="00C8471C" w14:paraId="5EA46107" w14:textId="77777777">
      <w:pPr>
        <w:tabs>
          <w:tab w:val="left" w:pos="9360"/>
        </w:tabs>
        <w:rPr>
          <w:rFonts w:ascii="Times New Roman" w:hAnsi="Times New Roman"/>
          <w:b/>
          <w:bCs/>
          <w:sz w:val="22"/>
          <w:szCs w:val="22"/>
        </w:rPr>
      </w:pPr>
    </w:p>
    <w:p w:rsidR="005A715D" w:rsidRPr="00B81787" w:rsidP="00C8471C" w14:paraId="1A956A3B" w14:textId="7E1AA121">
      <w:pPr>
        <w:tabs>
          <w:tab w:val="left" w:pos="9360"/>
        </w:tabs>
        <w:rPr>
          <w:rFonts w:ascii="Times New Roman" w:hAnsi="Times New Roman"/>
          <w:b/>
          <w:bCs/>
          <w:sz w:val="22"/>
          <w:szCs w:val="22"/>
          <w:u w:val="single"/>
        </w:rPr>
      </w:pPr>
      <w:r w:rsidRPr="00B81787">
        <w:rPr>
          <w:rFonts w:ascii="Times New Roman" w:hAnsi="Times New Roman"/>
          <w:b/>
          <w:bCs/>
          <w:sz w:val="22"/>
          <w:szCs w:val="22"/>
          <w:u w:val="single"/>
        </w:rPr>
        <w:t xml:space="preserve">APPLICATION </w:t>
      </w:r>
      <w:r w:rsidRPr="00B81787">
        <w:rPr>
          <w:rFonts w:ascii="Times New Roman" w:hAnsi="Times New Roman"/>
          <w:b/>
          <w:bCs/>
          <w:sz w:val="22"/>
          <w:szCs w:val="22"/>
          <w:u w:val="single"/>
        </w:rPr>
        <w:t xml:space="preserve">FILING </w:t>
      </w:r>
      <w:r w:rsidRPr="00B81787">
        <w:rPr>
          <w:rFonts w:ascii="Times New Roman" w:hAnsi="Times New Roman"/>
          <w:b/>
          <w:bCs/>
          <w:sz w:val="22"/>
          <w:szCs w:val="22"/>
          <w:u w:val="single"/>
        </w:rPr>
        <w:t xml:space="preserve">AND PAYMENT </w:t>
      </w:r>
      <w:r w:rsidRPr="00B81787">
        <w:rPr>
          <w:rFonts w:ascii="Times New Roman" w:hAnsi="Times New Roman"/>
          <w:b/>
          <w:bCs/>
          <w:sz w:val="22"/>
          <w:szCs w:val="22"/>
          <w:u w:val="single"/>
        </w:rPr>
        <w:t>INSTRUCTIONS</w:t>
      </w:r>
    </w:p>
    <w:p w:rsidR="005A715D" w:rsidP="00C8471C" w14:paraId="7EFE5019" w14:textId="7D53BBCD">
      <w:pPr>
        <w:tabs>
          <w:tab w:val="left" w:pos="9360"/>
        </w:tabs>
        <w:rPr>
          <w:rFonts w:ascii="Times New Roman" w:hAnsi="Times New Roman"/>
          <w:b/>
          <w:bCs/>
          <w:sz w:val="22"/>
          <w:szCs w:val="22"/>
        </w:rPr>
      </w:pPr>
    </w:p>
    <w:p w:rsidR="005A715D" w:rsidRPr="00024877" w:rsidP="005A715D" w14:paraId="31A18691" w14:textId="77777777">
      <w:pPr>
        <w:pStyle w:val="BodyText"/>
        <w:spacing w:before="44"/>
        <w:rPr>
          <w:b/>
          <w:bCs/>
          <w:sz w:val="22"/>
          <w:szCs w:val="22"/>
          <w:u w:val="single"/>
        </w:rPr>
      </w:pPr>
      <w:r w:rsidRPr="00024877">
        <w:rPr>
          <w:b/>
          <w:bCs/>
          <w:sz w:val="22"/>
          <w:szCs w:val="22"/>
          <w:u w:val="single"/>
        </w:rPr>
        <w:t xml:space="preserve">Section 214 and VoIP Numbering Authorization Applications  </w:t>
      </w:r>
    </w:p>
    <w:p w:rsidR="005A715D" w:rsidRPr="00024877" w:rsidP="00024877" w14:paraId="1CB42512" w14:textId="0A738BC3">
      <w:pPr>
        <w:pStyle w:val="BodyText"/>
        <w:spacing w:before="44"/>
        <w:rPr>
          <w:sz w:val="22"/>
          <w:szCs w:val="22"/>
        </w:rPr>
      </w:pPr>
      <w:r w:rsidRPr="00024877">
        <w:rPr>
          <w:sz w:val="22"/>
          <w:szCs w:val="22"/>
        </w:rPr>
        <w:t>Applicants must electronically file section 214 transfer of control and</w:t>
      </w:r>
      <w:r>
        <w:rPr>
          <w:sz w:val="22"/>
          <w:szCs w:val="22"/>
        </w:rPr>
        <w:t xml:space="preserve"> special temporary authority (</w:t>
      </w:r>
      <w:r w:rsidRPr="00024877">
        <w:rPr>
          <w:sz w:val="22"/>
          <w:szCs w:val="22"/>
        </w:rPr>
        <w:t>STA</w:t>
      </w:r>
      <w:r>
        <w:rPr>
          <w:sz w:val="22"/>
          <w:szCs w:val="22"/>
        </w:rPr>
        <w:t>)</w:t>
      </w:r>
      <w:r w:rsidRPr="00024877">
        <w:rPr>
          <w:sz w:val="22"/>
          <w:szCs w:val="22"/>
        </w:rPr>
        <w:t xml:space="preserve"> applications, section 214 discontinuance applications, and VoIP numbering authorization applications </w:t>
      </w:r>
      <w:bookmarkStart w:id="1" w:name="_Hlk89170807"/>
      <w:r w:rsidRPr="00024877">
        <w:rPr>
          <w:sz w:val="22"/>
          <w:szCs w:val="22"/>
        </w:rPr>
        <w:t>by accessing the appropriate “</w:t>
      </w:r>
      <w:r w:rsidRPr="00024877">
        <w:rPr>
          <w:color w:val="020100"/>
          <w:spacing w:val="-8"/>
          <w:sz w:val="22"/>
          <w:szCs w:val="22"/>
        </w:rPr>
        <w:t xml:space="preserve">Inbox” in the </w:t>
      </w:r>
      <w:r w:rsidRPr="00024877">
        <w:rPr>
          <w:color w:val="020100"/>
          <w:sz w:val="22"/>
          <w:szCs w:val="22"/>
        </w:rPr>
        <w:t>“Submit</w:t>
      </w:r>
      <w:r w:rsidRPr="00024877">
        <w:rPr>
          <w:color w:val="020100"/>
          <w:spacing w:val="-7"/>
          <w:sz w:val="22"/>
          <w:szCs w:val="22"/>
        </w:rPr>
        <w:t xml:space="preserve"> </w:t>
      </w:r>
      <w:r w:rsidRPr="00024877">
        <w:rPr>
          <w:color w:val="020100"/>
          <w:sz w:val="22"/>
          <w:szCs w:val="22"/>
        </w:rPr>
        <w:t>a</w:t>
      </w:r>
      <w:r w:rsidRPr="00024877">
        <w:rPr>
          <w:color w:val="020100"/>
          <w:spacing w:val="-8"/>
          <w:sz w:val="22"/>
          <w:szCs w:val="22"/>
        </w:rPr>
        <w:t xml:space="preserve"> </w:t>
      </w:r>
      <w:r w:rsidRPr="00024877">
        <w:rPr>
          <w:color w:val="020100"/>
          <w:spacing w:val="4"/>
          <w:sz w:val="22"/>
          <w:szCs w:val="22"/>
        </w:rPr>
        <w:t>Non-</w:t>
      </w:r>
      <w:r w:rsidRPr="00024877">
        <w:rPr>
          <w:color w:val="020100"/>
          <w:sz w:val="22"/>
          <w:szCs w:val="22"/>
        </w:rPr>
        <w:t>Docketed</w:t>
      </w:r>
      <w:r w:rsidRPr="00024877">
        <w:rPr>
          <w:color w:val="020100"/>
          <w:spacing w:val="-6"/>
          <w:sz w:val="22"/>
          <w:szCs w:val="22"/>
        </w:rPr>
        <w:t xml:space="preserve"> </w:t>
      </w:r>
      <w:r w:rsidRPr="00024877">
        <w:rPr>
          <w:color w:val="020100"/>
          <w:sz w:val="22"/>
          <w:szCs w:val="22"/>
        </w:rPr>
        <w:t>Filing”</w:t>
      </w:r>
      <w:r w:rsidRPr="00024877">
        <w:rPr>
          <w:color w:val="020100"/>
          <w:spacing w:val="-6"/>
          <w:sz w:val="22"/>
          <w:szCs w:val="22"/>
        </w:rPr>
        <w:t xml:space="preserve"> </w:t>
      </w:r>
      <w:r w:rsidRPr="00024877">
        <w:rPr>
          <w:color w:val="020100"/>
          <w:sz w:val="22"/>
          <w:szCs w:val="22"/>
        </w:rPr>
        <w:t>module</w:t>
      </w:r>
      <w:bookmarkEnd w:id="1"/>
      <w:r w:rsidRPr="00024877">
        <w:rPr>
          <w:color w:val="020100"/>
          <w:spacing w:val="-5"/>
          <w:sz w:val="22"/>
          <w:szCs w:val="22"/>
        </w:rPr>
        <w:t xml:space="preserve"> </w:t>
      </w:r>
      <w:r w:rsidRPr="00024877">
        <w:rPr>
          <w:color w:val="020100"/>
          <w:sz w:val="22"/>
          <w:szCs w:val="22"/>
        </w:rPr>
        <w:t>of</w:t>
      </w:r>
      <w:r w:rsidRPr="00024877">
        <w:rPr>
          <w:color w:val="020100"/>
          <w:spacing w:val="-6"/>
          <w:sz w:val="22"/>
          <w:szCs w:val="22"/>
        </w:rPr>
        <w:t xml:space="preserve"> </w:t>
      </w:r>
      <w:r w:rsidRPr="00024877">
        <w:rPr>
          <w:sz w:val="22"/>
          <w:szCs w:val="22"/>
        </w:rPr>
        <w:t>the Commission’s Electronic Comment Filing System (ECFS) (</w:t>
      </w:r>
      <w:hyperlink r:id="rId8" w:history="1">
        <w:r w:rsidRPr="00024877">
          <w:rPr>
            <w:rStyle w:val="Hyperlink"/>
            <w:sz w:val="22"/>
            <w:szCs w:val="22"/>
          </w:rPr>
          <w:t>https://www.fcc.gov/ecfs/</w:t>
        </w:r>
      </w:hyperlink>
      <w:r w:rsidRPr="00024877">
        <w:rPr>
          <w:sz w:val="22"/>
          <w:szCs w:val="22"/>
        </w:rPr>
        <w:t>).</w:t>
      </w:r>
      <w:r>
        <w:rPr>
          <w:rStyle w:val="FootnoteReference"/>
          <w:sz w:val="22"/>
          <w:szCs w:val="22"/>
        </w:rPr>
        <w:footnoteReference w:id="5"/>
      </w:r>
      <w:r w:rsidRPr="00024877">
        <w:rPr>
          <w:sz w:val="22"/>
          <w:szCs w:val="22"/>
        </w:rPr>
        <w:t xml:space="preserve">  At the same time as submitting an application in ECFS, </w:t>
      </w:r>
      <w:bookmarkStart w:id="2" w:name="_Hlk89441165"/>
      <w:r w:rsidRPr="00024877">
        <w:rPr>
          <w:sz w:val="22"/>
          <w:szCs w:val="22"/>
        </w:rPr>
        <w:t xml:space="preserve">Applicants must separately pay the associated application processing fee through the Commission’s Registration System (CORES) (the Commission’s Management and Financial system), </w:t>
      </w:r>
      <w:bookmarkEnd w:id="2"/>
      <w:r w:rsidRPr="00024877">
        <w:rPr>
          <w:sz w:val="22"/>
          <w:szCs w:val="22"/>
        </w:rPr>
        <w:t xml:space="preserve">which can be reached either at </w:t>
      </w:r>
      <w:hyperlink r:id="rId9" w:history="1">
        <w:r w:rsidRPr="00024877">
          <w:rPr>
            <w:rStyle w:val="Hyperlink"/>
            <w:sz w:val="22"/>
            <w:szCs w:val="22"/>
          </w:rPr>
          <w:t>https://apps.fcc.gov/cores/userLogin.do</w:t>
        </w:r>
      </w:hyperlink>
      <w:r w:rsidRPr="00024877">
        <w:rPr>
          <w:sz w:val="22"/>
          <w:szCs w:val="22"/>
        </w:rPr>
        <w:t xml:space="preserve"> using an existing FCC Username account, or through the CORES’ FCC Registration Number (FRN) access page at </w:t>
      </w:r>
      <w:hyperlink r:id="rId10" w:history="1">
        <w:r w:rsidRPr="00024877">
          <w:rPr>
            <w:rStyle w:val="Hyperlink"/>
            <w:sz w:val="22"/>
            <w:szCs w:val="22"/>
          </w:rPr>
          <w:t>https://apps.fcc.gov/cores/paymentFrnLogin.do</w:t>
        </w:r>
      </w:hyperlink>
      <w:r w:rsidRPr="00024877">
        <w:rPr>
          <w:sz w:val="22"/>
          <w:szCs w:val="22"/>
        </w:rPr>
        <w:t xml:space="preserve">.  In addition, starting on December 15, 2021, the URL used to access the Commission’s previous payment system, Fee Filer, </w:t>
      </w:r>
      <w:hyperlink r:id="rId11" w:history="1">
        <w:r w:rsidRPr="00024877">
          <w:rPr>
            <w:rStyle w:val="Hyperlink"/>
            <w:sz w:val="22"/>
            <w:szCs w:val="22"/>
          </w:rPr>
          <w:t>https://apps.fcc.gov/FeeFiler/login.cfm</w:t>
        </w:r>
      </w:hyperlink>
      <w:r w:rsidRPr="00024877">
        <w:rPr>
          <w:sz w:val="22"/>
          <w:szCs w:val="22"/>
        </w:rPr>
        <w:t>, will automatically redirect users to the new payment module in CORES for a temporary period.</w:t>
      </w:r>
    </w:p>
    <w:p w:rsidR="005A715D" w:rsidRPr="00024877" w:rsidP="005A715D" w14:paraId="4BECF126" w14:textId="77777777">
      <w:pPr>
        <w:pStyle w:val="BodyText"/>
        <w:spacing w:before="44"/>
        <w:rPr>
          <w:b/>
          <w:bCs/>
          <w:sz w:val="22"/>
          <w:szCs w:val="22"/>
          <w:u w:val="single"/>
        </w:rPr>
      </w:pPr>
    </w:p>
    <w:p w:rsidR="005A715D" w:rsidRPr="00024877" w:rsidP="005A715D" w14:paraId="45FEE673" w14:textId="511FCC49">
      <w:pPr>
        <w:pStyle w:val="BodyText"/>
        <w:spacing w:before="44"/>
        <w:rPr>
          <w:b/>
          <w:bCs/>
          <w:sz w:val="22"/>
          <w:szCs w:val="22"/>
          <w:u w:val="single"/>
        </w:rPr>
      </w:pPr>
      <w:r w:rsidRPr="00024877">
        <w:rPr>
          <w:b/>
          <w:bCs/>
          <w:sz w:val="22"/>
          <w:szCs w:val="22"/>
          <w:u w:val="single"/>
        </w:rPr>
        <w:t>Tariff Filings and Accounting Waivers</w:t>
      </w:r>
    </w:p>
    <w:p w:rsidR="005A715D" w:rsidRPr="00024877" w:rsidP="00024877" w14:paraId="5EDBAB7B" w14:textId="632B3510">
      <w:pPr>
        <w:pStyle w:val="BodyText"/>
        <w:spacing w:before="44"/>
        <w:rPr>
          <w:sz w:val="22"/>
          <w:szCs w:val="22"/>
        </w:rPr>
      </w:pPr>
      <w:bookmarkStart w:id="3" w:name="_Hlk89100305"/>
      <w:r w:rsidRPr="00024877">
        <w:rPr>
          <w:sz w:val="22"/>
          <w:szCs w:val="22"/>
        </w:rPr>
        <w:t>Applicants must submit standard tariff filings, complex tariff filings (large), complex tariff filings (small), and applications for special permission for waiver of Commission rules by logging into the Commission’s Electronic Tariff Filing System (ETFS) (</w:t>
      </w:r>
      <w:hyperlink r:id="rId12" w:history="1">
        <w:r w:rsidRPr="00024877">
          <w:rPr>
            <w:rStyle w:val="Hyperlink"/>
            <w:sz w:val="22"/>
            <w:szCs w:val="22"/>
          </w:rPr>
          <w:t>https://apps.fcc.gov/etfs/etfsHome.action</w:t>
        </w:r>
      </w:hyperlink>
      <w:r w:rsidRPr="00024877">
        <w:rPr>
          <w:sz w:val="22"/>
          <w:szCs w:val="22"/>
        </w:rPr>
        <w:t>) and accessing the appropriate “Filing Type.”  At the same time as submitting a tariff filing or application on ETFS, Applicants must separately pay the associated processing fee using the CORES payment module.  Finally, Applicants must electronically file applications for waiver of accounting rules by accessing the appropriate “</w:t>
      </w:r>
      <w:r w:rsidRPr="00024877">
        <w:rPr>
          <w:color w:val="020100"/>
          <w:spacing w:val="-8"/>
          <w:sz w:val="22"/>
          <w:szCs w:val="22"/>
        </w:rPr>
        <w:t xml:space="preserve">Inbox” in the </w:t>
      </w:r>
      <w:r w:rsidRPr="00024877">
        <w:rPr>
          <w:color w:val="020100"/>
          <w:sz w:val="22"/>
          <w:szCs w:val="22"/>
        </w:rPr>
        <w:t>“Submit</w:t>
      </w:r>
      <w:r w:rsidRPr="00024877">
        <w:rPr>
          <w:color w:val="020100"/>
          <w:spacing w:val="-7"/>
          <w:sz w:val="22"/>
          <w:szCs w:val="22"/>
        </w:rPr>
        <w:t xml:space="preserve"> </w:t>
      </w:r>
      <w:r w:rsidRPr="00024877">
        <w:rPr>
          <w:color w:val="020100"/>
          <w:sz w:val="22"/>
          <w:szCs w:val="22"/>
        </w:rPr>
        <w:t>a</w:t>
      </w:r>
      <w:r w:rsidRPr="00024877">
        <w:rPr>
          <w:color w:val="020100"/>
          <w:spacing w:val="-8"/>
          <w:sz w:val="22"/>
          <w:szCs w:val="22"/>
        </w:rPr>
        <w:t xml:space="preserve"> </w:t>
      </w:r>
      <w:r w:rsidRPr="00024877">
        <w:rPr>
          <w:color w:val="020100"/>
          <w:spacing w:val="4"/>
          <w:sz w:val="22"/>
          <w:szCs w:val="22"/>
        </w:rPr>
        <w:t>Non-</w:t>
      </w:r>
      <w:r w:rsidRPr="00024877">
        <w:rPr>
          <w:color w:val="020100"/>
          <w:sz w:val="22"/>
          <w:szCs w:val="22"/>
        </w:rPr>
        <w:t>Docketed</w:t>
      </w:r>
      <w:r w:rsidRPr="00024877">
        <w:rPr>
          <w:color w:val="020100"/>
          <w:spacing w:val="-6"/>
          <w:sz w:val="22"/>
          <w:szCs w:val="22"/>
        </w:rPr>
        <w:t xml:space="preserve"> </w:t>
      </w:r>
      <w:r w:rsidRPr="00024877">
        <w:rPr>
          <w:color w:val="020100"/>
          <w:sz w:val="22"/>
          <w:szCs w:val="22"/>
        </w:rPr>
        <w:t>Filing”</w:t>
      </w:r>
      <w:r w:rsidRPr="00024877">
        <w:rPr>
          <w:color w:val="020100"/>
          <w:spacing w:val="-6"/>
          <w:sz w:val="22"/>
          <w:szCs w:val="22"/>
        </w:rPr>
        <w:t xml:space="preserve"> </w:t>
      </w:r>
      <w:r w:rsidRPr="00024877">
        <w:rPr>
          <w:color w:val="020100"/>
          <w:sz w:val="22"/>
          <w:szCs w:val="22"/>
        </w:rPr>
        <w:t>module</w:t>
      </w:r>
      <w:r w:rsidRPr="00024877">
        <w:rPr>
          <w:sz w:val="22"/>
          <w:szCs w:val="22"/>
        </w:rPr>
        <w:t xml:space="preserve"> in ECFS (INBOX-1.1105) and </w:t>
      </w:r>
      <w:bookmarkStart w:id="4" w:name="_Hlk89171481"/>
      <w:r w:rsidRPr="00024877">
        <w:rPr>
          <w:sz w:val="22"/>
          <w:szCs w:val="22"/>
        </w:rPr>
        <w:t>using the CORES payment module to pay the associated processing fee</w:t>
      </w:r>
      <w:bookmarkEnd w:id="3"/>
      <w:bookmarkEnd w:id="4"/>
      <w:r w:rsidRPr="00024877">
        <w:rPr>
          <w:sz w:val="22"/>
          <w:szCs w:val="22"/>
        </w:rPr>
        <w:t>.</w:t>
      </w:r>
    </w:p>
    <w:p w:rsidR="001D25F9" w14:paraId="404BA7E0" w14:textId="77777777">
      <w:pPr>
        <w:tabs>
          <w:tab w:val="left" w:pos="9360"/>
        </w:tabs>
        <w:outlineLvl w:val="0"/>
        <w:rPr>
          <w:rFonts w:ascii="Times New Roman" w:hAnsi="Times New Roman"/>
          <w:b/>
          <w:sz w:val="22"/>
          <w:szCs w:val="22"/>
        </w:rPr>
      </w:pPr>
    </w:p>
    <w:p w:rsidR="001D25F9" w:rsidRPr="00024877" w14:paraId="317416D1" w14:textId="15BDBCAA">
      <w:pPr>
        <w:tabs>
          <w:tab w:val="left" w:pos="9360"/>
        </w:tabs>
        <w:outlineLvl w:val="0"/>
        <w:rPr>
          <w:rFonts w:ascii="Times New Roman" w:hAnsi="Times New Roman"/>
          <w:b/>
          <w:sz w:val="22"/>
          <w:szCs w:val="22"/>
          <w:u w:val="single"/>
        </w:rPr>
      </w:pPr>
      <w:r w:rsidRPr="00024877">
        <w:rPr>
          <w:rFonts w:ascii="Times New Roman" w:hAnsi="Times New Roman"/>
          <w:b/>
          <w:sz w:val="22"/>
          <w:szCs w:val="22"/>
          <w:u w:val="single"/>
        </w:rPr>
        <w:t xml:space="preserve">METHOD OF PAYMENT </w:t>
      </w:r>
    </w:p>
    <w:p w:rsidR="001D25F9" w14:paraId="4D9C0C9E" w14:textId="77777777">
      <w:pPr>
        <w:tabs>
          <w:tab w:val="left" w:pos="9360"/>
        </w:tabs>
        <w:rPr>
          <w:rFonts w:ascii="Times New Roman" w:hAnsi="Times New Roman"/>
          <w:b/>
          <w:sz w:val="22"/>
          <w:szCs w:val="22"/>
        </w:rPr>
      </w:pPr>
    </w:p>
    <w:p w:rsidR="001D25F9" w14:paraId="769CE82E" w14:textId="77777777">
      <w:pPr>
        <w:tabs>
          <w:tab w:val="left" w:pos="9360"/>
        </w:tabs>
        <w:rPr>
          <w:rFonts w:ascii="Times New Roman" w:hAnsi="Times New Roman"/>
          <w:b/>
          <w:sz w:val="22"/>
          <w:szCs w:val="22"/>
        </w:rPr>
      </w:pPr>
      <w:r w:rsidRPr="00365EA9">
        <w:rPr>
          <w:rFonts w:ascii="Times New Roman" w:hAnsi="Times New Roman"/>
          <w:b/>
          <w:sz w:val="22"/>
          <w:szCs w:val="22"/>
        </w:rPr>
        <w:t>Payment of fees by check or money order are no longer accepted</w:t>
      </w:r>
      <w:r>
        <w:rPr>
          <w:rFonts w:ascii="Times New Roman" w:hAnsi="Times New Roman"/>
          <w:sz w:val="22"/>
          <w:szCs w:val="22"/>
        </w:rPr>
        <w:t>.  The Commission accepts Visa, MasterCard, American Express, and Discover credit cards when making payments for online applications.</w:t>
      </w:r>
    </w:p>
    <w:p w:rsidR="001D25F9" w14:paraId="7C84244B" w14:textId="77777777">
      <w:pPr>
        <w:tabs>
          <w:tab w:val="left" w:pos="9360"/>
        </w:tabs>
        <w:rPr>
          <w:rFonts w:ascii="Times New Roman" w:hAnsi="Times New Roman"/>
          <w:b/>
          <w:sz w:val="22"/>
          <w:szCs w:val="22"/>
        </w:rPr>
      </w:pPr>
    </w:p>
    <w:p w:rsidR="001D25F9" w14:paraId="74714D8D" w14:textId="77777777">
      <w:pPr>
        <w:tabs>
          <w:tab w:val="left" w:pos="9360"/>
        </w:tabs>
        <w:rPr>
          <w:rFonts w:ascii="Times New Roman" w:hAnsi="Times New Roman"/>
          <w:sz w:val="22"/>
          <w:szCs w:val="22"/>
        </w:rPr>
      </w:pPr>
      <w:r>
        <w:rPr>
          <w:rFonts w:ascii="Times New Roman" w:hAnsi="Times New Roman"/>
          <w:sz w:val="22"/>
          <w:szCs w:val="22"/>
        </w:rPr>
        <w:t xml:space="preserve">If paying by wire, applicants located in foreign countries should contact their local bank to determine what U.S. financial institution their bank is affiliated with that will allow a transfer of funds.  Please keep in mind that there may be an additional transfer fee added from your bank for this service.  If an additional cost is required by your bank, and you have not included additional funds to cover this cost, it will be taken out of the funds that will be transferred.  This will result in your remaining transfer amount being insufficient to cover the fee for the filing.  Please check with your bank prior to completing this transaction to determine their policy.  </w:t>
      </w:r>
      <w:bookmarkStart w:id="5" w:name="_Hlk521674470"/>
      <w:r>
        <w:rPr>
          <w:rFonts w:ascii="Times New Roman" w:hAnsi="Times New Roman"/>
          <w:sz w:val="22"/>
          <w:szCs w:val="22"/>
        </w:rPr>
        <w:t>For further instructions in making payment by wire see our website at http://www.fcc.gov/fees/wiretran.html.</w:t>
      </w:r>
      <w:bookmarkEnd w:id="5"/>
      <w:r>
        <w:rPr>
          <w:rFonts w:ascii="Times New Roman" w:hAnsi="Times New Roman"/>
          <w:sz w:val="22"/>
          <w:szCs w:val="22"/>
        </w:rPr>
        <w:t xml:space="preserve">  </w:t>
      </w:r>
    </w:p>
    <w:p w:rsidR="001D25F9" w14:paraId="39B90140" w14:textId="77777777">
      <w:pPr>
        <w:tabs>
          <w:tab w:val="left" w:pos="9360"/>
        </w:tabs>
        <w:rPr>
          <w:rFonts w:ascii="Times New Roman" w:hAnsi="Times New Roman"/>
          <w:sz w:val="22"/>
          <w:szCs w:val="22"/>
        </w:rPr>
      </w:pPr>
    </w:p>
    <w:p w:rsidR="001D25F9" w:rsidP="00E60262" w14:paraId="0971C4CD" w14:textId="77777777">
      <w:pPr>
        <w:tabs>
          <w:tab w:val="left" w:pos="9360"/>
        </w:tabs>
        <w:rPr>
          <w:rFonts w:ascii="Times New Roman" w:hAnsi="Times New Roman"/>
          <w:sz w:val="22"/>
          <w:szCs w:val="22"/>
        </w:rPr>
      </w:pPr>
      <w:r>
        <w:rPr>
          <w:rFonts w:ascii="Times New Roman" w:hAnsi="Times New Roman"/>
          <w:sz w:val="22"/>
          <w:szCs w:val="22"/>
        </w:rPr>
        <w:t xml:space="preserve">Payment of fees, fines, and other debts may also be made by electronic payment.   This is designed specifically for larger corporations capable of CPU/CPU communication.  To obtain more information about electronic payment and how it works, please contact the Revenue and Receivables Operations Group at (202) 418-1995.  For further information on making payment by electronic transfer see our website at </w:t>
      </w:r>
      <w:hyperlink r:id="rId13" w:history="1">
        <w:r w:rsidRPr="00A023BD">
          <w:rPr>
            <w:rStyle w:val="Hyperlink"/>
            <w:rFonts w:ascii="Times New Roman" w:hAnsi="Times New Roman"/>
            <w:sz w:val="22"/>
            <w:szCs w:val="22"/>
          </w:rPr>
          <w:t>http://www.fcc.gov/fees/electran.html</w:t>
        </w:r>
      </w:hyperlink>
      <w:r>
        <w:rPr>
          <w:rFonts w:ascii="Times New Roman" w:hAnsi="Times New Roman"/>
          <w:sz w:val="22"/>
          <w:szCs w:val="22"/>
        </w:rPr>
        <w:t xml:space="preserve">. </w:t>
      </w:r>
    </w:p>
    <w:p w:rsidR="001D25F9" w14:paraId="6C97AA10" w14:textId="77777777">
      <w:pPr>
        <w:tabs>
          <w:tab w:val="left" w:pos="9360"/>
        </w:tabs>
        <w:rPr>
          <w:rFonts w:ascii="Times New Roman" w:hAnsi="Times New Roman"/>
          <w:sz w:val="22"/>
          <w:szCs w:val="22"/>
        </w:rPr>
      </w:pPr>
    </w:p>
    <w:p w:rsidR="001D25F9" w:rsidRPr="00024877" w14:paraId="11640D7E" w14:textId="492DF27D">
      <w:pPr>
        <w:tabs>
          <w:tab w:val="left" w:pos="9360"/>
        </w:tabs>
        <w:outlineLvl w:val="0"/>
        <w:rPr>
          <w:rFonts w:ascii="Times New Roman" w:hAnsi="Times New Roman"/>
          <w:b/>
          <w:sz w:val="22"/>
          <w:szCs w:val="22"/>
          <w:u w:val="single"/>
        </w:rPr>
      </w:pPr>
      <w:r w:rsidRPr="00024877">
        <w:rPr>
          <w:rFonts w:ascii="Times New Roman" w:hAnsi="Times New Roman"/>
          <w:b/>
          <w:sz w:val="22"/>
          <w:szCs w:val="22"/>
          <w:u w:val="single"/>
        </w:rPr>
        <w:t>NONFEEABLE APPLICATIONS</w:t>
      </w:r>
    </w:p>
    <w:p w:rsidR="001D25F9" w14:paraId="466660FB" w14:textId="77777777">
      <w:pPr>
        <w:tabs>
          <w:tab w:val="left" w:pos="9360"/>
        </w:tabs>
        <w:rPr>
          <w:rFonts w:ascii="Times New Roman" w:hAnsi="Times New Roman"/>
          <w:sz w:val="22"/>
          <w:szCs w:val="22"/>
        </w:rPr>
      </w:pPr>
    </w:p>
    <w:p w:rsidR="001D25F9" w14:paraId="60A35E97" w14:textId="3DD7FCBE">
      <w:pPr>
        <w:tabs>
          <w:tab w:val="left" w:pos="9360"/>
        </w:tabs>
        <w:rPr>
          <w:rFonts w:ascii="Times New Roman" w:hAnsi="Times New Roman"/>
          <w:sz w:val="22"/>
          <w:szCs w:val="22"/>
        </w:rPr>
      </w:pPr>
      <w:r>
        <w:rPr>
          <w:rFonts w:ascii="Times New Roman" w:hAnsi="Times New Roman"/>
          <w:sz w:val="22"/>
          <w:szCs w:val="22"/>
        </w:rPr>
        <w:t xml:space="preserve">All nonfeeable applications filed in Washington, DC must be filed directly with the Secretary's Office, </w:t>
      </w:r>
      <w:r w:rsidR="00D932B1">
        <w:rPr>
          <w:rFonts w:ascii="Times New Roman" w:hAnsi="Times New Roman"/>
          <w:sz w:val="22"/>
          <w:szCs w:val="22"/>
        </w:rPr>
        <w:t>45 L Street, N.E.</w:t>
      </w:r>
      <w:r>
        <w:rPr>
          <w:rFonts w:ascii="Times New Roman" w:hAnsi="Times New Roman"/>
          <w:sz w:val="22"/>
          <w:szCs w:val="22"/>
        </w:rPr>
        <w:t xml:space="preserve">, Washington, DC 20554 and should be captioned Attention: Wireline Competition Bureau.  </w:t>
      </w:r>
    </w:p>
    <w:p w:rsidR="001D25F9" w14:paraId="7670A5C9" w14:textId="77777777">
      <w:pPr>
        <w:tabs>
          <w:tab w:val="left" w:pos="9360"/>
        </w:tabs>
        <w:outlineLvl w:val="0"/>
        <w:rPr>
          <w:rFonts w:ascii="Times New Roman" w:hAnsi="Times New Roman"/>
          <w:b/>
          <w:szCs w:val="24"/>
        </w:rPr>
      </w:pPr>
    </w:p>
    <w:p w:rsidR="00EB2C4F" w14:paraId="4F9BB677" w14:textId="77777777">
      <w:pPr>
        <w:tabs>
          <w:tab w:val="left" w:pos="9360"/>
        </w:tabs>
        <w:outlineLvl w:val="0"/>
        <w:rPr>
          <w:rFonts w:ascii="Times New Roman" w:hAnsi="Times New Roman"/>
          <w:b/>
          <w:sz w:val="22"/>
          <w:szCs w:val="22"/>
          <w:u w:val="single"/>
        </w:rPr>
      </w:pPr>
    </w:p>
    <w:p w:rsidR="001D25F9" w:rsidRPr="00024877" w14:paraId="5A95158A" w14:textId="77A3525D">
      <w:pPr>
        <w:tabs>
          <w:tab w:val="left" w:pos="9360"/>
        </w:tabs>
        <w:outlineLvl w:val="0"/>
        <w:rPr>
          <w:rFonts w:ascii="Times New Roman" w:hAnsi="Times New Roman"/>
          <w:b/>
          <w:sz w:val="22"/>
          <w:szCs w:val="22"/>
          <w:u w:val="single"/>
        </w:rPr>
      </w:pPr>
      <w:r w:rsidRPr="00024877">
        <w:rPr>
          <w:rFonts w:ascii="Times New Roman" w:hAnsi="Times New Roman"/>
          <w:b/>
          <w:sz w:val="22"/>
          <w:szCs w:val="22"/>
          <w:u w:val="single"/>
        </w:rPr>
        <w:t>FEE EXEMPT APPLICATIONS</w:t>
      </w:r>
    </w:p>
    <w:p w:rsidR="001D25F9" w14:paraId="24684359" w14:textId="77777777">
      <w:pPr>
        <w:tabs>
          <w:tab w:val="left" w:pos="9360"/>
        </w:tabs>
        <w:rPr>
          <w:rFonts w:ascii="Times New Roman" w:hAnsi="Times New Roman"/>
          <w:b/>
          <w:sz w:val="22"/>
          <w:szCs w:val="22"/>
        </w:rPr>
      </w:pPr>
    </w:p>
    <w:p w:rsidR="001D25F9" w14:paraId="4EEC7C9B" w14:textId="2D05E575">
      <w:pPr>
        <w:tabs>
          <w:tab w:val="left" w:pos="9360"/>
        </w:tabs>
        <w:rPr>
          <w:rFonts w:ascii="Times New Roman" w:hAnsi="Times New Roman"/>
          <w:sz w:val="22"/>
          <w:szCs w:val="22"/>
        </w:rPr>
      </w:pPr>
      <w:r>
        <w:rPr>
          <w:rFonts w:ascii="Times New Roman" w:hAnsi="Times New Roman"/>
          <w:sz w:val="22"/>
          <w:szCs w:val="22"/>
        </w:rPr>
        <w:t>As applicable, provide</w:t>
      </w:r>
      <w:r w:rsidR="0095794F">
        <w:rPr>
          <w:rFonts w:ascii="Times New Roman" w:hAnsi="Times New Roman"/>
          <w:sz w:val="22"/>
          <w:szCs w:val="22"/>
        </w:rPr>
        <w:t xml:space="preserve"> the proper documentation, as required, to certify that your application is fee exempt.  47 CFR, Part 1, Section 1.1114 of the Commission's rules explains who qualifies as fee exempt.</w:t>
      </w:r>
    </w:p>
    <w:p w:rsidR="001D25F9" w14:paraId="617526E4" w14:textId="77777777">
      <w:pPr>
        <w:tabs>
          <w:tab w:val="left" w:pos="9360"/>
        </w:tabs>
        <w:rPr>
          <w:rFonts w:ascii="Times New Roman" w:hAnsi="Times New Roman"/>
          <w:sz w:val="22"/>
          <w:szCs w:val="22"/>
        </w:rPr>
      </w:pPr>
    </w:p>
    <w:p w:rsidR="00D932B1" w:rsidRPr="00024877" w:rsidP="00D932B1" w14:paraId="6EC4BD6F" w14:textId="2E7F99E8">
      <w:pPr>
        <w:tabs>
          <w:tab w:val="left" w:pos="9360"/>
        </w:tabs>
        <w:rPr>
          <w:rFonts w:ascii="Times New Roman" w:hAnsi="Times New Roman"/>
          <w:b/>
          <w:sz w:val="22"/>
          <w:szCs w:val="22"/>
          <w:u w:val="single"/>
        </w:rPr>
      </w:pPr>
      <w:r w:rsidRPr="00024877">
        <w:rPr>
          <w:rFonts w:ascii="Times New Roman" w:hAnsi="Times New Roman"/>
          <w:b/>
          <w:sz w:val="22"/>
          <w:szCs w:val="22"/>
          <w:u w:val="single"/>
        </w:rPr>
        <w:t>REQUESTS FOR WAIVER, FEE DETERMINATION, AND DEFERRAL, PETITIONS FOR RECONSIDERATION AND APPLICATIONS FOR REVIEW</w:t>
      </w:r>
      <w:r w:rsidR="00386F71">
        <w:rPr>
          <w:rFonts w:ascii="Times New Roman" w:hAnsi="Times New Roman"/>
          <w:b/>
          <w:sz w:val="22"/>
          <w:szCs w:val="22"/>
          <w:u w:val="single"/>
        </w:rPr>
        <w:t xml:space="preserve"> OF FEE DECISIONS</w:t>
      </w:r>
      <w:r w:rsidRPr="00024877">
        <w:rPr>
          <w:rFonts w:ascii="Times New Roman" w:hAnsi="Times New Roman"/>
          <w:b/>
          <w:sz w:val="22"/>
          <w:szCs w:val="22"/>
          <w:u w:val="single"/>
        </w:rPr>
        <w:t xml:space="preserve"> </w:t>
      </w:r>
    </w:p>
    <w:p w:rsidR="00D932B1" w:rsidRPr="00D932B1" w:rsidP="00D932B1" w14:paraId="0CA443AA" w14:textId="77777777">
      <w:pPr>
        <w:tabs>
          <w:tab w:val="left" w:pos="9360"/>
        </w:tabs>
        <w:rPr>
          <w:rFonts w:ascii="Times New Roman" w:hAnsi="Times New Roman"/>
          <w:b/>
          <w:sz w:val="22"/>
          <w:szCs w:val="22"/>
        </w:rPr>
      </w:pPr>
    </w:p>
    <w:p w:rsidR="00D932B1" w:rsidRPr="00D932B1" w:rsidP="00D932B1" w14:paraId="14C47972" w14:textId="63850D82">
      <w:pPr>
        <w:tabs>
          <w:tab w:val="left" w:pos="9360"/>
        </w:tabs>
        <w:rPr>
          <w:rFonts w:ascii="Times New Roman" w:hAnsi="Times New Roman"/>
          <w:sz w:val="22"/>
          <w:szCs w:val="22"/>
        </w:rPr>
      </w:pPr>
      <w:r w:rsidRPr="00D932B1">
        <w:rPr>
          <w:rFonts w:ascii="Times New Roman" w:hAnsi="Times New Roman"/>
          <w:sz w:val="22"/>
          <w:szCs w:val="22"/>
        </w:rPr>
        <w:t>Waiver, deferral and fee determination requests, petitions for reconsideration</w:t>
      </w:r>
      <w:r w:rsidR="00EB2C4F">
        <w:rPr>
          <w:rFonts w:ascii="Times New Roman" w:hAnsi="Times New Roman"/>
          <w:sz w:val="22"/>
          <w:szCs w:val="22"/>
        </w:rPr>
        <w:t>,</w:t>
      </w:r>
      <w:r w:rsidRPr="00D932B1">
        <w:rPr>
          <w:rFonts w:ascii="Times New Roman" w:hAnsi="Times New Roman"/>
          <w:sz w:val="22"/>
          <w:szCs w:val="22"/>
        </w:rPr>
        <w:t xml:space="preserve"> and applications for review of fee decisions must be filed in accordance with 47 CFR, Part 1, Sections 1.1113 and 1.1119, and will be acted upon by the Managing Director with the concurrence of the General Counsel..  Each such pleading must be filed as a separate pleading.  Requests to defer for financial hardship reasons must include supporting documentation. Each requestor will receive written notification of the Commission’s decision on its request, and all such decisions will be published periodically and placed in FCC Docket [General Docket 86-285].</w:t>
      </w:r>
    </w:p>
    <w:p w:rsidR="00D932B1" w14:paraId="644579C5" w14:textId="77777777">
      <w:pPr>
        <w:tabs>
          <w:tab w:val="left" w:pos="9360"/>
        </w:tabs>
        <w:outlineLvl w:val="0"/>
        <w:rPr>
          <w:rFonts w:ascii="Times New Roman" w:hAnsi="Times New Roman"/>
          <w:b/>
          <w:sz w:val="22"/>
          <w:szCs w:val="22"/>
        </w:rPr>
      </w:pPr>
    </w:p>
    <w:p w:rsidR="001D25F9" w:rsidRPr="00024877" w14:paraId="68AB1902" w14:textId="77777777">
      <w:pPr>
        <w:tabs>
          <w:tab w:val="left" w:pos="9360"/>
        </w:tabs>
        <w:outlineLvl w:val="0"/>
        <w:rPr>
          <w:rFonts w:ascii="Times New Roman" w:hAnsi="Times New Roman"/>
          <w:b/>
          <w:sz w:val="22"/>
          <w:szCs w:val="22"/>
          <w:u w:val="single"/>
        </w:rPr>
      </w:pPr>
      <w:r w:rsidRPr="00024877">
        <w:rPr>
          <w:rFonts w:ascii="Times New Roman" w:hAnsi="Times New Roman"/>
          <w:b/>
          <w:sz w:val="22"/>
          <w:szCs w:val="22"/>
          <w:u w:val="single"/>
        </w:rPr>
        <w:t>REFUND PROCESS</w:t>
      </w:r>
    </w:p>
    <w:p w:rsidR="001D25F9" w14:paraId="06EB5D5D" w14:textId="77777777">
      <w:pPr>
        <w:tabs>
          <w:tab w:val="left" w:pos="9360"/>
        </w:tabs>
        <w:rPr>
          <w:rFonts w:ascii="Times New Roman" w:hAnsi="Times New Roman"/>
          <w:b/>
          <w:sz w:val="22"/>
          <w:szCs w:val="22"/>
        </w:rPr>
      </w:pPr>
    </w:p>
    <w:p w:rsidR="001D25F9" w14:paraId="0E696106" w14:textId="7F93A2DA">
      <w:pPr>
        <w:tabs>
          <w:tab w:val="left" w:pos="9360"/>
        </w:tabs>
        <w:rPr>
          <w:rFonts w:ascii="Times New Roman" w:hAnsi="Times New Roman"/>
          <w:sz w:val="22"/>
          <w:szCs w:val="22"/>
        </w:rPr>
      </w:pPr>
      <w:r>
        <w:rPr>
          <w:rFonts w:ascii="Times New Roman" w:hAnsi="Times New Roman"/>
          <w:sz w:val="22"/>
          <w:szCs w:val="22"/>
        </w:rPr>
        <w:t xml:space="preserve">The appropriate Bureau/Office handles routine refund requests.  When a Bureau/Office determines that a refund is warranted, it is forwarded to the Office of the Managing Director, Revenue and Receivables Operations Group </w:t>
      </w:r>
      <w:r w:rsidR="00EB2C4F">
        <w:rPr>
          <w:rFonts w:ascii="Times New Roman" w:hAnsi="Times New Roman"/>
          <w:sz w:val="22"/>
          <w:szCs w:val="22"/>
        </w:rPr>
        <w:t xml:space="preserve">(RROG) </w:t>
      </w:r>
      <w:r>
        <w:rPr>
          <w:rFonts w:ascii="Times New Roman" w:hAnsi="Times New Roman"/>
          <w:sz w:val="22"/>
          <w:szCs w:val="22"/>
        </w:rPr>
        <w:t>for processing.  The RROG handles all approved refund requests.  Once the refund request is 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and Section 1.111</w:t>
      </w:r>
      <w:r w:rsidR="00D932B1">
        <w:rPr>
          <w:rFonts w:ascii="Times New Roman" w:hAnsi="Times New Roman"/>
          <w:sz w:val="22"/>
          <w:szCs w:val="22"/>
        </w:rPr>
        <w:t>5</w:t>
      </w:r>
      <w:r>
        <w:rPr>
          <w:rFonts w:ascii="Times New Roman" w:hAnsi="Times New Roman"/>
          <w:sz w:val="22"/>
          <w:szCs w:val="22"/>
        </w:rPr>
        <w:t xml:space="preserve"> of the Commission’s Rules.</w:t>
      </w:r>
    </w:p>
    <w:p w:rsidR="001D25F9" w14:paraId="3B5E78E7" w14:textId="77777777">
      <w:pPr>
        <w:rPr>
          <w:rFonts w:ascii="Times New Roman" w:hAnsi="Times New Roman"/>
          <w:sz w:val="22"/>
          <w:szCs w:val="22"/>
        </w:rPr>
      </w:pPr>
    </w:p>
    <w:p w:rsidR="001D25F9" w:rsidRPr="00024877" w14:paraId="32510D96" w14:textId="77777777">
      <w:pPr>
        <w:tabs>
          <w:tab w:val="left" w:pos="9360"/>
        </w:tabs>
        <w:outlineLvl w:val="0"/>
        <w:rPr>
          <w:rFonts w:ascii="Times New Roman" w:hAnsi="Times New Roman"/>
          <w:b/>
          <w:sz w:val="22"/>
          <w:szCs w:val="22"/>
          <w:u w:val="single"/>
        </w:rPr>
      </w:pPr>
      <w:r w:rsidRPr="00024877">
        <w:rPr>
          <w:rFonts w:ascii="Times New Roman" w:hAnsi="Times New Roman"/>
          <w:b/>
          <w:sz w:val="22"/>
          <w:szCs w:val="22"/>
          <w:u w:val="single"/>
        </w:rPr>
        <w:t>QUESTIONS</w:t>
      </w:r>
    </w:p>
    <w:p w:rsidR="001D25F9" w:rsidRPr="00024877" w14:paraId="6A82FAE6" w14:textId="77777777">
      <w:pPr>
        <w:tabs>
          <w:tab w:val="left" w:pos="9360"/>
        </w:tabs>
        <w:rPr>
          <w:rFonts w:ascii="Times New Roman" w:hAnsi="Times New Roman"/>
          <w:b/>
          <w:sz w:val="22"/>
          <w:szCs w:val="22"/>
          <w:u w:val="single"/>
        </w:rPr>
      </w:pPr>
    </w:p>
    <w:p w:rsidR="00D932B1" w:rsidRPr="00D932B1" w14:paraId="61D24D23" w14:textId="3FA71684">
      <w:pPr>
        <w:tabs>
          <w:tab w:val="left" w:pos="9360"/>
        </w:tabs>
        <w:rPr>
          <w:rFonts w:ascii="Times New Roman" w:hAnsi="Times New Roman"/>
          <w:sz w:val="22"/>
          <w:szCs w:val="22"/>
        </w:rPr>
      </w:pPr>
      <w:r w:rsidRPr="00024877">
        <w:rPr>
          <w:rFonts w:ascii="Times New Roman" w:hAnsi="Times New Roman"/>
          <w:sz w:val="22"/>
          <w:szCs w:val="22"/>
        </w:rPr>
        <w:t xml:space="preserve">For technical assistance with the new CORES payment module, please submit a help request through </w:t>
      </w:r>
      <w:hyperlink r:id="rId14" w:history="1">
        <w:r w:rsidRPr="00024877">
          <w:rPr>
            <w:rStyle w:val="Hyperlink"/>
            <w:rFonts w:ascii="Times New Roman" w:hAnsi="Times New Roman"/>
            <w:sz w:val="22"/>
            <w:szCs w:val="22"/>
          </w:rPr>
          <w:t>https://www.fcc.gov/available-support-services</w:t>
        </w:r>
      </w:hyperlink>
      <w:r w:rsidRPr="00024877">
        <w:rPr>
          <w:rFonts w:ascii="Times New Roman" w:hAnsi="Times New Roman"/>
          <w:sz w:val="22"/>
          <w:szCs w:val="22"/>
        </w:rPr>
        <w:t xml:space="preserve">, or </w:t>
      </w:r>
      <w:r w:rsidRPr="00024877">
        <w:rPr>
          <w:rStyle w:val="text-black-small"/>
          <w:rFonts w:ascii="Times New Roman" w:hAnsi="Times New Roman"/>
          <w:sz w:val="22"/>
          <w:szCs w:val="22"/>
        </w:rPr>
        <w:t>call 877-480-3201, or send an email to</w:t>
      </w:r>
      <w:r w:rsidRPr="00024877">
        <w:rPr>
          <w:rFonts w:ascii="Times New Roman" w:hAnsi="Times New Roman"/>
          <w:sz w:val="22"/>
          <w:szCs w:val="22"/>
        </w:rPr>
        <w:t xml:space="preserve"> </w:t>
      </w:r>
      <w:hyperlink r:id="rId15" w:history="1">
        <w:r w:rsidRPr="00024877">
          <w:rPr>
            <w:rStyle w:val="Hyperlink"/>
            <w:rFonts w:ascii="Times New Roman" w:hAnsi="Times New Roman"/>
            <w:sz w:val="22"/>
            <w:szCs w:val="22"/>
          </w:rPr>
          <w:t>ARINQUIRIES@fcc.gov</w:t>
        </w:r>
      </w:hyperlink>
      <w:r>
        <w:rPr>
          <w:rStyle w:val="Hyperlink"/>
          <w:rFonts w:ascii="Times New Roman" w:hAnsi="Times New Roman"/>
          <w:sz w:val="22"/>
          <w:szCs w:val="22"/>
        </w:rPr>
        <w:t>.</w:t>
      </w:r>
    </w:p>
    <w:p w:rsidR="009C3C43" w14:paraId="5B530482" w14:textId="77777777">
      <w:pPr>
        <w:tabs>
          <w:tab w:val="left" w:pos="-720"/>
        </w:tabs>
        <w:suppressAutoHyphens/>
        <w:jc w:val="both"/>
        <w:rPr>
          <w:rFonts w:ascii="Times New Roman" w:hAnsi="Times New Roman"/>
          <w:b/>
          <w:sz w:val="36"/>
        </w:rPr>
      </w:pPr>
    </w:p>
    <w:p w:rsidR="00EB2C4F" w14:paraId="4967F2D6" w14:textId="1C50FA69">
      <w:pPr>
        <w:widowControl/>
        <w:rPr>
          <w:rFonts w:ascii="Times New Roman" w:hAnsi="Times New Roman"/>
          <w:b/>
          <w:sz w:val="36"/>
        </w:rPr>
      </w:pPr>
      <w:r>
        <w:rPr>
          <w:rFonts w:ascii="Times New Roman" w:hAnsi="Times New Roman"/>
          <w:b/>
          <w:sz w:val="36"/>
        </w:rPr>
        <w:br w:type="page"/>
      </w:r>
    </w:p>
    <w:p w:rsidR="001D25F9" w14:paraId="1AE0D462" w14:textId="33DBD37C">
      <w:pPr>
        <w:tabs>
          <w:tab w:val="left" w:pos="-720"/>
        </w:tabs>
        <w:suppressAutoHyphens/>
        <w:jc w:val="both"/>
        <w:rPr>
          <w:rFonts w:ascii="Times New Roman" w:hAnsi="Times New Roman"/>
        </w:rPr>
      </w:pPr>
      <w:r>
        <w:rPr>
          <w:rFonts w:ascii="Times New Roman" w:hAnsi="Times New Roman"/>
          <w:b/>
          <w:sz w:val="36"/>
        </w:rPr>
        <w:t>PART B:  SECTION 8 FEES</w:t>
      </w:r>
    </w:p>
    <w:tbl>
      <w:tblPr>
        <w:tblW w:w="0" w:type="auto"/>
        <w:tblInd w:w="120" w:type="dxa"/>
        <w:tblLayout w:type="fixed"/>
        <w:tblCellMar>
          <w:left w:w="120" w:type="dxa"/>
          <w:right w:w="120" w:type="dxa"/>
        </w:tblCellMar>
        <w:tblLook w:val="0000"/>
      </w:tblPr>
      <w:tblGrid>
        <w:gridCol w:w="10080"/>
      </w:tblGrid>
      <w:tr w14:paraId="2E3D554C" w14:textId="77777777">
        <w:tblPrEx>
          <w:tblW w:w="0" w:type="auto"/>
          <w:tblInd w:w="120" w:type="dxa"/>
          <w:tblLayout w:type="fixed"/>
          <w:tblCellMar>
            <w:left w:w="120" w:type="dxa"/>
            <w:right w:w="120" w:type="dxa"/>
          </w:tblCellMar>
          <w:tblLook w:val="0000"/>
        </w:tblPrEx>
        <w:tc>
          <w:tcPr>
            <w:tcW w:w="10080" w:type="dxa"/>
            <w:tcBorders>
              <w:top w:val="double" w:sz="7" w:space="0" w:color="auto"/>
              <w:left w:val="double" w:sz="7" w:space="0" w:color="auto"/>
              <w:bottom w:val="double" w:sz="7" w:space="0" w:color="auto"/>
              <w:right w:val="double" w:sz="7" w:space="0" w:color="auto"/>
            </w:tcBorders>
          </w:tcPr>
          <w:p w:rsidR="001D25F9" w14:paraId="3E406F52" w14:textId="77777777">
            <w:pPr>
              <w:tabs>
                <w:tab w:val="left" w:pos="-720"/>
              </w:tabs>
              <w:suppressAutoHyphens/>
              <w:spacing w:before="90"/>
              <w:rPr>
                <w:rFonts w:ascii="Times New Roman" w:hAnsi="Times New Roman"/>
              </w:rPr>
            </w:pP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1D25F9" w14:paraId="48FB6DB6" w14:textId="68D8CB67">
            <w:pPr>
              <w:tabs>
                <w:tab w:val="left" w:pos="-720"/>
              </w:tabs>
              <w:suppressAutoHyphens/>
              <w:rPr>
                <w:rFonts w:ascii="Times New Roman" w:hAnsi="Times New Roman"/>
                <w:b/>
                <w:sz w:val="28"/>
              </w:rPr>
            </w:pPr>
            <w:r>
              <w:rPr>
                <w:rFonts w:ascii="Times New Roman" w:hAnsi="Times New Roman"/>
                <w:b/>
                <w:sz w:val="28"/>
              </w:rPr>
              <w:t>I.     WIRELINE COMPETITION BUREAUSERVICES</w:t>
            </w:r>
          </w:p>
          <w:p w:rsidR="001D25F9" w14:paraId="70ACBF8C" w14:textId="77777777">
            <w:pPr>
              <w:tabs>
                <w:tab w:val="left" w:pos="-720"/>
              </w:tabs>
              <w:suppressAutoHyphens/>
              <w:spacing w:after="54"/>
              <w:rPr>
                <w:rFonts w:ascii="Times New Roman" w:hAnsi="Times New Roman"/>
                <w:sz w:val="28"/>
              </w:rPr>
            </w:pPr>
          </w:p>
        </w:tc>
      </w:tr>
    </w:tbl>
    <w:p w:rsidR="001D25F9" w14:paraId="01FE0CC5" w14:textId="77777777">
      <w:pPr>
        <w:tabs>
          <w:tab w:val="left" w:pos="-720"/>
        </w:tabs>
        <w:suppressAutoHyphens/>
        <w:jc w:val="both"/>
        <w:rPr>
          <w:rFonts w:ascii="Times New Roman" w:hAnsi="Times New Roman"/>
          <w:sz w:val="28"/>
        </w:rPr>
      </w:pPr>
    </w:p>
    <w:p w:rsidR="001D25F9" w14:paraId="0A3C91F9" w14:textId="77777777">
      <w:pPr>
        <w:tabs>
          <w:tab w:val="left" w:pos="-720"/>
        </w:tabs>
        <w:suppressAutoHyphens/>
        <w:rPr>
          <w:rFonts w:ascii="Times New Roman" w:hAnsi="Times New Roman"/>
        </w:rPr>
      </w:pPr>
    </w:p>
    <w:p w:rsidR="001D25F9" w14:paraId="50B8BDF9" w14:textId="77777777">
      <w:pPr>
        <w:tabs>
          <w:tab w:val="left" w:pos="-720"/>
        </w:tabs>
        <w:suppressAutoHyphens/>
        <w:rPr>
          <w:rFonts w:ascii="Times New Roman" w:hAnsi="Times New Roman"/>
          <w:sz w:val="16"/>
        </w:rPr>
      </w:pPr>
      <w:r>
        <w:rPr>
          <w:rFonts w:ascii="Times New Roman" w:hAnsi="Times New Roman"/>
          <w:sz w:val="16"/>
        </w:rPr>
        <w:t>THE FEDERAL COMMUNICATIONS COMMISSION (FCC) REGULATES INTERSTATE AND  INTERNATIONAL COMMUNICATIONS BY RADIO, TELEVISION , WIRELINE, WIRELESS, SATELLITE AND CABLE.  THE COMMUNICATIONS ACT REQUIRES COMMON CARRIERS TO FURNISH THEIR SERVICES ON REQUEST AND AT JUST, REASONABLE AND NON-DISCRIMINATORY RATES.  THE FCC IS AUTHORIZED TO PROMOTE THE PUBLIC INTEREST IN THESE CHARGES AND PRACTICES OF COMMON CARRIERS BY TITLES I THROUGH III OF THE ACT.  IT DOES SO THROUGH TARIFF REVIEW AND PRESCRIPTIONS, FACILITY AUTHORIZATIONS, ACCOUNTING RULES, INVESTIGATIONS AND OTHER PROCEEDINGS.  THE AGENCY ALSO ALLOCATES RADIO SPECTRUM AND ORBITAL SLOTS FOR VARIOUS TYPES OF COMMON CARRIER SERVICES.</w:t>
      </w:r>
    </w:p>
    <w:p w:rsidR="001D25F9" w14:paraId="5A5CD2FC" w14:textId="77777777">
      <w:pPr>
        <w:tabs>
          <w:tab w:val="left" w:pos="-720"/>
        </w:tabs>
        <w:suppressAutoHyphens/>
        <w:rPr>
          <w:rFonts w:ascii="Times New Roman" w:hAnsi="Times New Roman"/>
          <w:sz w:val="16"/>
        </w:rPr>
      </w:pPr>
      <w:r>
        <w:rPr>
          <w:rFonts w:ascii="Times New Roman" w:hAnsi="Times New Roman"/>
          <w:b/>
        </w:rPr>
        <w:tab/>
      </w:r>
      <w:r>
        <w:rPr>
          <w:rFonts w:ascii="Times New Roman" w:hAnsi="Times New Roman"/>
          <w:sz w:val="16"/>
        </w:rPr>
        <w:t xml:space="preserve"> </w:t>
      </w:r>
    </w:p>
    <w:p w:rsidR="001D25F9" w14:paraId="4FBF898A" w14:textId="4CDFDBCB">
      <w:pPr>
        <w:tabs>
          <w:tab w:val="center" w:pos="4680"/>
        </w:tabs>
        <w:suppressAutoHyphens/>
        <w:rPr>
          <w:rFonts w:ascii="Times New Roman" w:hAnsi="Times New Roman"/>
        </w:rPr>
      </w:pPr>
      <w:r>
        <w:rPr>
          <w:rFonts w:ascii="Times New Roman" w:hAnsi="Times New Roman"/>
          <w:b/>
        </w:rPr>
        <w:tab/>
      </w:r>
      <w:bookmarkStart w:id="6" w:name="_Hlk89869387"/>
      <w:r>
        <w:rPr>
          <w:rFonts w:ascii="Times New Roman" w:hAnsi="Times New Roman"/>
          <w:b/>
        </w:rPr>
        <w:t>SECTION 214 APPLICATIONS</w:t>
      </w:r>
      <w:r w:rsidR="00966B48">
        <w:rPr>
          <w:rFonts w:ascii="Times New Roman" w:hAnsi="Times New Roman"/>
          <w:b/>
        </w:rPr>
        <w:t xml:space="preserve"> AND VOIP NUMBERING APPLICATIONS</w:t>
      </w:r>
    </w:p>
    <w:bookmarkEnd w:id="6"/>
    <w:p w:rsidR="001D25F9" w14:paraId="020C4D47" w14:textId="77777777">
      <w:pPr>
        <w:tabs>
          <w:tab w:val="left" w:pos="-720"/>
        </w:tabs>
        <w:suppressAutoHyphens/>
        <w:rPr>
          <w:rFonts w:ascii="Times New Roman" w:hAnsi="Times New Roman"/>
        </w:rPr>
      </w:pPr>
    </w:p>
    <w:p w:rsidR="001D25F9" w14:paraId="2CFD3D9D" w14:textId="649B7CD3">
      <w:pPr>
        <w:tabs>
          <w:tab w:val="left" w:pos="-720"/>
        </w:tabs>
        <w:suppressAutoHyphens/>
        <w:rPr>
          <w:rFonts w:ascii="Times New Roman" w:hAnsi="Times New Roman"/>
          <w:sz w:val="16"/>
        </w:rPr>
      </w:pPr>
      <w:bookmarkStart w:id="7" w:name="_Hlk89869289"/>
      <w:r>
        <w:rPr>
          <w:rFonts w:ascii="Times New Roman" w:hAnsi="Times New Roman"/>
          <w:sz w:val="16"/>
        </w:rPr>
        <w:t xml:space="preserve">SECTION 214 OF THE COMMUNICATIONS ACT REQUIRES COMMON CARRIERS TO OBTAIN A CERTIFICATE THAT THE PUBLIC CONVENIENCE AND NECESSITY REQUIRE OR WILL REQUIRE CONSTRUCTION, </w:t>
      </w:r>
      <w:r w:rsidRPr="00E303D4">
        <w:rPr>
          <w:rFonts w:ascii="Times New Roman" w:hAnsi="Times New Roman"/>
          <w:sz w:val="16"/>
          <w:szCs w:val="16"/>
        </w:rPr>
        <w:t>ACQUISITION</w:t>
      </w:r>
      <w:r>
        <w:rPr>
          <w:rFonts w:ascii="Times New Roman" w:hAnsi="Times New Roman"/>
          <w:sz w:val="16"/>
          <w:szCs w:val="16"/>
        </w:rPr>
        <w:t>,</w:t>
      </w:r>
      <w:r>
        <w:rPr>
          <w:rFonts w:ascii="Times New Roman" w:hAnsi="Times New Roman"/>
          <w:sz w:val="16"/>
        </w:rPr>
        <w:t xml:space="preserve"> AND/OR OPERATION OF A LINE OF COMMUNICATION, OR THE DISCONTINUANCE, REDUCTION OR IMPAIRMENT OF SERVICE</w:t>
      </w:r>
      <w:r w:rsidR="004D427A">
        <w:rPr>
          <w:rFonts w:ascii="Times New Roman" w:hAnsi="Times New Roman"/>
          <w:sz w:val="16"/>
        </w:rPr>
        <w:t xml:space="preserve">; </w:t>
      </w:r>
      <w:r w:rsidR="00966B48">
        <w:rPr>
          <w:rFonts w:ascii="Times New Roman" w:hAnsi="Times New Roman"/>
          <w:sz w:val="16"/>
        </w:rPr>
        <w:t xml:space="preserve">PURSUANT TO SECTIONS 1,3,4,201-205, </w:t>
      </w:r>
      <w:r w:rsidR="00260990">
        <w:rPr>
          <w:rFonts w:ascii="Times New Roman" w:hAnsi="Times New Roman"/>
          <w:sz w:val="16"/>
        </w:rPr>
        <w:t xml:space="preserve">251, </w:t>
      </w:r>
      <w:r w:rsidR="00966B48">
        <w:rPr>
          <w:rFonts w:ascii="Times New Roman" w:hAnsi="Times New Roman"/>
          <w:sz w:val="16"/>
        </w:rPr>
        <w:t xml:space="preserve">AND 303 OF THE COMMUNICATIONS ACT, AND PART 52 OF THE COMMISSION’S RULES, THE COMISSION HAS ESTABLISHED AN AUTHORIZATION PROCESS TO ENABLE INTERCONNECTED VOIP PROVIDERS TO OBTAIN NORTH AMERICAN NUMBERING PLAN TELPEHONE NUMBERS DIRECTLY FROM NUMBERING ADMINISTRATORS.  </w:t>
      </w:r>
    </w:p>
    <w:bookmarkEnd w:id="7"/>
    <w:p w:rsidR="001D25F9" w14:paraId="0A3178F2" w14:textId="77777777">
      <w:pPr>
        <w:tabs>
          <w:tab w:val="left" w:pos="-720"/>
        </w:tabs>
        <w:suppressAutoHyphens/>
        <w:rPr>
          <w:rFonts w:ascii="Times New Roman" w:hAnsi="Times New Roman"/>
        </w:rPr>
      </w:pPr>
    </w:p>
    <w:p w:rsidR="001D25F9" w14:paraId="26F99C48" w14:textId="77777777">
      <w:pPr>
        <w:tabs>
          <w:tab w:val="center" w:pos="4680"/>
        </w:tabs>
        <w:suppressAutoHyphens/>
        <w:rPr>
          <w:rFonts w:ascii="Times New Roman" w:hAnsi="Times New Roman"/>
        </w:rPr>
      </w:pPr>
      <w:r>
        <w:rPr>
          <w:rFonts w:ascii="Times New Roman" w:hAnsi="Times New Roman"/>
          <w:b/>
        </w:rPr>
        <w:tab/>
        <w:t>TARIFF FILINGS</w:t>
      </w:r>
    </w:p>
    <w:p w:rsidR="001D25F9" w14:paraId="50ED2AC1" w14:textId="77777777">
      <w:pPr>
        <w:tabs>
          <w:tab w:val="left" w:pos="-720"/>
        </w:tabs>
        <w:suppressAutoHyphens/>
        <w:rPr>
          <w:rFonts w:ascii="Times New Roman" w:hAnsi="Times New Roman"/>
        </w:rPr>
      </w:pPr>
    </w:p>
    <w:p w:rsidR="001D25F9" w:rsidRPr="00E303D4" w14:paraId="358E1B96" w14:textId="77777777">
      <w:pPr>
        <w:tabs>
          <w:tab w:val="left" w:pos="-720"/>
        </w:tabs>
        <w:suppressAutoHyphens/>
        <w:rPr>
          <w:rFonts w:ascii="Times New Roman" w:hAnsi="Times New Roman"/>
          <w:sz w:val="16"/>
        </w:rPr>
      </w:pPr>
      <w:r>
        <w:rPr>
          <w:rFonts w:ascii="Times New Roman" w:hAnsi="Times New Roman"/>
          <w:sz w:val="16"/>
        </w:rPr>
        <w:t xml:space="preserve">SECTION 201 OF THE COMMUNICATIONS ACT DIRECTS THE COMMISSION TO DETERMINE WHETHER THE CHARGES AND PRACTICES OF COMMON CARRIERS ARE JUST AND REASONABLE.  AS PART OF THIS PROCESS, CERTAIN CARRIERS ARE REQUIRED </w:t>
      </w:r>
      <w:r w:rsidRPr="00E303D4">
        <w:rPr>
          <w:rFonts w:ascii="Times New Roman" w:hAnsi="Times New Roman"/>
          <w:sz w:val="16"/>
        </w:rPr>
        <w:t>OR PERMITTED</w:t>
      </w:r>
      <w:r>
        <w:rPr>
          <w:rFonts w:ascii="Times New Roman" w:hAnsi="Times New Roman"/>
          <w:sz w:val="16"/>
        </w:rPr>
        <w:t xml:space="preserve"> TO SUBMIT TO THE COMMISSION AND MAKE AVAILABLE TO THE PUBLIC TARIFFS DETAILING THESE CHARGES AND PRACTICES.  THESE TARIFFS CONTAIN SUCH INFORMATION AND ARE FORMATTED IN A MANNER DETERMINED BY THE COMMISSION THROUGH REGULATION AND AS SPECIFIED IN </w:t>
      </w:r>
      <w:r w:rsidRPr="00E303D4">
        <w:rPr>
          <w:rFonts w:ascii="Times New Roman" w:hAnsi="Times New Roman"/>
          <w:sz w:val="16"/>
        </w:rPr>
        <w:t>APPLICABLE COMMISSION</w:t>
      </w:r>
      <w:r>
        <w:rPr>
          <w:rFonts w:ascii="Times New Roman" w:hAnsi="Times New Roman"/>
          <w:sz w:val="16"/>
        </w:rPr>
        <w:t xml:space="preserve"> RULES.  SPECIAL PERMISSION APPLICATIONS CONTAIN REQUESTS FOR A WAIVER OF ANY PORTION OF </w:t>
      </w:r>
      <w:r w:rsidRPr="00E303D4">
        <w:rPr>
          <w:rFonts w:ascii="Times New Roman" w:hAnsi="Times New Roman"/>
          <w:sz w:val="16"/>
        </w:rPr>
        <w:t>THE TARIFFING RULES (e.g., PARTS 61, 64, 69).</w:t>
      </w:r>
    </w:p>
    <w:p w:rsidR="001D25F9" w14:paraId="27C50B6E" w14:textId="77777777">
      <w:pPr>
        <w:tabs>
          <w:tab w:val="left" w:pos="-720"/>
        </w:tabs>
        <w:suppressAutoHyphens/>
        <w:rPr>
          <w:rFonts w:ascii="Times New Roman" w:hAnsi="Times New Roman"/>
        </w:rPr>
      </w:pPr>
    </w:p>
    <w:p w:rsidR="001D25F9" w14:paraId="4D544ECE" w14:textId="77777777">
      <w:pPr>
        <w:tabs>
          <w:tab w:val="center" w:pos="4680"/>
        </w:tabs>
        <w:suppressAutoHyphens/>
        <w:rPr>
          <w:rFonts w:ascii="Times New Roman" w:hAnsi="Times New Roman"/>
        </w:rPr>
      </w:pPr>
      <w:r>
        <w:rPr>
          <w:rFonts w:ascii="Times New Roman" w:hAnsi="Times New Roman"/>
          <w:b/>
        </w:rPr>
        <w:tab/>
        <w:t>ACCOUNTING</w:t>
      </w:r>
    </w:p>
    <w:p w:rsidR="001D25F9" w14:paraId="3660187E" w14:textId="77777777">
      <w:pPr>
        <w:tabs>
          <w:tab w:val="left" w:pos="-720"/>
        </w:tabs>
        <w:suppressAutoHyphens/>
        <w:rPr>
          <w:rFonts w:ascii="Times New Roman" w:hAnsi="Times New Roman"/>
        </w:rPr>
      </w:pPr>
    </w:p>
    <w:p w:rsidR="001D25F9" w14:paraId="1F986395" w14:textId="77777777">
      <w:pPr>
        <w:tabs>
          <w:tab w:val="left" w:pos="-720"/>
        </w:tabs>
        <w:suppressAutoHyphens/>
        <w:rPr>
          <w:rFonts w:ascii="Times New Roman" w:hAnsi="Times New Roman"/>
          <w:sz w:val="16"/>
        </w:rPr>
      </w:pPr>
      <w:r>
        <w:rPr>
          <w:rFonts w:ascii="Times New Roman" w:hAnsi="Times New Roman"/>
          <w:sz w:val="16"/>
        </w:rPr>
        <w:t>THE COMMISSION IS CHARGED WITH RECOMMENDING ANNUAL DEPRECIATION RATES APPLICABLE TO ALL CLASSES OF TELECOMMUNICATIONS PLANT OF DOMESTIC AND OVERSEAS COMMON CARRIERS.  VARIOUS FINANCIAL FILINGS ARE REQUIRED OF CARRIERS SO THAT THE COMMISSION CAN MONITOR COMPLIANCE WITH ITS RULES AND ENSURE THAT THE PUBLIC PAYS JUST AND REASONABLE RATES FOR REGULATED TELECOMMUNICATIONS SERVICES.</w:t>
      </w:r>
    </w:p>
    <w:p w:rsidR="001D25F9" w14:paraId="3430FB62" w14:textId="77777777">
      <w:pPr>
        <w:tabs>
          <w:tab w:val="left" w:pos="-720"/>
          <w:tab w:val="left" w:pos="9360"/>
        </w:tabs>
        <w:suppressAutoHyphens/>
        <w:jc w:val="both"/>
        <w:rPr>
          <w:rFonts w:ascii="Times New Roman" w:hAnsi="Times New Roman"/>
          <w:sz w:val="22"/>
          <w:szCs w:val="22"/>
        </w:rPr>
      </w:pPr>
    </w:p>
    <w:p w:rsidR="001D25F9" w:rsidRPr="00EB2C4F" w:rsidP="00024877" w14:paraId="5628B78A" w14:textId="60694162">
      <w:pPr>
        <w:tabs>
          <w:tab w:val="left" w:pos="-720"/>
          <w:tab w:val="left" w:pos="9360"/>
        </w:tabs>
        <w:suppressAutoHyphens/>
        <w:jc w:val="center"/>
        <w:rPr>
          <w:rFonts w:ascii="Times New Roman" w:hAnsi="Times New Roman"/>
          <w:b/>
          <w:bCs/>
          <w:szCs w:val="24"/>
        </w:rPr>
      </w:pPr>
      <w:r w:rsidRPr="00EB2C4F">
        <w:rPr>
          <w:rFonts w:ascii="Times New Roman" w:hAnsi="Times New Roman"/>
          <w:b/>
          <w:bCs/>
          <w:szCs w:val="24"/>
        </w:rPr>
        <w:t>UNIVERSAL SERVICE FUND AUCTIONS</w:t>
      </w:r>
    </w:p>
    <w:p w:rsidR="00D40260" w:rsidRPr="00901133" w:rsidP="00D40260" w14:paraId="7EA05B72" w14:textId="56971CEF">
      <w:pPr>
        <w:tabs>
          <w:tab w:val="left" w:pos="-720"/>
        </w:tabs>
        <w:suppressAutoHyphens/>
        <w:rPr>
          <w:rFonts w:ascii="Times New Roman" w:hAnsi="Times New Roman"/>
          <w:bCs/>
          <w:sz w:val="16"/>
          <w:szCs w:val="16"/>
        </w:rPr>
      </w:pPr>
      <w:r w:rsidRPr="00024877">
        <w:rPr>
          <w:rFonts w:ascii="Times New Roman" w:hAnsi="Times New Roman"/>
          <w:bCs/>
          <w:sz w:val="16"/>
          <w:szCs w:val="16"/>
        </w:rPr>
        <w:t>PURSUANT TO AUTHORITY IN SECTIONS 4, 214, 254, 303, 403, THE COMMISSION HAS ESTABLISHED AUCTION PROCESSES TO AWARD UNIVERSAL SERVICE SUPPORT.</w:t>
      </w:r>
      <w:r w:rsidRPr="00024877" w:rsidR="0095794F">
        <w:rPr>
          <w:rFonts w:ascii="Times New Roman" w:hAnsi="Times New Roman"/>
          <w:bCs/>
          <w:sz w:val="16"/>
          <w:szCs w:val="16"/>
        </w:rPr>
        <w:br w:type="page"/>
      </w:r>
      <w:r w:rsidRPr="00445CB9" w:rsidR="0095794F">
        <w:rPr>
          <w:rFonts w:ascii="Times New Roman" w:hAnsi="Times New Roman"/>
          <w:bCs/>
          <w:sz w:val="16"/>
          <w:szCs w:val="16"/>
        </w:rPr>
        <w:t xml:space="preserve"> </w:t>
      </w:r>
    </w:p>
    <w:tbl>
      <w:tblPr>
        <w:tblW w:w="0" w:type="auto"/>
        <w:tblInd w:w="120" w:type="dxa"/>
        <w:tblLayout w:type="fixed"/>
        <w:tblCellMar>
          <w:left w:w="120" w:type="dxa"/>
          <w:right w:w="120" w:type="dxa"/>
        </w:tblCellMar>
        <w:tblLook w:val="0000"/>
      </w:tblPr>
      <w:tblGrid>
        <w:gridCol w:w="10080"/>
      </w:tblGrid>
      <w:tr w14:paraId="1FCAF8A2" w14:textId="77777777" w:rsidTr="00E25906">
        <w:tblPrEx>
          <w:tblW w:w="0" w:type="auto"/>
          <w:tblInd w:w="120" w:type="dxa"/>
          <w:tblLayout w:type="fixed"/>
          <w:tblCellMar>
            <w:left w:w="120" w:type="dxa"/>
            <w:right w:w="120" w:type="dxa"/>
          </w:tblCellMar>
          <w:tblLook w:val="0000"/>
        </w:tblPrEx>
        <w:tc>
          <w:tcPr>
            <w:tcW w:w="10080" w:type="dxa"/>
            <w:tcBorders>
              <w:top w:val="double" w:sz="7" w:space="0" w:color="auto"/>
              <w:left w:val="double" w:sz="7" w:space="0" w:color="auto"/>
              <w:bottom w:val="double" w:sz="7" w:space="0" w:color="auto"/>
              <w:right w:val="double" w:sz="7" w:space="0" w:color="auto"/>
            </w:tcBorders>
          </w:tcPr>
          <w:p w:rsidR="00D40260" w:rsidP="00E25906" w14:paraId="68E12164" w14:textId="77777777">
            <w:pPr>
              <w:tabs>
                <w:tab w:val="left" w:pos="-720"/>
              </w:tabs>
              <w:suppressAutoHyphens/>
              <w:spacing w:before="90" w:after="54"/>
              <w:jc w:val="center"/>
              <w:rPr>
                <w:rFonts w:ascii="Times New Roman" w:hAnsi="Times New Roman"/>
              </w:rPr>
            </w:pPr>
            <w:r>
              <w:rPr>
                <w:rFonts w:ascii="Times New Roman" w:hAnsi="Times New Roman"/>
                <w:sz w:val="16"/>
              </w:rPr>
              <w:fldChar w:fldCharType="begin"/>
            </w:r>
            <w:r>
              <w:rPr>
                <w:rFonts w:ascii="Times New Roman" w:hAnsi="Times New Roman"/>
                <w:sz w:val="16"/>
              </w:rPr>
              <w:instrText xml:space="preserve">PRIVATE </w:instrText>
            </w:r>
            <w:r>
              <w:rPr>
                <w:rFonts w:ascii="Times New Roman" w:hAnsi="Times New Roman"/>
                <w:sz w:val="16"/>
              </w:rPr>
              <w:fldChar w:fldCharType="end"/>
            </w:r>
            <w:r>
              <w:rPr>
                <w:rFonts w:ascii="Times New Roman" w:hAnsi="Times New Roman"/>
                <w:b/>
                <w:sz w:val="28"/>
              </w:rPr>
              <w:t>II.      SECTION 8 FEE SCHEDULE AND FILING GUIDE</w:t>
            </w:r>
          </w:p>
        </w:tc>
      </w:tr>
    </w:tbl>
    <w:p w:rsidR="00D40260" w:rsidP="00D40260" w14:paraId="48B129A1" w14:textId="77777777">
      <w:pPr>
        <w:tabs>
          <w:tab w:val="left" w:pos="-720"/>
        </w:tabs>
        <w:suppressAutoHyphens/>
        <w:ind w:left="-1008" w:right="-1008"/>
        <w:rPr>
          <w:rFonts w:ascii="Arial Narrow" w:hAnsi="Arial Narrow"/>
          <w:sz w:val="17"/>
        </w:rPr>
      </w:pPr>
    </w:p>
    <w:p w:rsidR="00D40260" w:rsidP="00D40260" w14:paraId="4F96E9F7" w14:textId="77777777">
      <w:pPr>
        <w:tabs>
          <w:tab w:val="left" w:pos="-720"/>
        </w:tabs>
        <w:suppressAutoHyphens/>
        <w:ind w:left="-1008" w:right="-1008"/>
        <w:rPr>
          <w:rFonts w:ascii="Arial Narrow" w:hAnsi="Arial Narrow"/>
          <w:sz w:val="17"/>
        </w:rPr>
      </w:pPr>
    </w:p>
    <w:p w:rsidR="00E83438" w:rsidP="00E90800" w14:paraId="0E21EC61" w14:textId="08BE5AAD">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r>
        <w:rPr>
          <w:rFonts w:ascii="Times New Roman" w:hAnsi="Times New Roman"/>
          <w:spacing w:val="-2"/>
          <w:sz w:val="32"/>
          <w:szCs w:val="32"/>
        </w:rPr>
        <w:t xml:space="preserve">                                                </w:t>
      </w:r>
    </w:p>
    <w:p w:rsidR="00221592" w:rsidRPr="0059512C" w:rsidP="00221592" w14:paraId="0896367A" w14:textId="64E0BAA8">
      <w:pPr>
        <w:pStyle w:val="ParaNum"/>
        <w:numPr>
          <w:ilvl w:val="0"/>
          <w:numId w:val="0"/>
        </w:numPr>
        <w:rPr>
          <w:szCs w:val="22"/>
        </w:rPr>
      </w:pPr>
    </w:p>
    <w:tbl>
      <w:tblPr>
        <w:tblStyle w:val="TableGrid"/>
        <w:tblW w:w="9265" w:type="dxa"/>
        <w:tblInd w:w="85" w:type="dxa"/>
        <w:tblLook w:val="04A0"/>
      </w:tblPr>
      <w:tblGrid>
        <w:gridCol w:w="3440"/>
        <w:gridCol w:w="1980"/>
        <w:gridCol w:w="2015"/>
        <w:gridCol w:w="1830"/>
      </w:tblGrid>
      <w:tr w14:paraId="5B10AC51" w14:textId="6297CA06" w:rsidTr="00024877">
        <w:tblPrEx>
          <w:tblW w:w="9265" w:type="dxa"/>
          <w:tblInd w:w="85" w:type="dxa"/>
          <w:tblLook w:val="04A0"/>
        </w:tblPrEx>
        <w:tc>
          <w:tcPr>
            <w:tcW w:w="3440" w:type="dxa"/>
          </w:tcPr>
          <w:p w:rsidR="00221592" w:rsidRPr="0059512C" w:rsidP="00D07AC4" w14:paraId="05B4AA0F" w14:textId="77777777">
            <w:pPr>
              <w:pStyle w:val="ParaNum"/>
              <w:numPr>
                <w:ilvl w:val="0"/>
                <w:numId w:val="0"/>
              </w:numPr>
              <w:rPr>
                <w:b/>
                <w:szCs w:val="22"/>
              </w:rPr>
            </w:pPr>
            <w:bookmarkStart w:id="8" w:name="_Hlk89867864"/>
            <w:r w:rsidRPr="0059512C">
              <w:rPr>
                <w:b/>
                <w:szCs w:val="22"/>
              </w:rPr>
              <w:t>Application</w:t>
            </w:r>
          </w:p>
        </w:tc>
        <w:tc>
          <w:tcPr>
            <w:tcW w:w="1980" w:type="dxa"/>
          </w:tcPr>
          <w:p w:rsidR="00221592" w:rsidP="00D07AC4" w14:paraId="0BA1D5BC" w14:textId="212203AA">
            <w:pPr>
              <w:pStyle w:val="ParaNum"/>
              <w:numPr>
                <w:ilvl w:val="0"/>
                <w:numId w:val="0"/>
              </w:numPr>
              <w:jc w:val="center"/>
              <w:rPr>
                <w:b/>
                <w:szCs w:val="22"/>
              </w:rPr>
            </w:pPr>
            <w:r>
              <w:rPr>
                <w:b/>
                <w:szCs w:val="22"/>
              </w:rPr>
              <w:t>FORMS#</w:t>
            </w:r>
          </w:p>
        </w:tc>
        <w:tc>
          <w:tcPr>
            <w:tcW w:w="2015" w:type="dxa"/>
          </w:tcPr>
          <w:p w:rsidR="00221592" w:rsidRPr="0059512C" w:rsidP="00D07AC4" w14:paraId="7EECBCB7" w14:textId="0FA2EB11">
            <w:pPr>
              <w:pStyle w:val="ParaNum"/>
              <w:numPr>
                <w:ilvl w:val="0"/>
                <w:numId w:val="0"/>
              </w:numPr>
              <w:jc w:val="center"/>
              <w:rPr>
                <w:b/>
                <w:szCs w:val="22"/>
              </w:rPr>
            </w:pPr>
            <w:r>
              <w:rPr>
                <w:b/>
                <w:szCs w:val="22"/>
              </w:rPr>
              <w:t>FEE AMOUNT</w:t>
            </w:r>
          </w:p>
        </w:tc>
        <w:tc>
          <w:tcPr>
            <w:tcW w:w="1830" w:type="dxa"/>
          </w:tcPr>
          <w:p w:rsidR="00221592" w:rsidP="00D07AC4" w14:paraId="742E28E9" w14:textId="646922FE">
            <w:pPr>
              <w:pStyle w:val="ParaNum"/>
              <w:numPr>
                <w:ilvl w:val="0"/>
                <w:numId w:val="0"/>
              </w:numPr>
              <w:jc w:val="center"/>
              <w:rPr>
                <w:b/>
                <w:szCs w:val="22"/>
              </w:rPr>
            </w:pPr>
            <w:r>
              <w:rPr>
                <w:b/>
                <w:szCs w:val="22"/>
              </w:rPr>
              <w:t>PAYMENT TYPE CODE</w:t>
            </w:r>
          </w:p>
        </w:tc>
      </w:tr>
      <w:tr w14:paraId="5663B158" w14:textId="29E45F98" w:rsidTr="00024877">
        <w:tblPrEx>
          <w:tblW w:w="9265" w:type="dxa"/>
          <w:tblInd w:w="85" w:type="dxa"/>
          <w:tblLook w:val="04A0"/>
        </w:tblPrEx>
        <w:tc>
          <w:tcPr>
            <w:tcW w:w="3440" w:type="dxa"/>
          </w:tcPr>
          <w:p w:rsidR="00221592" w:rsidRPr="0059512C" w:rsidP="00D07AC4" w14:paraId="29AF98BD" w14:textId="77777777">
            <w:pPr>
              <w:pStyle w:val="ParaNum"/>
              <w:numPr>
                <w:ilvl w:val="0"/>
                <w:numId w:val="0"/>
              </w:numPr>
              <w:rPr>
                <w:szCs w:val="22"/>
              </w:rPr>
            </w:pPr>
            <w:r w:rsidRPr="0059512C">
              <w:rPr>
                <w:szCs w:val="22"/>
              </w:rPr>
              <w:t>Domestic 214 Applications-Part 63 Transfers of Control</w:t>
            </w:r>
          </w:p>
        </w:tc>
        <w:tc>
          <w:tcPr>
            <w:tcW w:w="1980" w:type="dxa"/>
          </w:tcPr>
          <w:p w:rsidR="00221592" w:rsidRPr="0059512C" w:rsidP="00D07AC4" w14:paraId="11F5D787" w14:textId="192307F3">
            <w:pPr>
              <w:pStyle w:val="ParaNum"/>
              <w:numPr>
                <w:ilvl w:val="0"/>
                <w:numId w:val="0"/>
              </w:numPr>
              <w:jc w:val="center"/>
              <w:rPr>
                <w:szCs w:val="22"/>
              </w:rPr>
            </w:pPr>
            <w:r>
              <w:rPr>
                <w:szCs w:val="22"/>
              </w:rPr>
              <w:t>Corres. &amp; 159</w:t>
            </w:r>
          </w:p>
        </w:tc>
        <w:tc>
          <w:tcPr>
            <w:tcW w:w="2015" w:type="dxa"/>
          </w:tcPr>
          <w:p w:rsidR="00221592" w:rsidRPr="0059512C" w:rsidP="00D07AC4" w14:paraId="5083410F" w14:textId="5A91444B">
            <w:pPr>
              <w:pStyle w:val="ParaNum"/>
              <w:numPr>
                <w:ilvl w:val="0"/>
                <w:numId w:val="0"/>
              </w:numPr>
              <w:jc w:val="center"/>
              <w:rPr>
                <w:szCs w:val="22"/>
              </w:rPr>
            </w:pPr>
            <w:r w:rsidRPr="0059512C">
              <w:rPr>
                <w:szCs w:val="22"/>
              </w:rPr>
              <w:t>$</w:t>
            </w:r>
            <w:r>
              <w:rPr>
                <w:szCs w:val="22"/>
              </w:rPr>
              <w:t>1,230</w:t>
            </w:r>
          </w:p>
        </w:tc>
        <w:tc>
          <w:tcPr>
            <w:tcW w:w="1830" w:type="dxa"/>
          </w:tcPr>
          <w:p w:rsidR="00221592" w:rsidRPr="0059512C" w:rsidP="00D07AC4" w14:paraId="393401E4" w14:textId="34C3609C">
            <w:pPr>
              <w:pStyle w:val="ParaNum"/>
              <w:numPr>
                <w:ilvl w:val="0"/>
                <w:numId w:val="0"/>
              </w:numPr>
              <w:jc w:val="center"/>
              <w:rPr>
                <w:szCs w:val="22"/>
              </w:rPr>
            </w:pPr>
            <w:r>
              <w:rPr>
                <w:szCs w:val="22"/>
              </w:rPr>
              <w:t>CDU</w:t>
            </w:r>
          </w:p>
        </w:tc>
      </w:tr>
      <w:tr w14:paraId="49DAEDAA" w14:textId="1B396019" w:rsidTr="00024877">
        <w:tblPrEx>
          <w:tblW w:w="9265" w:type="dxa"/>
          <w:tblInd w:w="85" w:type="dxa"/>
          <w:tblLook w:val="04A0"/>
        </w:tblPrEx>
        <w:tc>
          <w:tcPr>
            <w:tcW w:w="3440" w:type="dxa"/>
          </w:tcPr>
          <w:p w:rsidR="00221592" w:rsidRPr="0059512C" w:rsidP="00D07AC4" w14:paraId="49974F17" w14:textId="77777777">
            <w:pPr>
              <w:pStyle w:val="ParaNum"/>
              <w:numPr>
                <w:ilvl w:val="0"/>
                <w:numId w:val="0"/>
              </w:numPr>
              <w:rPr>
                <w:szCs w:val="22"/>
              </w:rPr>
            </w:pPr>
            <w:r w:rsidRPr="0059512C">
              <w:rPr>
                <w:szCs w:val="22"/>
              </w:rPr>
              <w:t>Domestic 214 Applications-Special Temporary Authority</w:t>
            </w:r>
          </w:p>
        </w:tc>
        <w:tc>
          <w:tcPr>
            <w:tcW w:w="1980" w:type="dxa"/>
          </w:tcPr>
          <w:p w:rsidR="00221592" w:rsidRPr="0059512C" w:rsidP="00D07AC4" w14:paraId="5BD2E8FF" w14:textId="1C1A3879">
            <w:pPr>
              <w:pStyle w:val="ParaNum"/>
              <w:numPr>
                <w:ilvl w:val="0"/>
                <w:numId w:val="0"/>
              </w:numPr>
              <w:jc w:val="center"/>
              <w:rPr>
                <w:szCs w:val="22"/>
              </w:rPr>
            </w:pPr>
            <w:r>
              <w:rPr>
                <w:szCs w:val="22"/>
              </w:rPr>
              <w:t>Corres. &amp; 159</w:t>
            </w:r>
          </w:p>
        </w:tc>
        <w:tc>
          <w:tcPr>
            <w:tcW w:w="2015" w:type="dxa"/>
          </w:tcPr>
          <w:p w:rsidR="00221592" w:rsidRPr="0059512C" w:rsidP="00D07AC4" w14:paraId="4CC20231" w14:textId="1F5A0733">
            <w:pPr>
              <w:pStyle w:val="ParaNum"/>
              <w:numPr>
                <w:ilvl w:val="0"/>
                <w:numId w:val="0"/>
              </w:numPr>
              <w:jc w:val="center"/>
              <w:rPr>
                <w:szCs w:val="22"/>
              </w:rPr>
            </w:pPr>
            <w:r w:rsidRPr="0059512C">
              <w:rPr>
                <w:szCs w:val="22"/>
              </w:rPr>
              <w:t>$</w:t>
            </w:r>
            <w:r>
              <w:rPr>
                <w:szCs w:val="22"/>
              </w:rPr>
              <w:t>675</w:t>
            </w:r>
          </w:p>
        </w:tc>
        <w:tc>
          <w:tcPr>
            <w:tcW w:w="1830" w:type="dxa"/>
          </w:tcPr>
          <w:p w:rsidR="00221592" w:rsidRPr="0059512C" w:rsidP="00D07AC4" w14:paraId="03285183" w14:textId="234BDBBE">
            <w:pPr>
              <w:pStyle w:val="ParaNum"/>
              <w:numPr>
                <w:ilvl w:val="0"/>
                <w:numId w:val="0"/>
              </w:numPr>
              <w:jc w:val="center"/>
              <w:rPr>
                <w:szCs w:val="22"/>
              </w:rPr>
            </w:pPr>
            <w:r>
              <w:rPr>
                <w:szCs w:val="22"/>
              </w:rPr>
              <w:t>CDV</w:t>
            </w:r>
          </w:p>
        </w:tc>
      </w:tr>
    </w:tbl>
    <w:p w:rsidR="00221592" w:rsidRPr="0059512C" w:rsidP="00221592" w14:paraId="6EDC60C1" w14:textId="77777777">
      <w:pPr>
        <w:pStyle w:val="ParaNum"/>
        <w:numPr>
          <w:ilvl w:val="0"/>
          <w:numId w:val="0"/>
        </w:numPr>
        <w:rPr>
          <w:szCs w:val="22"/>
        </w:rPr>
      </w:pPr>
    </w:p>
    <w:tbl>
      <w:tblPr>
        <w:tblStyle w:val="TableGrid"/>
        <w:tblW w:w="9265" w:type="dxa"/>
        <w:tblInd w:w="85" w:type="dxa"/>
        <w:tblLook w:val="04A0"/>
      </w:tblPr>
      <w:tblGrid>
        <w:gridCol w:w="3485"/>
        <w:gridCol w:w="1931"/>
        <w:gridCol w:w="2091"/>
        <w:gridCol w:w="1758"/>
      </w:tblGrid>
      <w:tr w14:paraId="5A54628D" w14:textId="2D52C0B1" w:rsidTr="00024877">
        <w:tblPrEx>
          <w:tblW w:w="9265" w:type="dxa"/>
          <w:tblInd w:w="85" w:type="dxa"/>
          <w:tblLook w:val="04A0"/>
        </w:tblPrEx>
        <w:tc>
          <w:tcPr>
            <w:tcW w:w="3485" w:type="dxa"/>
          </w:tcPr>
          <w:p w:rsidR="00221592" w:rsidRPr="0059512C" w:rsidP="00D07AC4" w14:paraId="1778CFB1" w14:textId="77777777">
            <w:pPr>
              <w:pStyle w:val="ParaNum"/>
              <w:numPr>
                <w:ilvl w:val="0"/>
                <w:numId w:val="0"/>
              </w:numPr>
              <w:rPr>
                <w:szCs w:val="22"/>
              </w:rPr>
            </w:pPr>
            <w:r w:rsidRPr="0059512C">
              <w:rPr>
                <w:b/>
                <w:szCs w:val="22"/>
              </w:rPr>
              <w:t>Application</w:t>
            </w:r>
          </w:p>
        </w:tc>
        <w:tc>
          <w:tcPr>
            <w:tcW w:w="1931" w:type="dxa"/>
          </w:tcPr>
          <w:p w:rsidR="00221592" w:rsidP="00D07AC4" w14:paraId="05CCD384" w14:textId="3A0146C0">
            <w:pPr>
              <w:pStyle w:val="ParaNum"/>
              <w:numPr>
                <w:ilvl w:val="0"/>
                <w:numId w:val="0"/>
              </w:numPr>
              <w:jc w:val="center"/>
              <w:rPr>
                <w:b/>
                <w:szCs w:val="22"/>
              </w:rPr>
            </w:pPr>
            <w:r>
              <w:rPr>
                <w:b/>
                <w:szCs w:val="22"/>
              </w:rPr>
              <w:t>FORMS#</w:t>
            </w:r>
          </w:p>
        </w:tc>
        <w:tc>
          <w:tcPr>
            <w:tcW w:w="2091" w:type="dxa"/>
          </w:tcPr>
          <w:p w:rsidR="00221592" w:rsidRPr="0059512C" w:rsidP="00D07AC4" w14:paraId="10C46B48" w14:textId="59BC887F">
            <w:pPr>
              <w:pStyle w:val="ParaNum"/>
              <w:numPr>
                <w:ilvl w:val="0"/>
                <w:numId w:val="0"/>
              </w:numPr>
              <w:jc w:val="center"/>
              <w:rPr>
                <w:szCs w:val="22"/>
              </w:rPr>
            </w:pPr>
            <w:r>
              <w:rPr>
                <w:b/>
                <w:szCs w:val="22"/>
              </w:rPr>
              <w:t>FEE AMOUNT</w:t>
            </w:r>
          </w:p>
        </w:tc>
        <w:tc>
          <w:tcPr>
            <w:tcW w:w="1758" w:type="dxa"/>
          </w:tcPr>
          <w:p w:rsidR="00221592" w:rsidP="00D07AC4" w14:paraId="5AB71460" w14:textId="3070672E">
            <w:pPr>
              <w:pStyle w:val="ParaNum"/>
              <w:numPr>
                <w:ilvl w:val="0"/>
                <w:numId w:val="0"/>
              </w:numPr>
              <w:jc w:val="center"/>
              <w:rPr>
                <w:b/>
                <w:szCs w:val="22"/>
              </w:rPr>
            </w:pPr>
            <w:r>
              <w:rPr>
                <w:b/>
                <w:szCs w:val="22"/>
              </w:rPr>
              <w:t>PAYMENT TYPE CODE</w:t>
            </w:r>
          </w:p>
        </w:tc>
      </w:tr>
      <w:tr w14:paraId="78445AC8" w14:textId="3C958B0E" w:rsidTr="00024877">
        <w:tblPrEx>
          <w:tblW w:w="9265" w:type="dxa"/>
          <w:tblInd w:w="85" w:type="dxa"/>
          <w:tblLook w:val="04A0"/>
        </w:tblPrEx>
        <w:tc>
          <w:tcPr>
            <w:tcW w:w="3485" w:type="dxa"/>
          </w:tcPr>
          <w:p w:rsidR="00221592" w:rsidRPr="0059512C" w:rsidP="00D07AC4" w14:paraId="72559A4E" w14:textId="77777777">
            <w:pPr>
              <w:pStyle w:val="ParaNum"/>
              <w:numPr>
                <w:ilvl w:val="0"/>
                <w:numId w:val="0"/>
              </w:numPr>
              <w:rPr>
                <w:szCs w:val="22"/>
              </w:rPr>
            </w:pPr>
            <w:r w:rsidRPr="0059512C">
              <w:rPr>
                <w:szCs w:val="22"/>
              </w:rPr>
              <w:t xml:space="preserve">Domestic 214 Applications-Part 63 Discontinuances  </w:t>
            </w:r>
            <w:r>
              <w:rPr>
                <w:szCs w:val="22"/>
              </w:rPr>
              <w:t>(Non-Standard Review)</w:t>
            </w:r>
            <w:r>
              <w:rPr>
                <w:color w:val="FF0000"/>
              </w:rPr>
              <w:t xml:space="preserve"> </w:t>
            </w:r>
            <w:r w:rsidRPr="0054675B">
              <w:t>(Technology Transition Filings Subject To Section 63.71(f)(2)(i) or Not Subject To Streamlined Automatic Grant, and Filings From Dominant Carriers Subject To 60-Day Automatic Grant)</w:t>
            </w:r>
          </w:p>
        </w:tc>
        <w:tc>
          <w:tcPr>
            <w:tcW w:w="1931" w:type="dxa"/>
          </w:tcPr>
          <w:p w:rsidR="00221592" w:rsidRPr="0059512C" w:rsidP="00D07AC4" w14:paraId="7D4E4A67" w14:textId="2E5C5224">
            <w:pPr>
              <w:pStyle w:val="ParaNum"/>
              <w:numPr>
                <w:ilvl w:val="0"/>
                <w:numId w:val="0"/>
              </w:numPr>
              <w:jc w:val="center"/>
              <w:rPr>
                <w:szCs w:val="22"/>
              </w:rPr>
            </w:pPr>
            <w:r>
              <w:rPr>
                <w:szCs w:val="22"/>
              </w:rPr>
              <w:t>Corres. &amp; 159</w:t>
            </w:r>
          </w:p>
        </w:tc>
        <w:tc>
          <w:tcPr>
            <w:tcW w:w="2091" w:type="dxa"/>
          </w:tcPr>
          <w:p w:rsidR="00221592" w:rsidRPr="0059512C" w:rsidP="00D07AC4" w14:paraId="590D8F6E" w14:textId="1DDB335D">
            <w:pPr>
              <w:pStyle w:val="ParaNum"/>
              <w:numPr>
                <w:ilvl w:val="0"/>
                <w:numId w:val="0"/>
              </w:numPr>
              <w:jc w:val="center"/>
              <w:rPr>
                <w:szCs w:val="22"/>
              </w:rPr>
            </w:pPr>
            <w:r w:rsidRPr="0059512C">
              <w:rPr>
                <w:szCs w:val="22"/>
              </w:rPr>
              <w:t>$1,</w:t>
            </w:r>
            <w:r>
              <w:rPr>
                <w:szCs w:val="22"/>
              </w:rPr>
              <w:t>230</w:t>
            </w:r>
          </w:p>
        </w:tc>
        <w:tc>
          <w:tcPr>
            <w:tcW w:w="1758" w:type="dxa"/>
          </w:tcPr>
          <w:p w:rsidR="00221592" w:rsidRPr="0059512C" w:rsidP="00D07AC4" w14:paraId="50046C4E" w14:textId="5BF4CCAF">
            <w:pPr>
              <w:pStyle w:val="ParaNum"/>
              <w:numPr>
                <w:ilvl w:val="0"/>
                <w:numId w:val="0"/>
              </w:numPr>
              <w:jc w:val="center"/>
              <w:rPr>
                <w:szCs w:val="22"/>
              </w:rPr>
            </w:pPr>
            <w:r>
              <w:rPr>
                <w:szCs w:val="22"/>
              </w:rPr>
              <w:t>CDW</w:t>
            </w:r>
          </w:p>
        </w:tc>
      </w:tr>
      <w:tr w14:paraId="3CEAC016" w14:textId="54BBCC78" w:rsidTr="00024877">
        <w:tblPrEx>
          <w:tblW w:w="9265" w:type="dxa"/>
          <w:tblInd w:w="85" w:type="dxa"/>
          <w:tblLook w:val="04A0"/>
        </w:tblPrEx>
        <w:tc>
          <w:tcPr>
            <w:tcW w:w="3485" w:type="dxa"/>
          </w:tcPr>
          <w:p w:rsidR="00221592" w:rsidRPr="0059512C" w:rsidP="00D07AC4" w14:paraId="715B931B" w14:textId="77777777">
            <w:pPr>
              <w:pStyle w:val="ParaNum"/>
              <w:numPr>
                <w:ilvl w:val="0"/>
                <w:numId w:val="0"/>
              </w:numPr>
              <w:rPr>
                <w:szCs w:val="22"/>
              </w:rPr>
            </w:pPr>
            <w:r w:rsidRPr="0059512C">
              <w:rPr>
                <w:szCs w:val="22"/>
              </w:rPr>
              <w:t>Domestic 214 Applications-Part 63 Discontinuances</w:t>
            </w:r>
            <w:r>
              <w:rPr>
                <w:szCs w:val="22"/>
              </w:rPr>
              <w:t xml:space="preserve"> (Standard Streamlined Review) (All Other Domestic 214 Discontinuance Filings)</w:t>
            </w:r>
          </w:p>
        </w:tc>
        <w:tc>
          <w:tcPr>
            <w:tcW w:w="1931" w:type="dxa"/>
          </w:tcPr>
          <w:p w:rsidR="00221592" w:rsidP="00D07AC4" w14:paraId="1063A5A7" w14:textId="5085C8DB">
            <w:pPr>
              <w:pStyle w:val="ParaNum"/>
              <w:numPr>
                <w:ilvl w:val="0"/>
                <w:numId w:val="0"/>
              </w:numPr>
              <w:jc w:val="center"/>
              <w:rPr>
                <w:szCs w:val="22"/>
              </w:rPr>
            </w:pPr>
            <w:r>
              <w:rPr>
                <w:szCs w:val="22"/>
              </w:rPr>
              <w:t>Corres. &amp; 159</w:t>
            </w:r>
          </w:p>
        </w:tc>
        <w:tc>
          <w:tcPr>
            <w:tcW w:w="2091" w:type="dxa"/>
          </w:tcPr>
          <w:p w:rsidR="00221592" w:rsidRPr="0059512C" w:rsidP="00D07AC4" w14:paraId="612754BD" w14:textId="3F894688">
            <w:pPr>
              <w:pStyle w:val="ParaNum"/>
              <w:numPr>
                <w:ilvl w:val="0"/>
                <w:numId w:val="0"/>
              </w:numPr>
              <w:jc w:val="center"/>
              <w:rPr>
                <w:szCs w:val="22"/>
              </w:rPr>
            </w:pPr>
            <w:r>
              <w:rPr>
                <w:szCs w:val="22"/>
              </w:rPr>
              <w:t>$335</w:t>
            </w:r>
          </w:p>
        </w:tc>
        <w:tc>
          <w:tcPr>
            <w:tcW w:w="1758" w:type="dxa"/>
          </w:tcPr>
          <w:p w:rsidR="00221592" w:rsidP="00D07AC4" w14:paraId="439FF328" w14:textId="24063419">
            <w:pPr>
              <w:pStyle w:val="ParaNum"/>
              <w:numPr>
                <w:ilvl w:val="0"/>
                <w:numId w:val="0"/>
              </w:numPr>
              <w:jc w:val="center"/>
              <w:rPr>
                <w:szCs w:val="22"/>
              </w:rPr>
            </w:pPr>
            <w:r>
              <w:rPr>
                <w:szCs w:val="22"/>
              </w:rPr>
              <w:t>CDX</w:t>
            </w:r>
          </w:p>
        </w:tc>
      </w:tr>
      <w:bookmarkEnd w:id="8"/>
      <w:tr w14:paraId="0827D847" w14:textId="6A401E05" w:rsidTr="00024877">
        <w:tblPrEx>
          <w:tblW w:w="9265" w:type="dxa"/>
          <w:tblInd w:w="85" w:type="dxa"/>
          <w:tblLook w:val="04A0"/>
        </w:tblPrEx>
        <w:tc>
          <w:tcPr>
            <w:tcW w:w="3485" w:type="dxa"/>
          </w:tcPr>
          <w:p w:rsidR="00221592" w:rsidRPr="0059512C" w:rsidP="00D07AC4" w14:paraId="14D7D546" w14:textId="77777777">
            <w:pPr>
              <w:pStyle w:val="ParaNum"/>
              <w:numPr>
                <w:ilvl w:val="0"/>
                <w:numId w:val="0"/>
              </w:numPr>
              <w:rPr>
                <w:szCs w:val="22"/>
              </w:rPr>
            </w:pPr>
            <w:r>
              <w:rPr>
                <w:szCs w:val="22"/>
              </w:rPr>
              <w:t>VoIP Numbering</w:t>
            </w:r>
          </w:p>
        </w:tc>
        <w:tc>
          <w:tcPr>
            <w:tcW w:w="1931" w:type="dxa"/>
          </w:tcPr>
          <w:p w:rsidR="00221592" w:rsidP="00D07AC4" w14:paraId="1BD51797" w14:textId="65DA1752">
            <w:pPr>
              <w:pStyle w:val="ParaNum"/>
              <w:numPr>
                <w:ilvl w:val="0"/>
                <w:numId w:val="0"/>
              </w:numPr>
              <w:jc w:val="center"/>
              <w:rPr>
                <w:szCs w:val="22"/>
              </w:rPr>
            </w:pPr>
            <w:r>
              <w:rPr>
                <w:szCs w:val="22"/>
              </w:rPr>
              <w:t>Corres. &amp; 159</w:t>
            </w:r>
          </w:p>
        </w:tc>
        <w:tc>
          <w:tcPr>
            <w:tcW w:w="2091" w:type="dxa"/>
          </w:tcPr>
          <w:p w:rsidR="00221592" w:rsidP="00D07AC4" w14:paraId="371DAAA2" w14:textId="59D6ADC4">
            <w:pPr>
              <w:pStyle w:val="ParaNum"/>
              <w:numPr>
                <w:ilvl w:val="0"/>
                <w:numId w:val="0"/>
              </w:numPr>
              <w:jc w:val="center"/>
              <w:rPr>
                <w:szCs w:val="22"/>
              </w:rPr>
            </w:pPr>
            <w:r>
              <w:rPr>
                <w:szCs w:val="22"/>
              </w:rPr>
              <w:t>$1,330</w:t>
            </w:r>
          </w:p>
        </w:tc>
        <w:tc>
          <w:tcPr>
            <w:tcW w:w="1758" w:type="dxa"/>
          </w:tcPr>
          <w:p w:rsidR="00221592" w:rsidP="00D07AC4" w14:paraId="38CC9383" w14:textId="06294008">
            <w:pPr>
              <w:pStyle w:val="ParaNum"/>
              <w:numPr>
                <w:ilvl w:val="0"/>
                <w:numId w:val="0"/>
              </w:numPr>
              <w:jc w:val="center"/>
              <w:rPr>
                <w:szCs w:val="22"/>
              </w:rPr>
            </w:pPr>
            <w:r>
              <w:rPr>
                <w:szCs w:val="22"/>
              </w:rPr>
              <w:t>CDY</w:t>
            </w:r>
          </w:p>
        </w:tc>
      </w:tr>
    </w:tbl>
    <w:p w:rsidR="00221592" w:rsidRPr="0059512C" w:rsidP="00221592" w14:paraId="7BA0E3F2" w14:textId="77777777">
      <w:pPr>
        <w:pStyle w:val="ParaNum"/>
        <w:numPr>
          <w:ilvl w:val="0"/>
          <w:numId w:val="0"/>
        </w:numPr>
        <w:rPr>
          <w:szCs w:val="22"/>
        </w:rPr>
      </w:pPr>
    </w:p>
    <w:tbl>
      <w:tblPr>
        <w:tblStyle w:val="TableGrid"/>
        <w:tblW w:w="0" w:type="auto"/>
        <w:tblInd w:w="85" w:type="dxa"/>
        <w:tblLook w:val="04A0"/>
      </w:tblPr>
      <w:tblGrid>
        <w:gridCol w:w="3407"/>
        <w:gridCol w:w="1990"/>
        <w:gridCol w:w="2026"/>
        <w:gridCol w:w="1842"/>
      </w:tblGrid>
      <w:tr w14:paraId="026A67A8" w14:textId="7CBA6915" w:rsidTr="00024877">
        <w:tblPrEx>
          <w:tblW w:w="0" w:type="auto"/>
          <w:tblInd w:w="85" w:type="dxa"/>
          <w:tblLook w:val="04A0"/>
        </w:tblPrEx>
        <w:tc>
          <w:tcPr>
            <w:tcW w:w="3407" w:type="dxa"/>
          </w:tcPr>
          <w:p w:rsidR="004D427A" w:rsidRPr="0059512C" w:rsidP="00D07AC4" w14:paraId="6655B80B" w14:textId="77777777">
            <w:pPr>
              <w:pStyle w:val="ParaNum"/>
              <w:keepNext/>
              <w:widowControl/>
              <w:numPr>
                <w:ilvl w:val="0"/>
                <w:numId w:val="0"/>
              </w:numPr>
              <w:rPr>
                <w:b/>
                <w:szCs w:val="22"/>
              </w:rPr>
            </w:pPr>
            <w:r w:rsidRPr="0059512C">
              <w:rPr>
                <w:b/>
                <w:szCs w:val="22"/>
              </w:rPr>
              <w:t>Application</w:t>
            </w:r>
          </w:p>
        </w:tc>
        <w:tc>
          <w:tcPr>
            <w:tcW w:w="1990" w:type="dxa"/>
          </w:tcPr>
          <w:p w:rsidR="004D427A" w:rsidP="00D07AC4" w14:paraId="52487150" w14:textId="5BA470BA">
            <w:pPr>
              <w:pStyle w:val="ParaNum"/>
              <w:keepNext/>
              <w:widowControl/>
              <w:numPr>
                <w:ilvl w:val="0"/>
                <w:numId w:val="0"/>
              </w:numPr>
              <w:jc w:val="center"/>
              <w:rPr>
                <w:b/>
                <w:szCs w:val="22"/>
              </w:rPr>
            </w:pPr>
            <w:r>
              <w:rPr>
                <w:b/>
                <w:szCs w:val="22"/>
              </w:rPr>
              <w:t>FORMS#</w:t>
            </w:r>
          </w:p>
        </w:tc>
        <w:tc>
          <w:tcPr>
            <w:tcW w:w="2026" w:type="dxa"/>
          </w:tcPr>
          <w:p w:rsidR="004D427A" w:rsidRPr="0059512C" w:rsidP="00D07AC4" w14:paraId="01826507" w14:textId="0F971301">
            <w:pPr>
              <w:pStyle w:val="ParaNum"/>
              <w:keepNext/>
              <w:widowControl/>
              <w:numPr>
                <w:ilvl w:val="0"/>
                <w:numId w:val="0"/>
              </w:numPr>
              <w:jc w:val="center"/>
              <w:rPr>
                <w:b/>
                <w:szCs w:val="22"/>
              </w:rPr>
            </w:pPr>
            <w:r>
              <w:rPr>
                <w:b/>
                <w:szCs w:val="22"/>
              </w:rPr>
              <w:t>FEE AMOUNT</w:t>
            </w:r>
          </w:p>
        </w:tc>
        <w:tc>
          <w:tcPr>
            <w:tcW w:w="1842" w:type="dxa"/>
          </w:tcPr>
          <w:p w:rsidR="004D427A" w:rsidP="00D07AC4" w14:paraId="165E4A89" w14:textId="1CE68433">
            <w:pPr>
              <w:pStyle w:val="ParaNum"/>
              <w:keepNext/>
              <w:widowControl/>
              <w:numPr>
                <w:ilvl w:val="0"/>
                <w:numId w:val="0"/>
              </w:numPr>
              <w:jc w:val="center"/>
              <w:rPr>
                <w:b/>
                <w:szCs w:val="22"/>
              </w:rPr>
            </w:pPr>
            <w:r>
              <w:rPr>
                <w:b/>
                <w:szCs w:val="22"/>
              </w:rPr>
              <w:t>PAYMENT TYPE CODE</w:t>
            </w:r>
          </w:p>
        </w:tc>
      </w:tr>
      <w:tr w14:paraId="53225489" w14:textId="3A5E1FA5" w:rsidTr="00024877">
        <w:tblPrEx>
          <w:tblW w:w="0" w:type="auto"/>
          <w:tblInd w:w="85" w:type="dxa"/>
          <w:tblLook w:val="04A0"/>
        </w:tblPrEx>
        <w:tc>
          <w:tcPr>
            <w:tcW w:w="3407" w:type="dxa"/>
          </w:tcPr>
          <w:p w:rsidR="004D427A" w:rsidRPr="0059512C" w:rsidP="00D07AC4" w14:paraId="47174EA8" w14:textId="77777777">
            <w:pPr>
              <w:pStyle w:val="ParaNum"/>
              <w:numPr>
                <w:ilvl w:val="0"/>
                <w:numId w:val="0"/>
              </w:numPr>
              <w:rPr>
                <w:szCs w:val="22"/>
              </w:rPr>
            </w:pPr>
            <w:r>
              <w:rPr>
                <w:szCs w:val="22"/>
              </w:rPr>
              <w:t xml:space="preserve">Standard </w:t>
            </w:r>
            <w:r w:rsidRPr="0059512C">
              <w:rPr>
                <w:szCs w:val="22"/>
              </w:rPr>
              <w:t>Tariff Filing</w:t>
            </w:r>
          </w:p>
        </w:tc>
        <w:tc>
          <w:tcPr>
            <w:tcW w:w="1990" w:type="dxa"/>
          </w:tcPr>
          <w:p w:rsidR="004D427A" w:rsidRPr="0059512C" w:rsidP="00D07AC4" w14:paraId="0A71ADA2" w14:textId="454E5427">
            <w:pPr>
              <w:pStyle w:val="ParaNum"/>
              <w:numPr>
                <w:ilvl w:val="0"/>
                <w:numId w:val="0"/>
              </w:numPr>
              <w:jc w:val="center"/>
              <w:rPr>
                <w:szCs w:val="22"/>
              </w:rPr>
            </w:pPr>
            <w:r>
              <w:rPr>
                <w:szCs w:val="22"/>
              </w:rPr>
              <w:t>Corres. &amp; 159</w:t>
            </w:r>
          </w:p>
        </w:tc>
        <w:tc>
          <w:tcPr>
            <w:tcW w:w="2026" w:type="dxa"/>
          </w:tcPr>
          <w:p w:rsidR="004D427A" w:rsidRPr="0059512C" w:rsidP="00D07AC4" w14:paraId="643151F7" w14:textId="402FF25D">
            <w:pPr>
              <w:pStyle w:val="ParaNum"/>
              <w:numPr>
                <w:ilvl w:val="0"/>
                <w:numId w:val="0"/>
              </w:numPr>
              <w:jc w:val="center"/>
              <w:rPr>
                <w:szCs w:val="22"/>
              </w:rPr>
            </w:pPr>
            <w:r w:rsidRPr="0059512C">
              <w:rPr>
                <w:szCs w:val="22"/>
              </w:rPr>
              <w:t>$930</w:t>
            </w:r>
          </w:p>
        </w:tc>
        <w:tc>
          <w:tcPr>
            <w:tcW w:w="1842" w:type="dxa"/>
          </w:tcPr>
          <w:p w:rsidR="004D427A" w:rsidRPr="0059512C" w:rsidP="00D07AC4" w14:paraId="47F0C76C" w14:textId="038EF3B5">
            <w:pPr>
              <w:pStyle w:val="ParaNum"/>
              <w:numPr>
                <w:ilvl w:val="0"/>
                <w:numId w:val="0"/>
              </w:numPr>
              <w:jc w:val="center"/>
              <w:rPr>
                <w:szCs w:val="22"/>
              </w:rPr>
            </w:pPr>
            <w:r>
              <w:rPr>
                <w:szCs w:val="22"/>
              </w:rPr>
              <w:t>CQK</w:t>
            </w:r>
          </w:p>
        </w:tc>
      </w:tr>
      <w:tr w14:paraId="45166B6B" w14:textId="7B1F42D6" w:rsidTr="00024877">
        <w:tblPrEx>
          <w:tblW w:w="0" w:type="auto"/>
          <w:tblInd w:w="85" w:type="dxa"/>
          <w:tblLook w:val="04A0"/>
        </w:tblPrEx>
        <w:tc>
          <w:tcPr>
            <w:tcW w:w="3407" w:type="dxa"/>
          </w:tcPr>
          <w:p w:rsidR="004D427A" w:rsidRPr="0059512C" w:rsidP="00D07AC4" w14:paraId="6711E382" w14:textId="77777777">
            <w:pPr>
              <w:pStyle w:val="ParaNum"/>
              <w:numPr>
                <w:ilvl w:val="0"/>
                <w:numId w:val="0"/>
              </w:numPr>
              <w:rPr>
                <w:szCs w:val="22"/>
              </w:rPr>
            </w:pPr>
            <w:r w:rsidRPr="0059512C">
              <w:rPr>
                <w:szCs w:val="22"/>
              </w:rPr>
              <w:t xml:space="preserve">Complex Tariff Filing </w:t>
            </w:r>
            <w:r>
              <w:rPr>
                <w:szCs w:val="22"/>
              </w:rPr>
              <w:t xml:space="preserve">(annual access charge tariffs, new or restructured rate plans) </w:t>
            </w:r>
            <w:r w:rsidRPr="0059512C">
              <w:rPr>
                <w:szCs w:val="22"/>
              </w:rPr>
              <w:t>(Large</w:t>
            </w:r>
            <w:r>
              <w:rPr>
                <w:szCs w:val="22"/>
              </w:rPr>
              <w:t xml:space="preserve"> – all price cap LECs and entities involving more than 100 LECs</w:t>
            </w:r>
            <w:r w:rsidRPr="0059512C">
              <w:rPr>
                <w:szCs w:val="22"/>
              </w:rPr>
              <w:t>)</w:t>
            </w:r>
          </w:p>
        </w:tc>
        <w:tc>
          <w:tcPr>
            <w:tcW w:w="1990" w:type="dxa"/>
          </w:tcPr>
          <w:p w:rsidR="004D427A" w:rsidRPr="0059512C" w:rsidP="00D07AC4" w14:paraId="29169E3F" w14:textId="77777777">
            <w:pPr>
              <w:pStyle w:val="ParaNum"/>
              <w:numPr>
                <w:ilvl w:val="0"/>
                <w:numId w:val="0"/>
              </w:numPr>
              <w:jc w:val="center"/>
              <w:rPr>
                <w:szCs w:val="22"/>
              </w:rPr>
            </w:pPr>
          </w:p>
        </w:tc>
        <w:tc>
          <w:tcPr>
            <w:tcW w:w="2026" w:type="dxa"/>
          </w:tcPr>
          <w:p w:rsidR="004D427A" w:rsidRPr="0059512C" w:rsidP="00D07AC4" w14:paraId="3451E6F7" w14:textId="461EDD25">
            <w:pPr>
              <w:pStyle w:val="ParaNum"/>
              <w:numPr>
                <w:ilvl w:val="0"/>
                <w:numId w:val="0"/>
              </w:numPr>
              <w:jc w:val="center"/>
              <w:rPr>
                <w:szCs w:val="22"/>
              </w:rPr>
            </w:pPr>
            <w:r w:rsidRPr="0059512C">
              <w:rPr>
                <w:szCs w:val="22"/>
              </w:rPr>
              <w:t>$6,540</w:t>
            </w:r>
          </w:p>
        </w:tc>
        <w:tc>
          <w:tcPr>
            <w:tcW w:w="1842" w:type="dxa"/>
          </w:tcPr>
          <w:p w:rsidR="004D427A" w:rsidRPr="0059512C" w:rsidP="00D07AC4" w14:paraId="79540C51" w14:textId="53E5EC12">
            <w:pPr>
              <w:pStyle w:val="ParaNum"/>
              <w:numPr>
                <w:ilvl w:val="0"/>
                <w:numId w:val="0"/>
              </w:numPr>
              <w:jc w:val="center"/>
              <w:rPr>
                <w:szCs w:val="22"/>
              </w:rPr>
            </w:pPr>
            <w:r>
              <w:rPr>
                <w:szCs w:val="22"/>
              </w:rPr>
              <w:t>CQL</w:t>
            </w:r>
          </w:p>
        </w:tc>
      </w:tr>
      <w:tr w14:paraId="2E64C50C" w14:textId="286973F1" w:rsidTr="00024877">
        <w:tblPrEx>
          <w:tblW w:w="0" w:type="auto"/>
          <w:tblInd w:w="85" w:type="dxa"/>
          <w:tblLook w:val="04A0"/>
        </w:tblPrEx>
        <w:tc>
          <w:tcPr>
            <w:tcW w:w="3407" w:type="dxa"/>
          </w:tcPr>
          <w:p w:rsidR="004D427A" w:rsidRPr="0059512C" w:rsidP="00D07AC4" w14:paraId="0823D1F9" w14:textId="77777777">
            <w:pPr>
              <w:pStyle w:val="ParaNum"/>
              <w:numPr>
                <w:ilvl w:val="0"/>
                <w:numId w:val="0"/>
              </w:numPr>
              <w:rPr>
                <w:szCs w:val="22"/>
              </w:rPr>
            </w:pPr>
            <w:r w:rsidRPr="0059512C">
              <w:rPr>
                <w:szCs w:val="22"/>
              </w:rPr>
              <w:t>Complex Tariff Filing (</w:t>
            </w:r>
            <w:r>
              <w:rPr>
                <w:szCs w:val="22"/>
              </w:rPr>
              <w:t xml:space="preserve">annual access charge tariffs, new or restructured rate plans) </w:t>
            </w:r>
            <w:r w:rsidRPr="0059512C">
              <w:rPr>
                <w:szCs w:val="22"/>
              </w:rPr>
              <w:t>(Small</w:t>
            </w:r>
            <w:r>
              <w:rPr>
                <w:szCs w:val="22"/>
              </w:rPr>
              <w:t xml:space="preserve"> – other entities</w:t>
            </w:r>
            <w:r w:rsidRPr="0059512C">
              <w:rPr>
                <w:szCs w:val="22"/>
              </w:rPr>
              <w:t>)</w:t>
            </w:r>
          </w:p>
        </w:tc>
        <w:tc>
          <w:tcPr>
            <w:tcW w:w="1990" w:type="dxa"/>
          </w:tcPr>
          <w:p w:rsidR="004D427A" w:rsidRPr="0059512C" w:rsidP="00D07AC4" w14:paraId="182A06CE" w14:textId="77777777">
            <w:pPr>
              <w:pStyle w:val="ParaNum"/>
              <w:numPr>
                <w:ilvl w:val="0"/>
                <w:numId w:val="0"/>
              </w:numPr>
              <w:jc w:val="center"/>
              <w:rPr>
                <w:szCs w:val="22"/>
              </w:rPr>
            </w:pPr>
          </w:p>
        </w:tc>
        <w:tc>
          <w:tcPr>
            <w:tcW w:w="2026" w:type="dxa"/>
          </w:tcPr>
          <w:p w:rsidR="004D427A" w:rsidRPr="0059512C" w:rsidP="00D07AC4" w14:paraId="613AF8B9" w14:textId="63C1AD81">
            <w:pPr>
              <w:pStyle w:val="ParaNum"/>
              <w:numPr>
                <w:ilvl w:val="0"/>
                <w:numId w:val="0"/>
              </w:numPr>
              <w:jc w:val="center"/>
              <w:rPr>
                <w:szCs w:val="22"/>
              </w:rPr>
            </w:pPr>
            <w:r w:rsidRPr="0059512C">
              <w:rPr>
                <w:szCs w:val="22"/>
              </w:rPr>
              <w:t>$3,270</w:t>
            </w:r>
          </w:p>
        </w:tc>
        <w:tc>
          <w:tcPr>
            <w:tcW w:w="1842" w:type="dxa"/>
          </w:tcPr>
          <w:p w:rsidR="004D427A" w:rsidRPr="0059512C" w:rsidP="00D07AC4" w14:paraId="7091A968" w14:textId="318938A9">
            <w:pPr>
              <w:pStyle w:val="ParaNum"/>
              <w:numPr>
                <w:ilvl w:val="0"/>
                <w:numId w:val="0"/>
              </w:numPr>
              <w:jc w:val="center"/>
              <w:rPr>
                <w:szCs w:val="22"/>
              </w:rPr>
            </w:pPr>
            <w:r>
              <w:rPr>
                <w:szCs w:val="22"/>
              </w:rPr>
              <w:t>CQM</w:t>
            </w:r>
          </w:p>
        </w:tc>
      </w:tr>
      <w:tr w14:paraId="671AA931" w14:textId="1F1CF837" w:rsidTr="00024877">
        <w:tblPrEx>
          <w:tblW w:w="0" w:type="auto"/>
          <w:tblInd w:w="85" w:type="dxa"/>
          <w:tblLook w:val="04A0"/>
        </w:tblPrEx>
        <w:tc>
          <w:tcPr>
            <w:tcW w:w="3407" w:type="dxa"/>
          </w:tcPr>
          <w:p w:rsidR="004D427A" w:rsidRPr="0059512C" w:rsidP="00D07AC4" w14:paraId="6AE83027" w14:textId="77777777">
            <w:pPr>
              <w:pStyle w:val="ParaNum"/>
              <w:numPr>
                <w:ilvl w:val="0"/>
                <w:numId w:val="0"/>
              </w:numPr>
              <w:rPr>
                <w:szCs w:val="22"/>
              </w:rPr>
            </w:pPr>
            <w:r w:rsidRPr="0059512C">
              <w:rPr>
                <w:szCs w:val="22"/>
              </w:rPr>
              <w:t>Application for Special Permission for Waiver of Tariff Rules</w:t>
            </w:r>
          </w:p>
        </w:tc>
        <w:tc>
          <w:tcPr>
            <w:tcW w:w="1990" w:type="dxa"/>
          </w:tcPr>
          <w:p w:rsidR="004D427A" w:rsidRPr="0059512C" w:rsidP="00D07AC4" w14:paraId="6E838683" w14:textId="77777777">
            <w:pPr>
              <w:pStyle w:val="ParaNum"/>
              <w:numPr>
                <w:ilvl w:val="0"/>
                <w:numId w:val="0"/>
              </w:numPr>
              <w:jc w:val="center"/>
              <w:rPr>
                <w:szCs w:val="22"/>
              </w:rPr>
            </w:pPr>
          </w:p>
        </w:tc>
        <w:tc>
          <w:tcPr>
            <w:tcW w:w="2026" w:type="dxa"/>
          </w:tcPr>
          <w:p w:rsidR="004D427A" w:rsidRPr="0059512C" w:rsidP="00D07AC4" w14:paraId="688C3D5B" w14:textId="1F53D79E">
            <w:pPr>
              <w:pStyle w:val="ParaNum"/>
              <w:numPr>
                <w:ilvl w:val="0"/>
                <w:numId w:val="0"/>
              </w:numPr>
              <w:jc w:val="center"/>
              <w:rPr>
                <w:szCs w:val="22"/>
              </w:rPr>
            </w:pPr>
            <w:r w:rsidRPr="0059512C">
              <w:rPr>
                <w:szCs w:val="22"/>
              </w:rPr>
              <w:t>$375</w:t>
            </w:r>
          </w:p>
        </w:tc>
        <w:tc>
          <w:tcPr>
            <w:tcW w:w="1842" w:type="dxa"/>
          </w:tcPr>
          <w:p w:rsidR="004D427A" w:rsidRPr="0059512C" w:rsidP="00D07AC4" w14:paraId="356B0C28" w14:textId="05F01A43">
            <w:pPr>
              <w:pStyle w:val="ParaNum"/>
              <w:numPr>
                <w:ilvl w:val="0"/>
                <w:numId w:val="0"/>
              </w:numPr>
              <w:jc w:val="center"/>
              <w:rPr>
                <w:szCs w:val="22"/>
              </w:rPr>
            </w:pPr>
            <w:r>
              <w:rPr>
                <w:szCs w:val="22"/>
              </w:rPr>
              <w:t>CQN</w:t>
            </w:r>
          </w:p>
        </w:tc>
      </w:tr>
      <w:tr w14:paraId="40FDF204" w14:textId="66BE1A85" w:rsidTr="00024877">
        <w:tblPrEx>
          <w:tblW w:w="0" w:type="auto"/>
          <w:tblInd w:w="85" w:type="dxa"/>
          <w:tblLook w:val="04A0"/>
        </w:tblPrEx>
        <w:tc>
          <w:tcPr>
            <w:tcW w:w="3407" w:type="dxa"/>
          </w:tcPr>
          <w:p w:rsidR="004D427A" w:rsidRPr="0059512C" w:rsidP="00D07AC4" w14:paraId="04D9B48A" w14:textId="77777777">
            <w:pPr>
              <w:pStyle w:val="ParaNum"/>
              <w:numPr>
                <w:ilvl w:val="0"/>
                <w:numId w:val="0"/>
              </w:numPr>
              <w:rPr>
                <w:szCs w:val="22"/>
              </w:rPr>
            </w:pPr>
            <w:r>
              <w:rPr>
                <w:szCs w:val="22"/>
              </w:rPr>
              <w:t>Waiver of Accounting Rules</w:t>
            </w:r>
          </w:p>
        </w:tc>
        <w:tc>
          <w:tcPr>
            <w:tcW w:w="1990" w:type="dxa"/>
          </w:tcPr>
          <w:p w:rsidR="004D427A" w:rsidP="00D07AC4" w14:paraId="24B3EC3A" w14:textId="77777777">
            <w:pPr>
              <w:pStyle w:val="ParaNum"/>
              <w:numPr>
                <w:ilvl w:val="0"/>
                <w:numId w:val="0"/>
              </w:numPr>
              <w:jc w:val="center"/>
              <w:rPr>
                <w:szCs w:val="22"/>
              </w:rPr>
            </w:pPr>
          </w:p>
        </w:tc>
        <w:tc>
          <w:tcPr>
            <w:tcW w:w="2026" w:type="dxa"/>
          </w:tcPr>
          <w:p w:rsidR="004D427A" w:rsidRPr="0059512C" w:rsidP="00D07AC4" w14:paraId="2EEFCFA6" w14:textId="46CC3FAF">
            <w:pPr>
              <w:pStyle w:val="ParaNum"/>
              <w:numPr>
                <w:ilvl w:val="0"/>
                <w:numId w:val="0"/>
              </w:numPr>
              <w:jc w:val="center"/>
              <w:rPr>
                <w:szCs w:val="22"/>
              </w:rPr>
            </w:pPr>
            <w:r>
              <w:rPr>
                <w:szCs w:val="22"/>
              </w:rPr>
              <w:t>$4,415</w:t>
            </w:r>
          </w:p>
        </w:tc>
        <w:tc>
          <w:tcPr>
            <w:tcW w:w="1842" w:type="dxa"/>
          </w:tcPr>
          <w:p w:rsidR="004D427A" w:rsidP="00D07AC4" w14:paraId="260C3ECE" w14:textId="407D1256">
            <w:pPr>
              <w:pStyle w:val="ParaNum"/>
              <w:numPr>
                <w:ilvl w:val="0"/>
                <w:numId w:val="0"/>
              </w:numPr>
              <w:jc w:val="center"/>
              <w:rPr>
                <w:szCs w:val="22"/>
              </w:rPr>
            </w:pPr>
            <w:r>
              <w:rPr>
                <w:szCs w:val="22"/>
              </w:rPr>
              <w:t>CQP</w:t>
            </w:r>
          </w:p>
        </w:tc>
      </w:tr>
    </w:tbl>
    <w:p w:rsidR="00221592" w:rsidP="00221592" w14:paraId="693A4DB4" w14:textId="77777777">
      <w:pPr>
        <w:pStyle w:val="ParaNum"/>
        <w:numPr>
          <w:ilvl w:val="0"/>
          <w:numId w:val="0"/>
        </w:numPr>
        <w:rPr>
          <w:szCs w:val="22"/>
        </w:rPr>
      </w:pPr>
      <w:r w:rsidRPr="0059512C">
        <w:rPr>
          <w:szCs w:val="22"/>
        </w:rPr>
        <w:t xml:space="preserve"> </w:t>
      </w:r>
    </w:p>
    <w:tbl>
      <w:tblPr>
        <w:tblStyle w:val="TableGrid"/>
        <w:tblW w:w="9270" w:type="dxa"/>
        <w:tblInd w:w="85" w:type="dxa"/>
        <w:tblLook w:val="04A0"/>
      </w:tblPr>
      <w:tblGrid>
        <w:gridCol w:w="4322"/>
        <w:gridCol w:w="1888"/>
        <w:gridCol w:w="1440"/>
        <w:gridCol w:w="1620"/>
      </w:tblGrid>
      <w:tr w14:paraId="7B9E92A5" w14:textId="77777777" w:rsidTr="00804010">
        <w:tblPrEx>
          <w:tblW w:w="9270" w:type="dxa"/>
          <w:tblInd w:w="85" w:type="dxa"/>
          <w:tblLook w:val="04A0"/>
        </w:tblPrEx>
        <w:tc>
          <w:tcPr>
            <w:tcW w:w="4322" w:type="dxa"/>
          </w:tcPr>
          <w:p w:rsidR="004D427A" w:rsidRPr="0059512C" w:rsidP="00D07AC4" w14:paraId="538BD73E" w14:textId="77777777">
            <w:pPr>
              <w:pStyle w:val="ParaNum"/>
              <w:numPr>
                <w:ilvl w:val="0"/>
                <w:numId w:val="0"/>
              </w:numPr>
              <w:rPr>
                <w:szCs w:val="22"/>
              </w:rPr>
            </w:pPr>
            <w:r w:rsidRPr="0059512C">
              <w:rPr>
                <w:b/>
                <w:szCs w:val="22"/>
              </w:rPr>
              <w:t>Application</w:t>
            </w:r>
          </w:p>
        </w:tc>
        <w:tc>
          <w:tcPr>
            <w:tcW w:w="1888" w:type="dxa"/>
          </w:tcPr>
          <w:p w:rsidR="004D427A" w:rsidRPr="00024877" w:rsidP="00D07AC4" w14:paraId="36CD4030" w14:textId="1FFB4816">
            <w:pPr>
              <w:pStyle w:val="ParaNum"/>
              <w:numPr>
                <w:ilvl w:val="0"/>
                <w:numId w:val="0"/>
              </w:numPr>
              <w:jc w:val="center"/>
              <w:rPr>
                <w:b/>
                <w:bCs/>
                <w:szCs w:val="22"/>
              </w:rPr>
            </w:pPr>
            <w:r w:rsidRPr="00024877">
              <w:rPr>
                <w:b/>
                <w:bCs/>
                <w:szCs w:val="22"/>
              </w:rPr>
              <w:t>FORMS#</w:t>
            </w:r>
          </w:p>
        </w:tc>
        <w:tc>
          <w:tcPr>
            <w:tcW w:w="1440" w:type="dxa"/>
          </w:tcPr>
          <w:p w:rsidR="004D427A" w:rsidP="00D07AC4" w14:paraId="7B244308" w14:textId="234F80C6">
            <w:pPr>
              <w:pStyle w:val="ParaNum"/>
              <w:numPr>
                <w:ilvl w:val="0"/>
                <w:numId w:val="0"/>
              </w:numPr>
              <w:jc w:val="center"/>
              <w:rPr>
                <w:b/>
                <w:szCs w:val="22"/>
              </w:rPr>
            </w:pPr>
            <w:r>
              <w:rPr>
                <w:b/>
                <w:szCs w:val="22"/>
              </w:rPr>
              <w:t>FEE AMOUNT</w:t>
            </w:r>
          </w:p>
        </w:tc>
        <w:tc>
          <w:tcPr>
            <w:tcW w:w="1620" w:type="dxa"/>
          </w:tcPr>
          <w:p w:rsidR="004D427A" w:rsidP="00D07AC4" w14:paraId="392C82B1" w14:textId="7C83E460">
            <w:pPr>
              <w:pStyle w:val="ParaNum"/>
              <w:numPr>
                <w:ilvl w:val="0"/>
                <w:numId w:val="0"/>
              </w:numPr>
              <w:jc w:val="center"/>
              <w:rPr>
                <w:b/>
                <w:szCs w:val="22"/>
              </w:rPr>
            </w:pPr>
            <w:r>
              <w:rPr>
                <w:b/>
                <w:szCs w:val="22"/>
              </w:rPr>
              <w:t>PAYMENT TYPE CODE</w:t>
            </w:r>
          </w:p>
        </w:tc>
      </w:tr>
      <w:tr w14:paraId="6F819617" w14:textId="77777777" w:rsidTr="00804010">
        <w:tblPrEx>
          <w:tblW w:w="9270" w:type="dxa"/>
          <w:tblInd w:w="85" w:type="dxa"/>
          <w:tblLook w:val="04A0"/>
        </w:tblPrEx>
        <w:tc>
          <w:tcPr>
            <w:tcW w:w="4322" w:type="dxa"/>
          </w:tcPr>
          <w:p w:rsidR="004D427A" w:rsidRPr="0059512C" w:rsidP="00D07AC4" w14:paraId="0D6CB5B0" w14:textId="77777777">
            <w:pPr>
              <w:pStyle w:val="ParaNum"/>
              <w:numPr>
                <w:ilvl w:val="0"/>
                <w:numId w:val="0"/>
              </w:numPr>
              <w:rPr>
                <w:szCs w:val="22"/>
              </w:rPr>
            </w:pPr>
            <w:r>
              <w:t xml:space="preserve">Universal Service Fund Auction (combined long-form and short-form </w:t>
            </w:r>
            <w:r w:rsidRPr="00800EE8">
              <w:t>fee</w:t>
            </w:r>
            <w:r>
              <w:t>, paid only by winning bidder)</w:t>
            </w:r>
          </w:p>
        </w:tc>
        <w:tc>
          <w:tcPr>
            <w:tcW w:w="1888" w:type="dxa"/>
          </w:tcPr>
          <w:p w:rsidR="004D427A" w:rsidRPr="0059512C" w:rsidP="00D07AC4" w14:paraId="1E82CA3A" w14:textId="001E1679">
            <w:pPr>
              <w:pStyle w:val="ParaNum"/>
              <w:numPr>
                <w:ilvl w:val="0"/>
                <w:numId w:val="0"/>
              </w:numPr>
              <w:jc w:val="center"/>
              <w:rPr>
                <w:szCs w:val="22"/>
              </w:rPr>
            </w:pPr>
          </w:p>
        </w:tc>
        <w:tc>
          <w:tcPr>
            <w:tcW w:w="1440" w:type="dxa"/>
          </w:tcPr>
          <w:p w:rsidR="004D427A" w:rsidRPr="00255B17" w:rsidP="00D07AC4" w14:paraId="1A94C9C5" w14:textId="3C0A6E8E">
            <w:pPr>
              <w:pStyle w:val="ParaNum"/>
              <w:numPr>
                <w:ilvl w:val="0"/>
                <w:numId w:val="0"/>
              </w:numPr>
              <w:jc w:val="center"/>
              <w:rPr>
                <w:szCs w:val="22"/>
              </w:rPr>
            </w:pPr>
            <w:r w:rsidRPr="00255B17">
              <w:rPr>
                <w:szCs w:val="22"/>
              </w:rPr>
              <w:t>$2,965</w:t>
            </w:r>
          </w:p>
        </w:tc>
        <w:tc>
          <w:tcPr>
            <w:tcW w:w="1620" w:type="dxa"/>
          </w:tcPr>
          <w:p w:rsidR="004D427A" w:rsidRPr="00255B17" w:rsidP="00D07AC4" w14:paraId="590D54F8" w14:textId="194F841B">
            <w:pPr>
              <w:pStyle w:val="ParaNum"/>
              <w:numPr>
                <w:ilvl w:val="0"/>
                <w:numId w:val="0"/>
              </w:numPr>
              <w:jc w:val="center"/>
              <w:rPr>
                <w:szCs w:val="22"/>
              </w:rPr>
            </w:pPr>
            <w:r w:rsidRPr="00255B17">
              <w:rPr>
                <w:szCs w:val="22"/>
              </w:rPr>
              <w:t>CQQ</w:t>
            </w:r>
          </w:p>
        </w:tc>
      </w:tr>
    </w:tbl>
    <w:p w:rsidR="00E90800" w:rsidP="00221592" w14:paraId="11FE164D" w14:textId="77777777">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b/>
          <w:sz w:val="18"/>
          <w:szCs w:val="18"/>
        </w:rPr>
      </w:pPr>
    </w:p>
    <w:p w:rsidR="00E90800" w:rsidP="00024877" w14:paraId="6AE28A78" w14:textId="31C0D3A6">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z w:val="16"/>
        </w:rPr>
      </w:pPr>
      <w:r>
        <w:rPr>
          <w:rFonts w:ascii="Times New Roman" w:hAnsi="Times New Roman"/>
          <w:b/>
          <w:sz w:val="18"/>
          <w:szCs w:val="18"/>
        </w:rPr>
        <w:t>Notes:</w:t>
      </w:r>
      <w:r>
        <w:rPr>
          <w:rFonts w:ascii="Times New Roman" w:hAnsi="Times New Roman"/>
          <w:sz w:val="18"/>
          <w:szCs w:val="18"/>
        </w:rPr>
        <w:t xml:space="preserve">  </w:t>
      </w:r>
    </w:p>
    <w:p w:rsidR="00E90800" w:rsidP="00E90800" w14:paraId="76B68594" w14:textId="74B46415">
      <w:pPr>
        <w:tabs>
          <w:tab w:val="left" w:pos="360"/>
          <w:tab w:val="left" w:pos="540"/>
          <w:tab w:val="left" w:pos="810"/>
          <w:tab w:val="left" w:pos="1080"/>
          <w:tab w:val="left" w:leader="dot" w:pos="3600"/>
          <w:tab w:val="decimal" w:pos="5220"/>
          <w:tab w:val="left" w:pos="6300"/>
          <w:tab w:val="left" w:pos="7200"/>
        </w:tabs>
        <w:suppressAutoHyphens/>
        <w:rPr>
          <w:rFonts w:ascii="Times New Roman" w:hAnsi="Times New Roman"/>
          <w:sz w:val="16"/>
        </w:rPr>
      </w:pPr>
      <w:r>
        <w:rPr>
          <w:rFonts w:ascii="Times New Roman" w:hAnsi="Times New Roman"/>
          <w:sz w:val="16"/>
        </w:rPr>
        <w:t xml:space="preserve">SECTION 214:  </w:t>
      </w:r>
      <w:r>
        <w:rPr>
          <w:rFonts w:ascii="Times New Roman" w:hAnsi="Times New Roman"/>
          <w:sz w:val="16"/>
        </w:rPr>
        <w:t xml:space="preserve">WHERE A COMMON CARRIER MUST FILE A </w:t>
      </w:r>
      <w:r>
        <w:rPr>
          <w:rFonts w:ascii="Times New Roman" w:hAnsi="Times New Roman"/>
          <w:sz w:val="16"/>
        </w:rPr>
        <w:t xml:space="preserve">DOMESTIC AND INTERNATIONAL SECTION 214 TRANSFER OF CONTROL </w:t>
      </w:r>
      <w:r>
        <w:rPr>
          <w:rFonts w:ascii="Times New Roman" w:hAnsi="Times New Roman"/>
          <w:sz w:val="16"/>
        </w:rPr>
        <w:t>APPLICATION AND</w:t>
      </w:r>
      <w:r>
        <w:rPr>
          <w:rFonts w:ascii="Times New Roman" w:hAnsi="Times New Roman"/>
          <w:sz w:val="16"/>
        </w:rPr>
        <w:t>/OR</w:t>
      </w:r>
      <w:r>
        <w:rPr>
          <w:rFonts w:ascii="Times New Roman" w:hAnsi="Times New Roman"/>
          <w:sz w:val="16"/>
        </w:rPr>
        <w:t xml:space="preserve"> ANOTHER APPLICATION FOR A RADIO LICENSE THAT IS ALSO CHARGEABLE UNDER SECTION 8 OF THE COMMUNICATIONS ACT, </w:t>
      </w:r>
      <w:r>
        <w:rPr>
          <w:rFonts w:ascii="Times New Roman" w:hAnsi="Times New Roman"/>
          <w:sz w:val="16"/>
        </w:rPr>
        <w:t>SEPARATE FEES WI</w:t>
      </w:r>
      <w:r>
        <w:rPr>
          <w:rFonts w:ascii="Times New Roman" w:hAnsi="Times New Roman"/>
          <w:sz w:val="16"/>
        </w:rPr>
        <w:t>LL BE REQUIRED</w:t>
      </w:r>
      <w:r>
        <w:rPr>
          <w:rFonts w:ascii="Times New Roman" w:hAnsi="Times New Roman"/>
          <w:sz w:val="16"/>
        </w:rPr>
        <w:t xml:space="preserve"> FOR ALL APPLICATIONS</w:t>
      </w:r>
      <w:r>
        <w:rPr>
          <w:rFonts w:ascii="Times New Roman" w:hAnsi="Times New Roman"/>
          <w:sz w:val="16"/>
        </w:rPr>
        <w:t xml:space="preserve">. </w:t>
      </w:r>
    </w:p>
    <w:p w:rsidR="00E90800" w:rsidP="00E90800" w14:paraId="532F82B7" w14:textId="77777777">
      <w:pPr>
        <w:tabs>
          <w:tab w:val="left" w:pos="360"/>
          <w:tab w:val="left" w:pos="540"/>
          <w:tab w:val="left" w:pos="810"/>
          <w:tab w:val="left" w:pos="1080"/>
          <w:tab w:val="left" w:leader="dot" w:pos="3600"/>
          <w:tab w:val="decimal" w:pos="5220"/>
          <w:tab w:val="left" w:pos="6300"/>
          <w:tab w:val="left" w:pos="7200"/>
        </w:tabs>
        <w:suppressAutoHyphens/>
        <w:rPr>
          <w:rFonts w:ascii="Times New Roman" w:hAnsi="Times New Roman"/>
          <w:sz w:val="16"/>
        </w:rPr>
      </w:pPr>
    </w:p>
    <w:p w:rsidR="00E90800" w:rsidP="00E90800" w14:paraId="60B67B5F" w14:textId="43B714FB">
      <w:pPr>
        <w:tabs>
          <w:tab w:val="left" w:pos="360"/>
          <w:tab w:val="left" w:pos="540"/>
          <w:tab w:val="left" w:pos="810"/>
          <w:tab w:val="left" w:pos="1080"/>
          <w:tab w:val="left" w:leader="dot" w:pos="3600"/>
          <w:tab w:val="decimal" w:pos="5220"/>
          <w:tab w:val="left" w:pos="6300"/>
          <w:tab w:val="left" w:pos="7200"/>
        </w:tabs>
        <w:suppressAutoHyphens/>
        <w:rPr>
          <w:rFonts w:ascii="Arial Narrow" w:hAnsi="Arial Narrow"/>
          <w:sz w:val="16"/>
        </w:rPr>
      </w:pPr>
      <w:r>
        <w:rPr>
          <w:rFonts w:ascii="Times New Roman" w:hAnsi="Times New Roman"/>
          <w:sz w:val="16"/>
        </w:rPr>
        <w:t xml:space="preserve">TARIFF FILINGS:  </w:t>
      </w:r>
      <w:r>
        <w:rPr>
          <w:rFonts w:ascii="Times New Roman" w:hAnsi="Times New Roman"/>
          <w:sz w:val="16"/>
        </w:rPr>
        <w:t xml:space="preserve">THE REQUIRED FEE MUST EITHER BE PAID ELECTRONICALLY BY CREDIT CARD OR DEBIT CARD FROM A BANK AT THE SAME TIME THE PETITION FOR WAIVER IS FILED ELECTRONICALLY ON THE COMMISSION’S ELECTRONIC TARIFF FILING SYSTEM, OR BY CREDIT CARD IN ACCORDANCE WITH THE REQUIREMENTS OF SECTION 1.1105 OF THE COMMISSION’S RULES. </w:t>
      </w:r>
    </w:p>
    <w:p w:rsidR="00221592" w:rsidP="00D40260" w14:paraId="17DDFF5D" w14:textId="3A9A4BC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221592" w:rsidP="00D40260" w14:paraId="4C5B0071"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4AA443D6"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1ACB3DDD"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021107F4"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626AC5C0"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353133BD"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3B9AB419"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38FC0623"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1D25F9" w14:paraId="78C089F5" w14:textId="77777777">
      <w:pPr>
        <w:tabs>
          <w:tab w:val="left" w:pos="360"/>
          <w:tab w:val="left" w:pos="540"/>
          <w:tab w:val="left" w:pos="810"/>
          <w:tab w:val="left" w:pos="1080"/>
          <w:tab w:val="left" w:leader="dot" w:pos="3600"/>
          <w:tab w:val="decimal" w:pos="5220"/>
          <w:tab w:val="left" w:pos="6300"/>
          <w:tab w:val="left" w:pos="7200"/>
        </w:tabs>
        <w:suppressAutoHyphens/>
        <w:rPr>
          <w:rFonts w:ascii="Arial Narrow" w:hAnsi="Arial Narrow"/>
          <w:sz w:val="16"/>
        </w:rPr>
      </w:pPr>
      <w:r>
        <w:rPr>
          <w:rFonts w:ascii="Arial Narrow" w:hAnsi="Arial Narrow"/>
          <w:noProof/>
          <w:sz w:val="16"/>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p>
    <w:p w:rsidR="001D25F9" w14:paraId="0D796847" w14:textId="77777777">
      <w:pPr>
        <w:tabs>
          <w:tab w:val="left" w:pos="360"/>
          <w:tab w:val="left" w:pos="540"/>
          <w:tab w:val="left" w:pos="810"/>
          <w:tab w:val="left" w:pos="1080"/>
          <w:tab w:val="left" w:leader="dot" w:pos="3600"/>
          <w:tab w:val="decimal" w:pos="5220"/>
          <w:tab w:val="left" w:pos="6300"/>
          <w:tab w:val="left" w:pos="7200"/>
        </w:tabs>
        <w:suppressAutoHyphens/>
        <w:rPr>
          <w:rFonts w:ascii="Arial Narrow" w:hAnsi="Arial Narrow"/>
          <w:sz w:val="16"/>
        </w:rPr>
      </w:pPr>
    </w:p>
    <w:sectPr>
      <w:footerReference w:type="default" r:id="rId17"/>
      <w:pgSz w:w="12240" w:h="15840"/>
      <w:pgMar w:top="1296" w:right="446" w:bottom="1296" w:left="446"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1AF" w14:paraId="3C139BA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7C11AF" w14:paraId="5746F297" w14:textId="77777777">
    <w:pPr>
      <w:spacing w:before="140" w:line="100" w:lineRule="exact"/>
      <w:rPr>
        <w:sz w:val="10"/>
      </w:rPr>
    </w:pPr>
  </w:p>
  <w:p w:rsidR="007C11AF" w14:paraId="57D5690A" w14:textId="77777777"/>
  <w:p w:rsidR="007C11AF" w14:paraId="312B8AD6" w14:textId="77777777">
    <w:r>
      <w:rPr>
        <w:noProof/>
        <w:snapToGrid/>
      </w:rPr>
      <mc:AlternateContent>
        <mc:Choice Requires="wps">
          <w:drawing>
            <wp:anchor distT="0" distB="0" distL="114300" distR="114300" simplePos="0" relativeHeight="251658240" behindDoc="0" locked="0" layoutInCell="0" allowOverlap="1">
              <wp:simplePos x="0" y="0"/>
              <wp:positionH relativeFrom="page">
                <wp:posOffset>285750</wp:posOffset>
              </wp:positionH>
              <wp:positionV relativeFrom="paragraph">
                <wp:posOffset>152400</wp:posOffset>
              </wp:positionV>
              <wp:extent cx="72009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2009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7C11AF" w14:textId="77777777">
                          <w:pPr>
                            <w:tabs>
                              <w:tab w:val="center" w:pos="5670"/>
                              <w:tab w:val="right" w:pos="11340"/>
                            </w:tabs>
                            <w:rPr>
                              <w:rFonts w:ascii="Times New Roman" w:hAnsi="Times New Roman"/>
                            </w:rPr>
                          </w:pPr>
                          <w: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567pt;height:12pt;margin-top:12pt;margin-left:22.5pt;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7C11AF" w14:paraId="548688B6" w14:textId="77777777">
                    <w:pPr>
                      <w:tabs>
                        <w:tab w:val="center" w:pos="5670"/>
                        <w:tab w:val="right" w:pos="11340"/>
                      </w:tabs>
                      <w:rPr>
                        <w:rFonts w:ascii="Times New Roman" w:hAnsi="Times New Roman"/>
                      </w:rPr>
                    </w:pPr>
                    <w:r>
                      <w:tab/>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7BC6" w14:paraId="3B703054" w14:textId="77777777">
      <w:r>
        <w:separator/>
      </w:r>
    </w:p>
  </w:footnote>
  <w:footnote w:type="continuationSeparator" w:id="1">
    <w:p w:rsidR="00E17BC6" w14:paraId="0686CB5E" w14:textId="77777777">
      <w:r>
        <w:continuationSeparator/>
      </w:r>
    </w:p>
  </w:footnote>
  <w:footnote w:id="2">
    <w:p w:rsidR="00C8471C" w:rsidP="00C8471C" w14:paraId="0934DA5F" w14:textId="77777777">
      <w:pPr>
        <w:pStyle w:val="footnotedescription"/>
        <w:spacing w:after="111" w:line="240" w:lineRule="auto"/>
        <w:rPr>
          <w:szCs w:val="22"/>
        </w:rPr>
      </w:pPr>
      <w:r>
        <w:rPr>
          <w:rStyle w:val="footnotemark"/>
        </w:rPr>
        <w:footnoteRef/>
      </w:r>
      <w:r>
        <w:t xml:space="preserve"> 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p>
  </w:footnote>
  <w:footnote w:id="3">
    <w:p w:rsidR="00C8471C" w:rsidP="00C8471C" w14:paraId="4BAA2C07" w14:textId="77777777">
      <w:pPr>
        <w:pStyle w:val="footnotedescription"/>
        <w:spacing w:after="120" w:line="240" w:lineRule="auto"/>
      </w:pPr>
      <w:r>
        <w:rPr>
          <w:rStyle w:val="footnotemark"/>
        </w:rPr>
        <w:footnoteRef/>
      </w:r>
      <w:r>
        <w:t xml:space="preserve"> </w:t>
      </w:r>
      <w:r>
        <w:rPr>
          <w:i/>
        </w:rPr>
        <w:t>See</w:t>
      </w:r>
      <w:r>
        <w:t xml:space="preserve"> Treasury Financial Manual, Bulletin No. 2017-12, “Agency No-Cash or No-Check Policies,” released on September 18, 2017 (explaining the circumstances under which agencies may decide not to accept payments made in cash or by check), </w:t>
      </w:r>
      <w:r>
        <w:rPr>
          <w:i/>
        </w:rPr>
        <w:t>available at</w:t>
      </w:r>
      <w:r>
        <w:t xml:space="preserve"> </w:t>
      </w:r>
      <w:hyperlink r:id="rId1" w:history="1">
        <w:r>
          <w:rPr>
            <w:rStyle w:val="Hyperlink"/>
          </w:rPr>
          <w:t>https://tfm.fiscal.treasury.gov/v1/bull/17-12.pdf</w:t>
        </w:r>
      </w:hyperlink>
      <w:r>
        <w:t xml:space="preserve">; </w:t>
      </w:r>
      <w:r>
        <w:rPr>
          <w:i/>
        </w:rPr>
        <w:t>see also</w:t>
      </w:r>
      <w:hyperlink r:id="rId2" w:history="1">
        <w:r>
          <w:rPr>
            <w:rStyle w:val="Hyperlink"/>
          </w:rPr>
          <w:t xml:space="preserve"> </w:t>
        </w:r>
      </w:hyperlink>
      <w:hyperlink r:id="rId2" w:history="1">
        <w:r>
          <w:rPr>
            <w:rStyle w:val="Hyperlink"/>
          </w:rPr>
          <w:t>https://www.gpo.gov/fdsys/pkg/FR-2011-06-16/pdf/2011-15181.pdf</w:t>
        </w:r>
      </w:hyperlink>
      <w:r>
        <w:t>.</w:t>
      </w:r>
    </w:p>
  </w:footnote>
  <w:footnote w:id="4">
    <w:p w:rsidR="00C8471C" w:rsidP="00C8471C" w14:paraId="5A67E740" w14:textId="77777777">
      <w:pPr>
        <w:tabs>
          <w:tab w:val="center" w:pos="4680"/>
        </w:tabs>
        <w:suppressAutoHyphens/>
        <w:spacing w:after="120"/>
        <w:rPr>
          <w:sz w:val="20"/>
        </w:rPr>
      </w:pPr>
      <w:r>
        <w:rPr>
          <w:rStyle w:val="FootnoteReference"/>
        </w:rPr>
        <w:footnoteRef/>
      </w:r>
      <w:r>
        <w:rPr>
          <w:sz w:val="20"/>
        </w:rPr>
        <w:t xml:space="preserve"> </w:t>
      </w:r>
      <w:r w:rsidRPr="004662E1">
        <w:rPr>
          <w:rFonts w:ascii="Times New Roman" w:hAnsi="Times New Roman"/>
          <w:i/>
          <w:sz w:val="20"/>
        </w:rPr>
        <w:t>Amendment of Part 1 of the Commission’s Rules</w:t>
      </w:r>
      <w:r w:rsidRPr="004662E1">
        <w:rPr>
          <w:rFonts w:ascii="Times New Roman" w:hAnsi="Times New Roman"/>
          <w:sz w:val="20"/>
        </w:rPr>
        <w:t xml:space="preserve">, Order, MD Docket No. 17-123, 32 FCC Rcd 4203 (2017) (modifying Section 1.1109 of the Commission’s rules to delete reference to P.O. Box 979092 at U.S. Bank in St. Louis, Missouri); </w:t>
      </w:r>
      <w:r w:rsidRPr="004662E1">
        <w:rPr>
          <w:rFonts w:ascii="Times New Roman" w:hAnsi="Times New Roman"/>
          <w:i/>
          <w:sz w:val="20"/>
        </w:rPr>
        <w:t xml:space="preserve">Amendment of Parts 0, 1, 51, and 61 of the </w:t>
      </w:r>
      <w:r w:rsidRPr="004662E1">
        <w:rPr>
          <w:rFonts w:ascii="Times New Roman" w:hAnsi="Times New Roman"/>
          <w:i/>
          <w:spacing w:val="-2"/>
          <w:sz w:val="20"/>
        </w:rPr>
        <w:t>Commission’s Rules</w:t>
      </w:r>
      <w:r w:rsidRPr="004662E1">
        <w:rPr>
          <w:rFonts w:ascii="Times New Roman" w:hAnsi="Times New Roman"/>
          <w:spacing w:val="-2"/>
          <w:sz w:val="20"/>
        </w:rPr>
        <w:t xml:space="preserve">, Order, MD Docket No. 17-357, </w:t>
      </w:r>
      <w:r w:rsidRPr="004662E1">
        <w:rPr>
          <w:rFonts w:ascii="Times New Roman" w:hAnsi="Times New Roman"/>
          <w:sz w:val="20"/>
        </w:rPr>
        <w:t>32 FCC Rcd 10565 (2017) (modifying Section 1.1105 of the Commission’s rules to delete reference to P.O. Box 979091 at U.S. Bank in St. Louis, Missouri).</w:t>
      </w:r>
      <w:r>
        <w:rPr>
          <w:sz w:val="20"/>
        </w:rPr>
        <w:t xml:space="preserve">   </w:t>
      </w:r>
    </w:p>
  </w:footnote>
  <w:footnote w:id="5">
    <w:p w:rsidR="005A715D" w:rsidRPr="00024877" w:rsidP="005A715D" w14:paraId="2C4E887E" w14:textId="77777777">
      <w:pPr>
        <w:pStyle w:val="FootnoteText"/>
        <w:rPr>
          <w:rFonts w:ascii="Times New Roman" w:hAnsi="Times New Roman"/>
          <w:sz w:val="20"/>
        </w:rPr>
      </w:pPr>
      <w:r>
        <w:rPr>
          <w:rStyle w:val="FootnoteReference"/>
        </w:rPr>
        <w:footnoteRef/>
      </w:r>
      <w:r>
        <w:t xml:space="preserve"> </w:t>
      </w:r>
      <w:r w:rsidRPr="00024877">
        <w:rPr>
          <w:rFonts w:ascii="Times New Roman" w:hAnsi="Times New Roman"/>
          <w:sz w:val="20"/>
        </w:rPr>
        <w:t>The ECFS Inboxes are INBOX-63.04 for section 214 transfer of control applications and related STAs; INBOX- 63.71 for section 214 discontinuance applications; and INBOX-52.15 for VoIP numbering authorization applications.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singleLevel"/>
    <w:tmpl w:val="00000003"/>
    <w:name w:val="WW8Num9"/>
    <w:lvl w:ilvl="0">
      <w:start w:val="1"/>
      <w:numFmt w:val="bullet"/>
      <w:lvlText w:val=""/>
      <w:lvlJc w:val="left"/>
      <w:pPr>
        <w:tabs>
          <w:tab w:val="num" w:pos="1080"/>
        </w:tabs>
        <w:ind w:left="1080" w:hanging="360"/>
      </w:pPr>
      <w:rPr>
        <w:rFonts w:ascii="Symbol" w:hAnsi="Symbol"/>
      </w:rPr>
    </w:lvl>
  </w:abstractNum>
  <w:abstractNum w:abstractNumId="1">
    <w:nsid w:val="0491702D"/>
    <w:multiLevelType w:val="singleLevel"/>
    <w:tmpl w:val="843088D0"/>
    <w:lvl w:ilvl="0">
      <w:start w:val="6"/>
      <w:numFmt w:val="bullet"/>
      <w:lvlText w:val=""/>
      <w:lvlJc w:val="left"/>
      <w:pPr>
        <w:tabs>
          <w:tab w:val="num" w:pos="1080"/>
        </w:tabs>
        <w:ind w:left="1080" w:hanging="360"/>
      </w:pPr>
      <w:rPr>
        <w:rFonts w:ascii="Symbol" w:hAnsi="Symbol" w:hint="default"/>
      </w:rPr>
    </w:lvl>
  </w:abstractNum>
  <w:abstractNum w:abstractNumId="2">
    <w:nsid w:val="0A4B1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FA4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1A099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0B8F1D7A"/>
    <w:multiLevelType w:val="singleLevel"/>
    <w:tmpl w:val="476202D4"/>
    <w:lvl w:ilvl="0">
      <w:start w:val="0"/>
      <w:numFmt w:val="bullet"/>
      <w:lvlText w:val=""/>
      <w:lvlJc w:val="left"/>
      <w:pPr>
        <w:tabs>
          <w:tab w:val="num" w:pos="1080"/>
        </w:tabs>
        <w:ind w:left="1080" w:hanging="360"/>
      </w:pPr>
      <w:rPr>
        <w:rFonts w:ascii="Symbol" w:hAnsi="Symbol" w:hint="default"/>
      </w:rPr>
    </w:lvl>
  </w:abstractNum>
  <w:abstractNum w:abstractNumId="6">
    <w:nsid w:val="1C2F7AFB"/>
    <w:multiLevelType w:val="hybridMultilevel"/>
    <w:tmpl w:val="5FD8462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FFE7F43"/>
    <w:multiLevelType w:val="singleLevel"/>
    <w:tmpl w:val="25DCC2F6"/>
    <w:lvl w:ilvl="0">
      <w:start w:val="6"/>
      <w:numFmt w:val="bullet"/>
      <w:lvlText w:val=""/>
      <w:lvlJc w:val="left"/>
      <w:pPr>
        <w:tabs>
          <w:tab w:val="num" w:pos="1140"/>
        </w:tabs>
        <w:ind w:left="1140" w:hanging="360"/>
      </w:pPr>
      <w:rPr>
        <w:rFonts w:ascii="Symbol" w:hAnsi="Symbol" w:hint="default"/>
      </w:rPr>
    </w:lvl>
  </w:abstractNum>
  <w:abstractNum w:abstractNumId="8">
    <w:nsid w:val="230C44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4323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4FB6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6B01E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38474A11"/>
    <w:multiLevelType w:val="singleLevel"/>
    <w:tmpl w:val="476202D4"/>
    <w:lvl w:ilvl="0">
      <w:start w:val="0"/>
      <w:numFmt w:val="bullet"/>
      <w:lvlText w:val=""/>
      <w:lvlJc w:val="left"/>
      <w:pPr>
        <w:tabs>
          <w:tab w:val="num" w:pos="1080"/>
        </w:tabs>
        <w:ind w:left="1080" w:hanging="360"/>
      </w:pPr>
      <w:rPr>
        <w:rFonts w:ascii="Symbol" w:hAnsi="Symbol" w:hint="default"/>
      </w:rPr>
    </w:lvl>
  </w:abstractNum>
  <w:abstractNum w:abstractNumId="13">
    <w:nsid w:val="39594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CB82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45D62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46B4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6000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3A3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D4A2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0B377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7590FB0"/>
    <w:multiLevelType w:val="singleLevel"/>
    <w:tmpl w:val="476202D4"/>
    <w:lvl w:ilvl="0">
      <w:start w:val="0"/>
      <w:numFmt w:val="bullet"/>
      <w:lvlText w:val=""/>
      <w:lvlJc w:val="left"/>
      <w:pPr>
        <w:tabs>
          <w:tab w:val="num" w:pos="1080"/>
        </w:tabs>
        <w:ind w:left="1080" w:hanging="360"/>
      </w:pPr>
      <w:rPr>
        <w:rFonts w:ascii="Symbol" w:hAnsi="Symbol" w:hint="default"/>
      </w:rPr>
    </w:lvl>
  </w:abstractNum>
  <w:abstractNum w:abstractNumId="24">
    <w:nsid w:val="6BEE56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DA23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0A65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C2145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7CC31556"/>
    <w:multiLevelType w:val="singleLevel"/>
    <w:tmpl w:val="5C325086"/>
    <w:lvl w:ilvl="0">
      <w:start w:val="1"/>
      <w:numFmt w:val="decimal"/>
      <w:lvlText w:val="%1."/>
      <w:lvlJc w:val="left"/>
      <w:pPr>
        <w:tabs>
          <w:tab w:val="num" w:pos="450"/>
        </w:tabs>
        <w:ind w:left="450" w:hanging="450"/>
      </w:pPr>
      <w:rPr>
        <w:rFonts w:hint="default"/>
      </w:rPr>
    </w:lvl>
  </w:abstractNum>
  <w:abstractNum w:abstractNumId="29">
    <w:nsid w:val="7CF76EF1"/>
    <w:multiLevelType w:val="singleLevel"/>
    <w:tmpl w:val="476202D4"/>
    <w:lvl w:ilvl="0">
      <w:start w:val="0"/>
      <w:numFmt w:val="bullet"/>
      <w:lvlText w:val=""/>
      <w:lvlJc w:val="left"/>
      <w:pPr>
        <w:tabs>
          <w:tab w:val="num" w:pos="1080"/>
        </w:tabs>
        <w:ind w:left="1080" w:hanging="360"/>
      </w:pPr>
      <w:rPr>
        <w:rFonts w:ascii="Symbol" w:hAnsi="Symbol" w:hint="default"/>
      </w:rPr>
    </w:lvl>
  </w:abstractNum>
  <w:num w:numId="1">
    <w:abstractNumId w:val="7"/>
  </w:num>
  <w:num w:numId="2">
    <w:abstractNumId w:val="1"/>
  </w:num>
  <w:num w:numId="3">
    <w:abstractNumId w:val="28"/>
  </w:num>
  <w:num w:numId="4">
    <w:abstractNumId w:val="19"/>
  </w:num>
  <w:num w:numId="5">
    <w:abstractNumId w:val="3"/>
  </w:num>
  <w:num w:numId="6">
    <w:abstractNumId w:val="10"/>
  </w:num>
  <w:num w:numId="7">
    <w:abstractNumId w:val="15"/>
  </w:num>
  <w:num w:numId="8">
    <w:abstractNumId w:val="13"/>
  </w:num>
  <w:num w:numId="9">
    <w:abstractNumId w:val="8"/>
  </w:num>
  <w:num w:numId="10">
    <w:abstractNumId w:val="16"/>
  </w:num>
  <w:num w:numId="11">
    <w:abstractNumId w:val="26"/>
  </w:num>
  <w:num w:numId="12">
    <w:abstractNumId w:val="2"/>
  </w:num>
  <w:num w:numId="13">
    <w:abstractNumId w:val="25"/>
  </w:num>
  <w:num w:numId="14">
    <w:abstractNumId w:val="20"/>
  </w:num>
  <w:num w:numId="15">
    <w:abstractNumId w:val="14"/>
  </w:num>
  <w:num w:numId="16">
    <w:abstractNumId w:val="24"/>
  </w:num>
  <w:num w:numId="17">
    <w:abstractNumId w:val="17"/>
  </w:num>
  <w:num w:numId="18">
    <w:abstractNumId w:val="9"/>
  </w:num>
  <w:num w:numId="19">
    <w:abstractNumId w:val="12"/>
  </w:num>
  <w:num w:numId="20">
    <w:abstractNumId w:val="29"/>
  </w:num>
  <w:num w:numId="21">
    <w:abstractNumId w:val="23"/>
  </w:num>
  <w:num w:numId="22">
    <w:abstractNumId w:val="5"/>
  </w:num>
  <w:num w:numId="23">
    <w:abstractNumId w:val="4"/>
  </w:num>
  <w:num w:numId="24">
    <w:abstractNumId w:val="11"/>
  </w:num>
  <w:num w:numId="25">
    <w:abstractNumId w:val="21"/>
  </w:num>
  <w:num w:numId="26">
    <w:abstractNumId w:val="18"/>
  </w:num>
  <w:num w:numId="27">
    <w:abstractNumId w:val="27"/>
  </w:num>
  <w:num w:numId="28">
    <w:abstractNumId w:val="6"/>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FF"/>
    <w:rsid w:val="00024877"/>
    <w:rsid w:val="001D25F9"/>
    <w:rsid w:val="001F01FA"/>
    <w:rsid w:val="00221592"/>
    <w:rsid w:val="00255B17"/>
    <w:rsid w:val="00260990"/>
    <w:rsid w:val="003247A6"/>
    <w:rsid w:val="00365EA9"/>
    <w:rsid w:val="00386F71"/>
    <w:rsid w:val="00445CB9"/>
    <w:rsid w:val="00453407"/>
    <w:rsid w:val="004662E1"/>
    <w:rsid w:val="004D427A"/>
    <w:rsid w:val="0054675B"/>
    <w:rsid w:val="0059512C"/>
    <w:rsid w:val="005A715D"/>
    <w:rsid w:val="006D21DA"/>
    <w:rsid w:val="006F0FD3"/>
    <w:rsid w:val="00774CCC"/>
    <w:rsid w:val="007C11AF"/>
    <w:rsid w:val="00800EE8"/>
    <w:rsid w:val="00804010"/>
    <w:rsid w:val="008500FF"/>
    <w:rsid w:val="008B7D7E"/>
    <w:rsid w:val="00901133"/>
    <w:rsid w:val="0095794F"/>
    <w:rsid w:val="00966B48"/>
    <w:rsid w:val="009C3C43"/>
    <w:rsid w:val="00A023BD"/>
    <w:rsid w:val="00AF12E8"/>
    <w:rsid w:val="00B4487B"/>
    <w:rsid w:val="00B81787"/>
    <w:rsid w:val="00BB14D7"/>
    <w:rsid w:val="00C8471C"/>
    <w:rsid w:val="00CE171E"/>
    <w:rsid w:val="00CE1859"/>
    <w:rsid w:val="00D07AC4"/>
    <w:rsid w:val="00D40260"/>
    <w:rsid w:val="00D932B1"/>
    <w:rsid w:val="00D94B5E"/>
    <w:rsid w:val="00D954E3"/>
    <w:rsid w:val="00E25906"/>
    <w:rsid w:val="00E303D4"/>
    <w:rsid w:val="00E60262"/>
    <w:rsid w:val="00E83438"/>
    <w:rsid w:val="00E90800"/>
    <w:rsid w:val="00EB2C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16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0"/>
      </w:tabs>
      <w:suppressAutoHyphens/>
      <w:ind w:left="90" w:hanging="720"/>
      <w:jc w:val="both"/>
      <w:outlineLvl w:val="0"/>
    </w:pPr>
    <w:rPr>
      <w:rFonts w:ascii="Times New Roman" w:hAnsi="Times New Roman"/>
      <w:b/>
      <w:sz w:val="29"/>
    </w:rPr>
  </w:style>
  <w:style w:type="paragraph" w:styleId="Heading2">
    <w:name w:val="heading 2"/>
    <w:basedOn w:val="Normal"/>
    <w:next w:val="Normal"/>
    <w:qFormat/>
    <w:pPr>
      <w:keepNext/>
      <w:tabs>
        <w:tab w:val="center" w:pos="4680"/>
      </w:tabs>
      <w:suppressAutoHyphens/>
      <w:ind w:left="720"/>
      <w:jc w:val="both"/>
      <w:outlineLvl w:val="1"/>
    </w:pPr>
    <w:rPr>
      <w:rFonts w:ascii="Times New Roman" w:hAnsi="Times New Roman"/>
      <w:b/>
      <w:i/>
      <w:sz w:val="29"/>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tyle>
  <w:style w:type="character" w:styleId="FootnoteReference">
    <w:name w:val="footnote reference"/>
    <w:aliases w:val="(NECG) Footnote Reference,Appel note de bas de p,FR,Footnote Reference/,Footnote Reference1,Style 12,Style 124,Style 13,Style 17,Style 4,Style 6,Style 7,fr,o"/>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suppressAutoHyphens/>
      <w:ind w:right="-720" w:hanging="720"/>
      <w:jc w:val="both"/>
    </w:pPr>
    <w:rPr>
      <w:rFonts w:ascii="Times New Roman" w:hAnsi="Times New Roman"/>
    </w:rPr>
  </w:style>
  <w:style w:type="paragraph" w:styleId="BodyTextIndent2">
    <w:name w:val="Body Text Indent 2"/>
    <w:basedOn w:val="Normal"/>
    <w:pPr>
      <w:tabs>
        <w:tab w:val="left" w:pos="-720"/>
        <w:tab w:val="left" w:pos="0"/>
      </w:tabs>
      <w:suppressAutoHyphens/>
      <w:ind w:left="720" w:hanging="720"/>
    </w:pPr>
    <w:rPr>
      <w:rFonts w:ascii="Times New Roman" w:hAnsi="Times New Roman"/>
    </w:rPr>
  </w:style>
  <w:style w:type="paragraph" w:styleId="BodyTextIndent3">
    <w:name w:val="Body Text Indent 3"/>
    <w:basedOn w:val="Normal"/>
    <w:pPr>
      <w:tabs>
        <w:tab w:val="left" w:pos="-720"/>
        <w:tab w:val="left" w:pos="0"/>
      </w:tabs>
      <w:suppressAutoHyphens/>
      <w:ind w:left="720"/>
      <w:jc w:val="both"/>
    </w:pPr>
    <w:rPr>
      <w:rFonts w:ascii="Times New Roman" w:hAnsi="Times New Roman"/>
    </w:rPr>
  </w:style>
  <w:style w:type="paragraph" w:styleId="BodyText">
    <w:name w:val="Body Text"/>
    <w:basedOn w:val="Normal"/>
    <w:pPr>
      <w:tabs>
        <w:tab w:val="center" w:pos="4680"/>
      </w:tabs>
      <w:suppressAutoHyphens/>
    </w:pPr>
    <w:rPr>
      <w:rFonts w:ascii="Times New Roman" w:hAnsi="Times New Roman"/>
      <w:sz w:val="16"/>
    </w:rPr>
  </w:style>
  <w:style w:type="character" w:styleId="Hyperlink">
    <w:name w:val="Hyperlink"/>
    <w:rPr>
      <w:color w:val="0000FF"/>
      <w:u w:val="single"/>
    </w:rPr>
  </w:style>
  <w:style w:type="paragraph" w:styleId="BodyText2">
    <w:name w:val="Body Text 2"/>
    <w:basedOn w:val="Normal"/>
    <w:pPr>
      <w:tabs>
        <w:tab w:val="left" w:pos="777"/>
        <w:tab w:val="center" w:pos="3840"/>
      </w:tabs>
      <w:suppressAutoHyphens/>
    </w:pPr>
    <w:rPr>
      <w:rFonts w:ascii="Times New Roman" w:hAnsi="Times New Roman"/>
      <w:b/>
    </w:rPr>
  </w:style>
  <w:style w:type="paragraph" w:styleId="DocumentMap">
    <w:name w:val="Document Map"/>
    <w:basedOn w:val="Normal"/>
    <w:semiHidden/>
    <w:pPr>
      <w:shd w:val="clear" w:color="auto" w:fill="000080"/>
    </w:pPr>
    <w:rPr>
      <w:rFonts w:ascii="Tahoma" w:hAnsi="Tahoma"/>
    </w:rPr>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1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locked/>
    <w:rsid w:val="00C8471C"/>
    <w:rPr>
      <w:color w:val="000000"/>
    </w:rPr>
  </w:style>
  <w:style w:type="paragraph" w:customStyle="1" w:styleId="footnotedescription">
    <w:name w:val="footnote description"/>
    <w:next w:val="Normal"/>
    <w:link w:val="footnotedescriptionChar"/>
    <w:rsid w:val="00C8471C"/>
    <w:pPr>
      <w:spacing w:after="115" w:line="254" w:lineRule="auto"/>
    </w:pPr>
    <w:rPr>
      <w:color w:val="000000"/>
    </w:rPr>
  </w:style>
  <w:style w:type="character" w:customStyle="1" w:styleId="footnotemark">
    <w:name w:val="footnote mark"/>
    <w:rsid w:val="00C8471C"/>
    <w:rPr>
      <w:rFonts w:ascii="Times New Roman" w:eastAsia="Times New Roman" w:hAnsi="Times New Roman" w:cs="Times New Roman" w:hint="default"/>
      <w:color w:val="000000"/>
      <w:sz w:val="20"/>
      <w:vertAlign w:val="superscript"/>
    </w:rPr>
  </w:style>
  <w:style w:type="character" w:styleId="CommentReference">
    <w:name w:val="annotation reference"/>
    <w:basedOn w:val="DefaultParagraphFont"/>
    <w:rsid w:val="00D954E3"/>
    <w:rPr>
      <w:sz w:val="16"/>
      <w:szCs w:val="16"/>
    </w:rPr>
  </w:style>
  <w:style w:type="paragraph" w:styleId="CommentText">
    <w:name w:val="annotation text"/>
    <w:basedOn w:val="Normal"/>
    <w:link w:val="CommentTextChar"/>
    <w:rsid w:val="00D954E3"/>
    <w:rPr>
      <w:sz w:val="20"/>
    </w:rPr>
  </w:style>
  <w:style w:type="character" w:customStyle="1" w:styleId="CommentTextChar">
    <w:name w:val="Comment Text Char"/>
    <w:basedOn w:val="DefaultParagraphFont"/>
    <w:link w:val="CommentText"/>
    <w:rsid w:val="00D954E3"/>
    <w:rPr>
      <w:rFonts w:ascii="Courier" w:hAnsi="Courier"/>
      <w:snapToGrid w:val="0"/>
    </w:rPr>
  </w:style>
  <w:style w:type="paragraph" w:styleId="CommentSubject">
    <w:name w:val="annotation subject"/>
    <w:basedOn w:val="CommentText"/>
    <w:next w:val="CommentText"/>
    <w:link w:val="CommentSubjectChar"/>
    <w:rsid w:val="00D954E3"/>
    <w:rPr>
      <w:b/>
      <w:bCs/>
    </w:rPr>
  </w:style>
  <w:style w:type="character" w:customStyle="1" w:styleId="CommentSubjectChar">
    <w:name w:val="Comment Subject Char"/>
    <w:basedOn w:val="CommentTextChar"/>
    <w:link w:val="CommentSubject"/>
    <w:rsid w:val="00D954E3"/>
    <w:rPr>
      <w:rFonts w:ascii="Courier" w:hAnsi="Courier"/>
      <w:b/>
      <w:bCs/>
      <w:snapToGrid w:val="0"/>
    </w:rPr>
  </w:style>
  <w:style w:type="character" w:customStyle="1" w:styleId="UnresolvedMention">
    <w:name w:val="Unresolved Mention"/>
    <w:basedOn w:val="DefaultParagraphFont"/>
    <w:rsid w:val="00D954E3"/>
    <w:rPr>
      <w:color w:val="605E5C"/>
      <w:shd w:val="clear" w:color="auto" w:fill="E1DFDD"/>
    </w:rPr>
  </w:style>
  <w:style w:type="character" w:styleId="FollowedHyperlink">
    <w:name w:val="FollowedHyperlink"/>
    <w:basedOn w:val="DefaultParagraphFont"/>
    <w:rsid w:val="005A715D"/>
    <w:rPr>
      <w:color w:val="954F72" w:themeColor="followedHyperlink"/>
      <w:u w:val="single"/>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sid w:val="005A715D"/>
    <w:rPr>
      <w:rFonts w:ascii="Courier" w:hAnsi="Courier"/>
      <w:snapToGrid w:val="0"/>
      <w:sz w:val="24"/>
    </w:rPr>
  </w:style>
  <w:style w:type="character" w:customStyle="1" w:styleId="text-black-small">
    <w:name w:val="text-black-small"/>
    <w:basedOn w:val="DefaultParagraphFont"/>
    <w:rsid w:val="00D932B1"/>
  </w:style>
  <w:style w:type="paragraph" w:customStyle="1" w:styleId="ParaNum">
    <w:name w:val="ParaNum"/>
    <w:basedOn w:val="Normal"/>
    <w:link w:val="ParaNumChar1"/>
    <w:rsid w:val="00221592"/>
    <w:pPr>
      <w:numPr>
        <w:numId w:val="30"/>
      </w:numPr>
      <w:tabs>
        <w:tab w:val="clear" w:pos="1080"/>
        <w:tab w:val="num" w:pos="1440"/>
      </w:tabs>
      <w:spacing w:after="120"/>
    </w:pPr>
    <w:rPr>
      <w:rFonts w:ascii="Times New Roman" w:hAnsi="Times New Roman"/>
      <w:kern w:val="28"/>
      <w:sz w:val="22"/>
    </w:rPr>
  </w:style>
  <w:style w:type="character" w:customStyle="1" w:styleId="ParaNumChar1">
    <w:name w:val="ParaNum Char1"/>
    <w:link w:val="ParaNum"/>
    <w:locked/>
    <w:rsid w:val="0022159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paymentFrnLogin.do" TargetMode="External" /><Relationship Id="rId11" Type="http://schemas.openxmlformats.org/officeDocument/2006/relationships/hyperlink" Target="https://apps.fcc.gov/FeeFiler/login.cfm" TargetMode="External" /><Relationship Id="rId12" Type="http://schemas.openxmlformats.org/officeDocument/2006/relationships/hyperlink" Target="https://apps.fcc.gov/etfs/etfsHome.action" TargetMode="External" /><Relationship Id="rId13" Type="http://schemas.openxmlformats.org/officeDocument/2006/relationships/hyperlink" Target="http://www.fcc.gov/fees/electran.html" TargetMode="External" /><Relationship Id="rId14" Type="http://schemas.openxmlformats.org/officeDocument/2006/relationships/hyperlink" Target="https://www.fcc.gov/available-support-services" TargetMode="External" /><Relationship Id="rId15" Type="http://schemas.openxmlformats.org/officeDocument/2006/relationships/hyperlink" Target="mailto:ARINQUIRIES@fcc.gov" TargetMode="External" /><Relationship Id="rId16" Type="http://schemas.openxmlformats.org/officeDocument/2006/relationships/image" Target="media/image1.wmf"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formpage.html" TargetMode="External" /><Relationship Id="rId6" Type="http://schemas.openxmlformats.org/officeDocument/2006/relationships/hyperlink" Target="http://www.fcc.gov/cores" TargetMode="External" /><Relationship Id="rId7" Type="http://schemas.openxmlformats.org/officeDocument/2006/relationships/hyperlink" Target="https://www.fcc.gov/secretary" TargetMode="External" /><Relationship Id="rId8" Type="http://schemas.openxmlformats.org/officeDocument/2006/relationships/hyperlink" Target="https://www.fcc.gov/ecfs/" TargetMode="External" /><Relationship Id="rId9" Type="http://schemas.openxmlformats.org/officeDocument/2006/relationships/hyperlink" Target="https://apps.fcc.gov/cores/user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tfm.fiscal.treasury.gov/v1/bull/17-12.pdf" TargetMode="External" /><Relationship Id="rId2" Type="http://schemas.openxmlformats.org/officeDocument/2006/relationships/hyperlink" Target="https://www.gpo.gov/fdsys/pkg/FR-2011-06-16/pdf/2011-1518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