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204CE3" w14:paraId="5FCF4CB7" w14:textId="5272A4DA">
      <w:pPr>
        <w:rPr>
          <w:sz w:val="22"/>
          <w:szCs w:val="22"/>
        </w:rPr>
      </w:pPr>
    </w:p>
    <w:p w:rsidR="001C5FF8" w:rsidP="001C5FF8" w14:paraId="0C32B5CC" w14:textId="4DF877E9">
      <w:pPr>
        <w:rPr>
          <w:b/>
          <w:sz w:val="22"/>
          <w:szCs w:val="22"/>
        </w:rPr>
      </w:pPr>
      <w:r>
        <w:rPr>
          <w:b/>
          <w:sz w:val="22"/>
          <w:szCs w:val="22"/>
        </w:rPr>
        <w:t>BY FIRST CLASS MAIL</w:t>
      </w:r>
      <w:r w:rsidR="006A5735">
        <w:rPr>
          <w:b/>
          <w:sz w:val="22"/>
          <w:szCs w:val="22"/>
        </w:rPr>
        <w:t xml:space="preserve">, </w:t>
      </w:r>
      <w:r>
        <w:rPr>
          <w:b/>
          <w:sz w:val="22"/>
          <w:szCs w:val="22"/>
        </w:rPr>
        <w:t>CERTIFIED MAIL</w:t>
      </w:r>
      <w:r w:rsidR="00051E96">
        <w:rPr>
          <w:b/>
          <w:sz w:val="22"/>
          <w:szCs w:val="22"/>
        </w:rPr>
        <w:t xml:space="preserve"> AND UPS</w:t>
      </w:r>
    </w:p>
    <w:p w:rsidR="00051E96" w:rsidRPr="009014F9" w:rsidP="001C5FF8" w14:paraId="7343F822" w14:textId="77777777">
      <w:pPr>
        <w:rPr>
          <w:b/>
          <w:sz w:val="22"/>
          <w:szCs w:val="22"/>
        </w:rPr>
      </w:pPr>
    </w:p>
    <w:p w:rsidR="001C5FF8" w:rsidP="001C5FF8" w14:paraId="1074FF78" w14:textId="647CB367">
      <w:pPr>
        <w:rPr>
          <w:sz w:val="22"/>
          <w:szCs w:val="22"/>
        </w:rPr>
      </w:pPr>
      <w:r>
        <w:rPr>
          <w:sz w:val="22"/>
          <w:szCs w:val="22"/>
        </w:rPr>
        <w:t>Charles Block</w:t>
      </w:r>
    </w:p>
    <w:p w:rsidR="001C5FF8" w:rsidP="001C5FF8" w14:paraId="132B13DE" w14:textId="00CF710C">
      <w:pPr>
        <w:rPr>
          <w:sz w:val="22"/>
          <w:szCs w:val="22"/>
        </w:rPr>
      </w:pPr>
      <w:r>
        <w:rPr>
          <w:sz w:val="22"/>
          <w:szCs w:val="22"/>
        </w:rPr>
        <w:t>Long Beach, CA</w:t>
      </w:r>
    </w:p>
    <w:p w:rsidR="001C5FF8" w:rsidP="001C5FF8" w14:paraId="2DA93DEE" w14:textId="3141CBD7">
      <w:pPr>
        <w:rPr>
          <w:sz w:val="22"/>
          <w:szCs w:val="22"/>
        </w:rPr>
      </w:pPr>
    </w:p>
    <w:p w:rsidR="00174A88" w:rsidP="00174A88" w14:paraId="237F84CC" w14:textId="77777777">
      <w:pPr>
        <w:jc w:val="right"/>
        <w:rPr>
          <w:sz w:val="22"/>
          <w:szCs w:val="22"/>
        </w:rPr>
      </w:pPr>
      <w:r>
        <w:rPr>
          <w:sz w:val="22"/>
          <w:szCs w:val="22"/>
        </w:rPr>
        <w:t>Case Number: EB-FIELDWR-21-00032611</w:t>
      </w:r>
    </w:p>
    <w:p w:rsidR="00174A88" w:rsidP="001C5FF8" w14:paraId="5D59C13E" w14:textId="77777777">
      <w:pPr>
        <w:jc w:val="center"/>
        <w:rPr>
          <w:b/>
          <w:sz w:val="22"/>
          <w:szCs w:val="22"/>
        </w:rPr>
      </w:pPr>
    </w:p>
    <w:p w:rsidR="00174A88" w:rsidP="001C5FF8" w14:paraId="4AC3AF53" w14:textId="77777777">
      <w:pPr>
        <w:jc w:val="center"/>
        <w:rPr>
          <w:b/>
          <w:sz w:val="22"/>
          <w:szCs w:val="22"/>
        </w:rPr>
      </w:pPr>
    </w:p>
    <w:p w:rsidR="001C5FF8" w:rsidP="00C209B6" w14:paraId="4435C4E2" w14:textId="3AAE5E88">
      <w:pPr>
        <w:jc w:val="center"/>
        <w:rPr>
          <w:sz w:val="22"/>
          <w:szCs w:val="22"/>
        </w:rPr>
      </w:pPr>
      <w:r w:rsidRPr="001C5FF8">
        <w:rPr>
          <w:b/>
          <w:sz w:val="22"/>
          <w:szCs w:val="22"/>
        </w:rPr>
        <w:t>NOTIFICATION OF HARMFUL INTERFERENCE</w:t>
      </w:r>
      <w:r w:rsidR="00174A88">
        <w:rPr>
          <w:b/>
          <w:sz w:val="22"/>
          <w:szCs w:val="22"/>
        </w:rPr>
        <w:t xml:space="preserve"> AND UNLICENSED OPERATION</w:t>
      </w:r>
    </w:p>
    <w:p w:rsidR="001C5FF8" w:rsidP="001C5FF8" w14:paraId="391DFFFA" w14:textId="4EF1F4DC">
      <w:pPr>
        <w:jc w:val="right"/>
        <w:rPr>
          <w:sz w:val="22"/>
          <w:szCs w:val="22"/>
        </w:rPr>
      </w:pPr>
    </w:p>
    <w:p w:rsidR="0048543D" w:rsidRPr="00F05608" w:rsidP="0048543D" w14:paraId="62DEFA95" w14:textId="1351A5B7">
      <w:pPr>
        <w:tabs>
          <w:tab w:val="num" w:pos="1440"/>
        </w:tabs>
        <w:rPr>
          <w:color w:val="000000"/>
          <w:sz w:val="22"/>
          <w:szCs w:val="22"/>
        </w:rPr>
      </w:pPr>
      <w:r w:rsidRPr="00CB47AC">
        <w:rPr>
          <w:sz w:val="22"/>
          <w:szCs w:val="22"/>
        </w:rPr>
        <w:t>On</w:t>
      </w:r>
      <w:r>
        <w:rPr>
          <w:sz w:val="22"/>
          <w:szCs w:val="22"/>
        </w:rPr>
        <w:t xml:space="preserve"> </w:t>
      </w:r>
      <w:r w:rsidR="00384FBF">
        <w:rPr>
          <w:sz w:val="22"/>
          <w:szCs w:val="22"/>
        </w:rPr>
        <w:t>August 8, 2021</w:t>
      </w:r>
      <w:r w:rsidRPr="008D2C51">
        <w:rPr>
          <w:sz w:val="22"/>
          <w:szCs w:val="22"/>
        </w:rPr>
        <w:t xml:space="preserve">, </w:t>
      </w:r>
      <w:r>
        <w:rPr>
          <w:sz w:val="22"/>
          <w:szCs w:val="22"/>
        </w:rPr>
        <w:t>an</w:t>
      </w:r>
      <w:r w:rsidRPr="00CB47AC">
        <w:rPr>
          <w:sz w:val="22"/>
          <w:szCs w:val="22"/>
        </w:rPr>
        <w:t xml:space="preserve"> </w:t>
      </w:r>
      <w:r>
        <w:rPr>
          <w:sz w:val="22"/>
          <w:szCs w:val="22"/>
        </w:rPr>
        <w:t xml:space="preserve">Agent from the </w:t>
      </w:r>
      <w:r w:rsidR="00384FBF">
        <w:rPr>
          <w:sz w:val="22"/>
          <w:szCs w:val="22"/>
        </w:rPr>
        <w:t>Los Angeles</w:t>
      </w:r>
      <w:r>
        <w:rPr>
          <w:sz w:val="22"/>
          <w:szCs w:val="22"/>
        </w:rPr>
        <w:t xml:space="preserve"> Office of the Federal Communications Commission’s (FCC or Commission) </w:t>
      </w:r>
      <w:r w:rsidRPr="00CB47AC">
        <w:rPr>
          <w:sz w:val="22"/>
          <w:szCs w:val="22"/>
        </w:rPr>
        <w:t>Enforcement Bureau</w:t>
      </w:r>
      <w:r>
        <w:rPr>
          <w:sz w:val="22"/>
          <w:szCs w:val="22"/>
        </w:rPr>
        <w:t xml:space="preserve"> (Bureau) investigated </w:t>
      </w:r>
      <w:r w:rsidRPr="00F05608">
        <w:rPr>
          <w:color w:val="000000"/>
          <w:sz w:val="22"/>
          <w:szCs w:val="22"/>
        </w:rPr>
        <w:t xml:space="preserve">a complaint </w:t>
      </w:r>
      <w:r w:rsidRPr="00245312">
        <w:rPr>
          <w:sz w:val="22"/>
          <w:szCs w:val="22"/>
        </w:rPr>
        <w:t xml:space="preserve">from the United States Coast Guard </w:t>
      </w:r>
      <w:r w:rsidRPr="00F05608">
        <w:rPr>
          <w:color w:val="000000"/>
          <w:sz w:val="22"/>
          <w:szCs w:val="22"/>
        </w:rPr>
        <w:t>that</w:t>
      </w:r>
      <w:r w:rsidRPr="00CB47AC">
        <w:rPr>
          <w:sz w:val="22"/>
          <w:szCs w:val="22"/>
        </w:rPr>
        <w:t xml:space="preserve"> a signal was interfering with</w:t>
      </w:r>
      <w:r>
        <w:rPr>
          <w:sz w:val="22"/>
          <w:szCs w:val="22"/>
        </w:rPr>
        <w:t xml:space="preserve"> </w:t>
      </w:r>
      <w:r w:rsidRPr="00245312">
        <w:rPr>
          <w:sz w:val="22"/>
          <w:szCs w:val="22"/>
        </w:rPr>
        <w:t xml:space="preserve">156.8 MHz (VHF </w:t>
      </w:r>
      <w:r w:rsidR="007A7242">
        <w:rPr>
          <w:sz w:val="22"/>
          <w:szCs w:val="22"/>
        </w:rPr>
        <w:t>Marine Channel 16</w:t>
      </w:r>
      <w:r w:rsidR="0033572D">
        <w:rPr>
          <w:sz w:val="22"/>
          <w:szCs w:val="22"/>
        </w:rPr>
        <w:t>)</w:t>
      </w:r>
      <w:r w:rsidRPr="00CB47AC">
        <w:rPr>
          <w:sz w:val="22"/>
          <w:szCs w:val="22"/>
        </w:rPr>
        <w:t xml:space="preserve">.  </w:t>
      </w:r>
      <w:r>
        <w:rPr>
          <w:sz w:val="22"/>
          <w:szCs w:val="22"/>
        </w:rPr>
        <w:t>The Agent</w:t>
      </w:r>
      <w:r w:rsidRPr="00CB47AC">
        <w:rPr>
          <w:sz w:val="22"/>
          <w:szCs w:val="22"/>
        </w:rPr>
        <w:t xml:space="preserve"> investigated and located </w:t>
      </w:r>
      <w:r>
        <w:rPr>
          <w:sz w:val="22"/>
          <w:szCs w:val="22"/>
        </w:rPr>
        <w:t xml:space="preserve">the signal to </w:t>
      </w:r>
      <w:r w:rsidRPr="00245312">
        <w:rPr>
          <w:sz w:val="22"/>
          <w:szCs w:val="22"/>
        </w:rPr>
        <w:t xml:space="preserve">your residence in </w:t>
      </w:r>
      <w:r w:rsidR="00384FBF">
        <w:rPr>
          <w:sz w:val="22"/>
          <w:szCs w:val="22"/>
        </w:rPr>
        <w:t>Long Beach</w:t>
      </w:r>
      <w:r w:rsidRPr="00245312">
        <w:rPr>
          <w:sz w:val="22"/>
          <w:szCs w:val="22"/>
        </w:rPr>
        <w:t>, C</w:t>
      </w:r>
      <w:r>
        <w:rPr>
          <w:sz w:val="22"/>
          <w:szCs w:val="22"/>
        </w:rPr>
        <w:t>alifornia.</w:t>
      </w:r>
      <w:r>
        <w:rPr>
          <w:rStyle w:val="FootnoteReference"/>
          <w:sz w:val="22"/>
          <w:szCs w:val="22"/>
        </w:rPr>
        <w:footnoteReference w:id="2"/>
      </w:r>
      <w:r>
        <w:rPr>
          <w:sz w:val="22"/>
          <w:szCs w:val="22"/>
        </w:rPr>
        <w:t xml:space="preserve">  </w:t>
      </w:r>
      <w:r w:rsidRPr="00CB47AC">
        <w:rPr>
          <w:sz w:val="22"/>
          <w:szCs w:val="22"/>
        </w:rPr>
        <w:t>The interfering signal was</w:t>
      </w:r>
      <w:r>
        <w:rPr>
          <w:sz w:val="22"/>
          <w:szCs w:val="22"/>
        </w:rPr>
        <w:t xml:space="preserve"> emanating from</w:t>
      </w:r>
      <w:r w:rsidRPr="001C5FF8" w:rsidR="00051E96">
        <w:rPr>
          <w:sz w:val="22"/>
          <w:szCs w:val="22"/>
        </w:rPr>
        <w:t xml:space="preserve"> </w:t>
      </w:r>
      <w:r w:rsidR="00051E96">
        <w:rPr>
          <w:sz w:val="22"/>
          <w:szCs w:val="22"/>
        </w:rPr>
        <w:t>a</w:t>
      </w:r>
      <w:r w:rsidR="00FD212F">
        <w:rPr>
          <w:sz w:val="22"/>
          <w:szCs w:val="22"/>
        </w:rPr>
        <w:t>n</w:t>
      </w:r>
      <w:r w:rsidR="00051E96">
        <w:rPr>
          <w:sz w:val="22"/>
          <w:szCs w:val="22"/>
        </w:rPr>
        <w:t xml:space="preserve"> Icom M11 VHF</w:t>
      </w:r>
      <w:r w:rsidRPr="00245312">
        <w:rPr>
          <w:sz w:val="22"/>
          <w:szCs w:val="22"/>
        </w:rPr>
        <w:t xml:space="preserve"> marine transceiver </w:t>
      </w:r>
      <w:r>
        <w:rPr>
          <w:sz w:val="22"/>
          <w:szCs w:val="22"/>
        </w:rPr>
        <w:t>that</w:t>
      </w:r>
      <w:r w:rsidRPr="00245312">
        <w:rPr>
          <w:sz w:val="22"/>
          <w:szCs w:val="22"/>
        </w:rPr>
        <w:t xml:space="preserve"> was operating defectively</w:t>
      </w:r>
      <w:r w:rsidR="00E620F8">
        <w:rPr>
          <w:sz w:val="22"/>
          <w:szCs w:val="22"/>
        </w:rPr>
        <w:t>,</w:t>
      </w:r>
      <w:r w:rsidRPr="00245312">
        <w:rPr>
          <w:sz w:val="22"/>
          <w:szCs w:val="22"/>
        </w:rPr>
        <w:t xml:space="preserve"> as it was continuously transmitting</w:t>
      </w:r>
      <w:r w:rsidR="00E620F8">
        <w:rPr>
          <w:sz w:val="22"/>
          <w:szCs w:val="22"/>
        </w:rPr>
        <w:t xml:space="preserve"> on VHF Marine Channel 16</w:t>
      </w:r>
      <w:r w:rsidRPr="00F05608">
        <w:rPr>
          <w:color w:val="000000"/>
          <w:sz w:val="22"/>
          <w:szCs w:val="22"/>
        </w:rPr>
        <w:t>.  The</w:t>
      </w:r>
      <w:r w:rsidR="00051E96">
        <w:rPr>
          <w:sz w:val="22"/>
          <w:szCs w:val="22"/>
        </w:rPr>
        <w:t xml:space="preserve"> Icom M11 VHF Transceiver </w:t>
      </w:r>
      <w:r w:rsidRPr="00245312">
        <w:rPr>
          <w:sz w:val="22"/>
          <w:szCs w:val="22"/>
        </w:rPr>
        <w:t xml:space="preserve">with FCC ID </w:t>
      </w:r>
      <w:r w:rsidR="00051E96">
        <w:rPr>
          <w:sz w:val="22"/>
          <w:szCs w:val="22"/>
        </w:rPr>
        <w:t>AF19XU IC-M11</w:t>
      </w:r>
      <w:r w:rsidRPr="00245312">
        <w:rPr>
          <w:sz w:val="22"/>
          <w:szCs w:val="22"/>
        </w:rPr>
        <w:t>,</w:t>
      </w:r>
      <w:r>
        <w:rPr>
          <w:color w:val="FF0000"/>
          <w:sz w:val="22"/>
          <w:szCs w:val="22"/>
        </w:rPr>
        <w:t xml:space="preserve"> </w:t>
      </w:r>
      <w:r w:rsidRPr="00F05608">
        <w:rPr>
          <w:color w:val="000000"/>
          <w:sz w:val="22"/>
          <w:szCs w:val="22"/>
        </w:rPr>
        <w:t>was subsequently turned off and the interference ceased.</w:t>
      </w:r>
    </w:p>
    <w:p w:rsidR="0048543D" w:rsidP="0048543D" w14:paraId="1F40018B" w14:textId="77777777">
      <w:pPr>
        <w:rPr>
          <w:sz w:val="22"/>
          <w:szCs w:val="22"/>
        </w:rPr>
      </w:pPr>
    </w:p>
    <w:p w:rsidR="0048543D" w:rsidRPr="0099390B" w:rsidP="0048543D" w14:paraId="7587FC0C" w14:textId="7CC59823">
      <w:pPr>
        <w:rPr>
          <w:sz w:val="22"/>
          <w:szCs w:val="22"/>
        </w:rPr>
      </w:pPr>
      <w:r w:rsidRPr="0099390B">
        <w:rPr>
          <w:sz w:val="22"/>
          <w:szCs w:val="22"/>
        </w:rPr>
        <w:t>Operation on 156.8 MHz is reserved for the marine radio service and is for ship to ship or ship to shore (coast station) operation.</w:t>
      </w:r>
      <w:r>
        <w:rPr>
          <w:rStyle w:val="FootnoteReference"/>
          <w:sz w:val="22"/>
          <w:szCs w:val="22"/>
        </w:rPr>
        <w:footnoteReference w:id="3"/>
      </w:r>
      <w:r w:rsidRPr="0099390B">
        <w:rPr>
          <w:sz w:val="22"/>
          <w:szCs w:val="22"/>
        </w:rPr>
        <w:t xml:space="preserve">  Specifically, VHF Marine Channel 16 is designated as the international radiotelephone distress, urgency, safety, call and reply frequency for ships and coast stations.</w:t>
      </w:r>
      <w:r>
        <w:rPr>
          <w:rStyle w:val="FootnoteReference"/>
          <w:sz w:val="22"/>
          <w:szCs w:val="22"/>
        </w:rPr>
        <w:footnoteReference w:id="4"/>
      </w:r>
      <w:r w:rsidRPr="0099390B">
        <w:rPr>
          <w:sz w:val="22"/>
          <w:szCs w:val="22"/>
        </w:rPr>
        <w:t xml:space="preserve">  Section 80.89(a) of the </w:t>
      </w:r>
      <w:r w:rsidR="00637E55">
        <w:rPr>
          <w:sz w:val="22"/>
          <w:szCs w:val="22"/>
        </w:rPr>
        <w:t>Commission’s r</w:t>
      </w:r>
      <w:r w:rsidRPr="0099390B">
        <w:rPr>
          <w:sz w:val="22"/>
          <w:szCs w:val="22"/>
        </w:rPr>
        <w:t>ules states that “[s]</w:t>
      </w:r>
      <w:r w:rsidRPr="0099390B">
        <w:rPr>
          <w:sz w:val="22"/>
          <w:szCs w:val="22"/>
        </w:rPr>
        <w:t>tations</w:t>
      </w:r>
      <w:r w:rsidRPr="0099390B">
        <w:rPr>
          <w:sz w:val="22"/>
          <w:szCs w:val="22"/>
        </w:rPr>
        <w:t xml:space="preserve"> must not engage in superfluous radiocommunication.”</w:t>
      </w:r>
      <w:r>
        <w:rPr>
          <w:rStyle w:val="FootnoteReference"/>
          <w:sz w:val="22"/>
          <w:szCs w:val="22"/>
        </w:rPr>
        <w:footnoteReference w:id="5"/>
      </w:r>
      <w:r w:rsidRPr="0099390B">
        <w:rPr>
          <w:sz w:val="22"/>
          <w:szCs w:val="22"/>
        </w:rPr>
        <w:t xml:space="preserve">  </w:t>
      </w:r>
      <w:r w:rsidRPr="00245312">
        <w:rPr>
          <w:sz w:val="22"/>
          <w:szCs w:val="22"/>
        </w:rPr>
        <w:t xml:space="preserve">At the time of the investigation, the </w:t>
      </w:r>
      <w:r>
        <w:rPr>
          <w:sz w:val="22"/>
          <w:szCs w:val="22"/>
        </w:rPr>
        <w:t>A</w:t>
      </w:r>
      <w:r w:rsidRPr="00245312">
        <w:rPr>
          <w:sz w:val="22"/>
          <w:szCs w:val="22"/>
        </w:rPr>
        <w:t xml:space="preserve">gent determined that the </w:t>
      </w:r>
      <w:r w:rsidR="00FD212F">
        <w:rPr>
          <w:sz w:val="22"/>
          <w:szCs w:val="22"/>
        </w:rPr>
        <w:t>Icom</w:t>
      </w:r>
      <w:r w:rsidRPr="00245312" w:rsidR="00FD212F">
        <w:rPr>
          <w:sz w:val="22"/>
          <w:szCs w:val="22"/>
        </w:rPr>
        <w:t xml:space="preserve"> </w:t>
      </w:r>
      <w:r w:rsidRPr="00245312">
        <w:rPr>
          <w:sz w:val="22"/>
          <w:szCs w:val="22"/>
        </w:rPr>
        <w:t>VHF marine radio transceiver at your residence was continuously transmitting an unmodulated signal with no authorized purpose for the transmissions.</w:t>
      </w:r>
    </w:p>
    <w:p w:rsidR="0048543D" w:rsidRPr="0099390B" w:rsidP="0048543D" w14:paraId="7CDD4E4B" w14:textId="77777777">
      <w:pPr>
        <w:rPr>
          <w:sz w:val="22"/>
          <w:szCs w:val="22"/>
        </w:rPr>
      </w:pPr>
    </w:p>
    <w:p w:rsidR="0048543D" w:rsidRPr="007B3806" w:rsidP="0048543D" w14:paraId="51118FDA" w14:textId="7EDECD1F">
      <w:pPr>
        <w:rPr>
          <w:sz w:val="22"/>
          <w:szCs w:val="22"/>
        </w:rPr>
      </w:pPr>
      <w:r>
        <w:rPr>
          <w:sz w:val="22"/>
          <w:szCs w:val="22"/>
        </w:rPr>
        <w:t xml:space="preserve">In addition, </w:t>
      </w:r>
      <w:r w:rsidR="00F76330">
        <w:rPr>
          <w:sz w:val="22"/>
          <w:szCs w:val="22"/>
        </w:rPr>
        <w:t>pursuant to section 301 of the Communications Act of 1934, as amended (Act),</w:t>
      </w:r>
      <w:r>
        <w:rPr>
          <w:rStyle w:val="FootnoteReference"/>
          <w:sz w:val="22"/>
          <w:szCs w:val="22"/>
        </w:rPr>
        <w:footnoteReference w:id="6"/>
      </w:r>
      <w:r w:rsidR="00F76330">
        <w:rPr>
          <w:sz w:val="22"/>
          <w:szCs w:val="22"/>
        </w:rPr>
        <w:t xml:space="preserve"> </w:t>
      </w:r>
      <w:r w:rsidR="006A02B4">
        <w:rPr>
          <w:sz w:val="22"/>
          <w:szCs w:val="22"/>
        </w:rPr>
        <w:t>and the</w:t>
      </w:r>
      <w:r w:rsidR="00BE3912">
        <w:rPr>
          <w:sz w:val="22"/>
          <w:szCs w:val="22"/>
        </w:rPr>
        <w:t xml:space="preserve"> Commission’s part 80 rules, </w:t>
      </w:r>
      <w:r w:rsidR="00E156E9">
        <w:rPr>
          <w:sz w:val="22"/>
          <w:szCs w:val="22"/>
        </w:rPr>
        <w:t xml:space="preserve">operators of coast stations (i.e., stations that operate in the maritime </w:t>
      </w:r>
      <w:r w:rsidR="006D0F16">
        <w:rPr>
          <w:sz w:val="22"/>
          <w:szCs w:val="22"/>
        </w:rPr>
        <w:t xml:space="preserve">radio </w:t>
      </w:r>
      <w:r w:rsidR="00E156E9">
        <w:rPr>
          <w:sz w:val="22"/>
          <w:szCs w:val="22"/>
        </w:rPr>
        <w:t>services from sites on land) must hold a Commission license.</w:t>
      </w:r>
      <w:r>
        <w:rPr>
          <w:rStyle w:val="FootnoteReference"/>
          <w:sz w:val="22"/>
          <w:szCs w:val="22"/>
        </w:rPr>
        <w:footnoteReference w:id="7"/>
      </w:r>
      <w:r w:rsidR="00E156E9">
        <w:rPr>
          <w:sz w:val="22"/>
          <w:szCs w:val="22"/>
        </w:rPr>
        <w:t xml:space="preserve">  </w:t>
      </w:r>
      <w:r w:rsidRPr="00245312">
        <w:rPr>
          <w:sz w:val="22"/>
          <w:szCs w:val="22"/>
        </w:rPr>
        <w:t xml:space="preserve">You have no valid coast station license </w:t>
      </w:r>
      <w:r>
        <w:rPr>
          <w:sz w:val="22"/>
          <w:szCs w:val="22"/>
        </w:rPr>
        <w:t xml:space="preserve">to operate a marine radio from </w:t>
      </w:r>
      <w:r w:rsidRPr="00245312">
        <w:rPr>
          <w:sz w:val="22"/>
          <w:szCs w:val="22"/>
        </w:rPr>
        <w:t>your residence</w:t>
      </w:r>
      <w:r w:rsidR="00E45A15">
        <w:rPr>
          <w:sz w:val="22"/>
          <w:szCs w:val="22"/>
        </w:rPr>
        <w:t>.</w:t>
      </w:r>
      <w:r w:rsidRPr="00245312">
        <w:rPr>
          <w:sz w:val="22"/>
          <w:szCs w:val="22"/>
        </w:rPr>
        <w:t xml:space="preserve"> </w:t>
      </w:r>
      <w:r w:rsidR="004A327D">
        <w:rPr>
          <w:sz w:val="22"/>
          <w:szCs w:val="22"/>
        </w:rPr>
        <w:t xml:space="preserve"> </w:t>
      </w:r>
      <w:r w:rsidRPr="00245312">
        <w:rPr>
          <w:sz w:val="22"/>
          <w:szCs w:val="22"/>
        </w:rPr>
        <w:t xml:space="preserve">Thus, this station </w:t>
      </w:r>
      <w:r w:rsidR="00CE7CA2">
        <w:rPr>
          <w:sz w:val="22"/>
          <w:szCs w:val="22"/>
        </w:rPr>
        <w:t>w</w:t>
      </w:r>
      <w:r w:rsidR="00222F2D">
        <w:rPr>
          <w:sz w:val="22"/>
          <w:szCs w:val="22"/>
        </w:rPr>
        <w:t>a</w:t>
      </w:r>
      <w:r w:rsidRPr="00245312" w:rsidR="00CE7CA2">
        <w:rPr>
          <w:sz w:val="22"/>
          <w:szCs w:val="22"/>
        </w:rPr>
        <w:t xml:space="preserve">s </w:t>
      </w:r>
      <w:r w:rsidRPr="00245312">
        <w:rPr>
          <w:sz w:val="22"/>
          <w:szCs w:val="22"/>
        </w:rPr>
        <w:t xml:space="preserve">operating in violation of </w:t>
      </w:r>
      <w:r w:rsidR="00341ED1">
        <w:rPr>
          <w:sz w:val="22"/>
          <w:szCs w:val="22"/>
        </w:rPr>
        <w:t>s</w:t>
      </w:r>
      <w:r w:rsidRPr="00245312" w:rsidR="00341ED1">
        <w:rPr>
          <w:sz w:val="22"/>
          <w:szCs w:val="22"/>
        </w:rPr>
        <w:t xml:space="preserve">ection </w:t>
      </w:r>
      <w:r w:rsidRPr="00245312">
        <w:rPr>
          <w:sz w:val="22"/>
          <w:szCs w:val="22"/>
        </w:rPr>
        <w:t>301 of the Act.</w:t>
      </w:r>
      <w:r>
        <w:rPr>
          <w:rStyle w:val="FootnoteReference"/>
          <w:sz w:val="22"/>
          <w:szCs w:val="22"/>
        </w:rPr>
        <w:footnoteReference w:id="8"/>
      </w:r>
    </w:p>
    <w:p w:rsidR="0048543D" w:rsidRPr="00654E0F" w:rsidP="0048543D" w14:paraId="29C87ABC" w14:textId="77777777">
      <w:pPr>
        <w:rPr>
          <w:sz w:val="22"/>
          <w:szCs w:val="22"/>
        </w:rPr>
      </w:pPr>
    </w:p>
    <w:p w:rsidR="0048543D" w:rsidRPr="00654E0F" w:rsidP="0048543D" w14:paraId="0B193E4A" w14:textId="77777777">
      <w:pPr>
        <w:rPr>
          <w:sz w:val="22"/>
          <w:szCs w:val="22"/>
        </w:rPr>
      </w:pPr>
      <w:r w:rsidRPr="00654E0F">
        <w:rPr>
          <w:sz w:val="22"/>
          <w:szCs w:val="22"/>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654E0F">
        <w:rPr>
          <w:i/>
          <w:sz w:val="22"/>
          <w:szCs w:val="22"/>
        </w:rPr>
        <w:t>in rem</w:t>
      </w:r>
      <w:r w:rsidRPr="00654E0F">
        <w:rPr>
          <w:sz w:val="22"/>
          <w:szCs w:val="22"/>
        </w:rPr>
        <w:t xml:space="preserve"> arrest action against the offending radio equipment, and criminal sanctions including imprisonment.</w:t>
      </w:r>
      <w:r>
        <w:rPr>
          <w:rStyle w:val="FootnoteReference"/>
          <w:sz w:val="22"/>
          <w:szCs w:val="22"/>
        </w:rPr>
        <w:footnoteReference w:id="9"/>
      </w:r>
      <w:r w:rsidRPr="00654E0F">
        <w:rPr>
          <w:sz w:val="22"/>
          <w:szCs w:val="22"/>
        </w:rPr>
        <w:t xml:space="preserve">  </w:t>
      </w:r>
    </w:p>
    <w:p w:rsidR="0048543D" w:rsidRPr="00654E0F" w:rsidP="0048543D" w14:paraId="62775501" w14:textId="77777777">
      <w:pPr>
        <w:rPr>
          <w:sz w:val="22"/>
          <w:szCs w:val="22"/>
        </w:rPr>
      </w:pPr>
    </w:p>
    <w:p w:rsidR="0048543D" w:rsidRPr="00CB47AC" w:rsidP="0048543D" w14:paraId="1704E314" w14:textId="77777777">
      <w:pPr>
        <w:tabs>
          <w:tab w:val="num" w:pos="1440"/>
        </w:tabs>
        <w:rPr>
          <w:sz w:val="22"/>
          <w:szCs w:val="22"/>
        </w:rPr>
      </w:pPr>
      <w:r w:rsidRPr="00CB47AC">
        <w:rPr>
          <w:sz w:val="22"/>
          <w:szCs w:val="22"/>
        </w:rPr>
        <w:t>Failure to take steps to resolve this interference may result in additional sanctions and/or forfeiture actions</w:t>
      </w:r>
      <w:r>
        <w:rPr>
          <w:sz w:val="22"/>
          <w:szCs w:val="22"/>
        </w:rPr>
        <w:t>.</w:t>
      </w:r>
      <w:r w:rsidRPr="00CB47AC">
        <w:rPr>
          <w:sz w:val="22"/>
          <w:szCs w:val="22"/>
        </w:rPr>
        <w:t xml:space="preserve"> </w:t>
      </w:r>
    </w:p>
    <w:p w:rsidR="0048543D" w:rsidRPr="00CB47AC" w:rsidP="0048543D" w14:paraId="31883655" w14:textId="77777777">
      <w:pPr>
        <w:shd w:val="clear" w:color="auto" w:fill="FFFFFF"/>
        <w:ind w:right="106"/>
        <w:rPr>
          <w:sz w:val="22"/>
          <w:szCs w:val="22"/>
        </w:rPr>
      </w:pPr>
    </w:p>
    <w:p w:rsidR="0048543D" w:rsidRPr="0099390B" w:rsidP="0048543D" w14:paraId="519919F8" w14:textId="312A117D">
      <w:pPr>
        <w:rPr>
          <w:sz w:val="22"/>
          <w:szCs w:val="22"/>
        </w:rPr>
      </w:pPr>
      <w:r w:rsidRPr="0099390B">
        <w:rPr>
          <w:sz w:val="22"/>
          <w:szCs w:val="22"/>
        </w:rPr>
        <w:t xml:space="preserve">You have </w:t>
      </w:r>
      <w:r w:rsidR="003C08B7">
        <w:rPr>
          <w:sz w:val="22"/>
          <w:szCs w:val="22"/>
        </w:rPr>
        <w:t>ten</w:t>
      </w:r>
      <w:r w:rsidRPr="0099390B" w:rsidR="003C08B7">
        <w:rPr>
          <w:sz w:val="22"/>
          <w:szCs w:val="22"/>
        </w:rPr>
        <w:t xml:space="preserve"> </w:t>
      </w:r>
      <w:r w:rsidRPr="0099390B">
        <w:rPr>
          <w:sz w:val="22"/>
          <w:szCs w:val="22"/>
        </w:rPr>
        <w:t>(</w:t>
      </w:r>
      <w:r w:rsidR="003C08B7">
        <w:rPr>
          <w:sz w:val="22"/>
          <w:szCs w:val="22"/>
        </w:rPr>
        <w:t>10</w:t>
      </w:r>
      <w:r w:rsidRPr="0099390B">
        <w:rPr>
          <w:sz w:val="22"/>
          <w:szCs w:val="22"/>
        </w:rPr>
        <w:t xml:space="preserve">) days from the date of this warning to respond with a report detailing what steps you have taken to ensure that this unauthorized operation on </w:t>
      </w:r>
      <w:r w:rsidRPr="00245312">
        <w:rPr>
          <w:sz w:val="22"/>
          <w:szCs w:val="22"/>
        </w:rPr>
        <w:t>156.8 MHz from your residence</w:t>
      </w:r>
      <w:r w:rsidRPr="007B3806">
        <w:rPr>
          <w:sz w:val="22"/>
          <w:szCs w:val="22"/>
        </w:rPr>
        <w:t xml:space="preserve"> </w:t>
      </w:r>
      <w:r w:rsidRPr="0099390B">
        <w:rPr>
          <w:sz w:val="22"/>
          <w:szCs w:val="22"/>
        </w:rPr>
        <w:t>has ceased and will not occur again.  Your response should be sent to the address in the letterhead and reference the listed case number.  Under the Privacy Act of 1974, we are informing you that the Commission’s staff will use all relevant material information before it to determine what, if any, enforcement action is required to ensure your compliance with FCC</w:t>
      </w:r>
      <w:r w:rsidR="007E1ED2">
        <w:rPr>
          <w:sz w:val="22"/>
          <w:szCs w:val="22"/>
        </w:rPr>
        <w:t>’s</w:t>
      </w:r>
      <w:r w:rsidRPr="0099390B">
        <w:rPr>
          <w:sz w:val="22"/>
          <w:szCs w:val="22"/>
        </w:rPr>
        <w:t xml:space="preserve"> </w:t>
      </w:r>
      <w:r w:rsidR="007E1ED2">
        <w:rPr>
          <w:sz w:val="22"/>
          <w:szCs w:val="22"/>
        </w:rPr>
        <w:t>r</w:t>
      </w:r>
      <w:r w:rsidRPr="0099390B">
        <w:rPr>
          <w:sz w:val="22"/>
          <w:szCs w:val="22"/>
        </w:rPr>
        <w:t>ules.</w:t>
      </w:r>
      <w:r>
        <w:rPr>
          <w:rStyle w:val="FootnoteReference"/>
          <w:sz w:val="22"/>
          <w:szCs w:val="22"/>
        </w:rPr>
        <w:footnoteReference w:id="10"/>
      </w:r>
      <w:r w:rsidRPr="0099390B">
        <w:rPr>
          <w:sz w:val="22"/>
          <w:szCs w:val="22"/>
        </w:rPr>
        <w:t xml:space="preserve">  This will include any information that you disclose in your reply.</w:t>
      </w:r>
    </w:p>
    <w:p w:rsidR="0048543D" w:rsidP="0048543D" w14:paraId="798616AF" w14:textId="77777777">
      <w:pPr>
        <w:rPr>
          <w:sz w:val="22"/>
          <w:szCs w:val="22"/>
        </w:rPr>
      </w:pPr>
    </w:p>
    <w:p w:rsidR="0048543D" w:rsidRPr="003611E3" w:rsidP="0048543D" w14:paraId="28211E61" w14:textId="77777777">
      <w:pPr>
        <w:tabs>
          <w:tab w:val="left" w:pos="-360"/>
        </w:tabs>
        <w:rPr>
          <w:sz w:val="22"/>
          <w:szCs w:val="22"/>
        </w:rPr>
      </w:pPr>
      <w:r w:rsidRPr="003611E3">
        <w:rPr>
          <w:sz w:val="22"/>
          <w:szCs w:val="22"/>
        </w:rPr>
        <w:t>You may contact this office if you have any questions.</w:t>
      </w:r>
    </w:p>
    <w:p w:rsidR="0048543D" w:rsidP="0048543D" w14:paraId="19972ACF" w14:textId="77777777">
      <w:pPr>
        <w:rPr>
          <w:sz w:val="22"/>
          <w:szCs w:val="22"/>
        </w:rPr>
      </w:pPr>
    </w:p>
    <w:p w:rsidR="0048543D" w:rsidP="0048543D" w14:paraId="57520A2F" w14:textId="49E4C111">
      <w:pPr>
        <w:rPr>
          <w:sz w:val="22"/>
          <w:szCs w:val="22"/>
        </w:rPr>
      </w:pPr>
      <w:r>
        <w:rPr>
          <w:sz w:val="22"/>
          <w:szCs w:val="22"/>
        </w:rPr>
        <w:t>FEDERAL COMMUNICATIONS COMMISSION</w:t>
      </w:r>
    </w:p>
    <w:p w:rsidR="00FE05ED" w:rsidP="0048543D" w14:paraId="67CF943F" w14:textId="77777777">
      <w:pPr>
        <w:rPr>
          <w:sz w:val="22"/>
          <w:szCs w:val="22"/>
        </w:rPr>
      </w:pPr>
    </w:p>
    <w:p w:rsidR="0048543D" w:rsidRPr="003611E3" w:rsidP="0048543D" w14:paraId="015D95C1" w14:textId="77777777">
      <w:pPr>
        <w:rPr>
          <w:bCs/>
          <w:sz w:val="22"/>
          <w:szCs w:val="22"/>
        </w:rPr>
      </w:pPr>
    </w:p>
    <w:p w:rsidR="0048543D" w:rsidRPr="003611E3" w:rsidP="0048543D" w14:paraId="7E46B712" w14:textId="77777777">
      <w:pPr>
        <w:rPr>
          <w:bCs/>
          <w:sz w:val="22"/>
          <w:szCs w:val="22"/>
        </w:rPr>
      </w:pPr>
    </w:p>
    <w:p w:rsidR="0048543D" w:rsidRPr="003611E3" w:rsidP="0048543D" w14:paraId="79EA22F3" w14:textId="77777777">
      <w:pPr>
        <w:rPr>
          <w:bCs/>
          <w:sz w:val="22"/>
          <w:szCs w:val="22"/>
        </w:rPr>
      </w:pPr>
    </w:p>
    <w:p w:rsidR="0048543D" w:rsidRPr="007B3806" w:rsidP="0048543D" w14:paraId="264BC1EF" w14:textId="77777777">
      <w:pPr>
        <w:rPr>
          <w:sz w:val="22"/>
        </w:rPr>
      </w:pPr>
      <w:r w:rsidRPr="00245312">
        <w:rPr>
          <w:sz w:val="22"/>
        </w:rPr>
        <w:t>Lark Hadley</w:t>
      </w:r>
    </w:p>
    <w:p w:rsidR="0048543D" w:rsidRPr="008D2C51" w:rsidP="0048543D" w14:paraId="435BB8D4" w14:textId="77777777">
      <w:pPr>
        <w:rPr>
          <w:sz w:val="22"/>
        </w:rPr>
      </w:pPr>
      <w:r w:rsidRPr="00245312">
        <w:rPr>
          <w:sz w:val="22"/>
        </w:rPr>
        <w:t>Regional</w:t>
      </w:r>
      <w:r w:rsidRPr="007B3806">
        <w:rPr>
          <w:sz w:val="22"/>
        </w:rPr>
        <w:t xml:space="preserve"> Director</w:t>
      </w:r>
    </w:p>
    <w:p w:rsidR="0048543D" w:rsidRPr="00245312" w:rsidP="0048543D" w14:paraId="30CE700A" w14:textId="77777777">
      <w:pPr>
        <w:rPr>
          <w:sz w:val="22"/>
          <w:szCs w:val="22"/>
        </w:rPr>
      </w:pPr>
      <w:r w:rsidRPr="00245312">
        <w:rPr>
          <w:sz w:val="22"/>
          <w:szCs w:val="22"/>
        </w:rPr>
        <w:t>Region Three</w:t>
      </w:r>
    </w:p>
    <w:p w:rsidR="0048543D" w:rsidP="0048543D" w14:paraId="7AACECFF" w14:textId="77777777">
      <w:pPr>
        <w:rPr>
          <w:color w:val="000000"/>
          <w:sz w:val="22"/>
        </w:rPr>
      </w:pPr>
      <w:r>
        <w:rPr>
          <w:color w:val="000000"/>
          <w:sz w:val="22"/>
        </w:rPr>
        <w:t>Enforcement Bureau</w:t>
      </w:r>
    </w:p>
    <w:p w:rsidR="0048543D" w:rsidRPr="003611E3" w:rsidP="0048543D" w14:paraId="570CE9C6" w14:textId="77777777">
      <w:pPr>
        <w:rPr>
          <w:color w:val="000000"/>
          <w:sz w:val="22"/>
          <w:szCs w:val="22"/>
        </w:rPr>
      </w:pPr>
    </w:p>
    <w:p w:rsidR="0048543D" w:rsidP="0048543D" w14:paraId="25712394" w14:textId="77777777">
      <w:pPr>
        <w:suppressAutoHyphens/>
        <w:rPr>
          <w:sz w:val="22"/>
          <w:szCs w:val="22"/>
        </w:rPr>
      </w:pPr>
    </w:p>
    <w:p w:rsidR="0048543D" w:rsidP="0048543D" w14:paraId="006EA5A8" w14:textId="77777777">
      <w:pPr>
        <w:suppressAutoHyphens/>
        <w:rPr>
          <w:sz w:val="22"/>
          <w:szCs w:val="22"/>
        </w:rPr>
      </w:pPr>
    </w:p>
    <w:p w:rsidR="0048543D" w:rsidRPr="003611E3" w:rsidP="0048543D" w14:paraId="2FD5DD0C" w14:textId="77777777">
      <w:pPr>
        <w:suppressAutoHyphens/>
        <w:rPr>
          <w:sz w:val="22"/>
          <w:szCs w:val="22"/>
        </w:rPr>
      </w:pPr>
      <w:r w:rsidRPr="003611E3">
        <w:rPr>
          <w:sz w:val="22"/>
          <w:szCs w:val="22"/>
        </w:rPr>
        <w:t>Attachments:</w:t>
      </w:r>
    </w:p>
    <w:p w:rsidR="0048543D" w:rsidRPr="003611E3" w:rsidP="0048543D" w14:paraId="3A8DE5FC" w14:textId="77777777">
      <w:pPr>
        <w:suppressAutoHyphens/>
        <w:rPr>
          <w:sz w:val="22"/>
          <w:szCs w:val="22"/>
        </w:rPr>
      </w:pPr>
      <w:r w:rsidRPr="003611E3">
        <w:rPr>
          <w:sz w:val="22"/>
          <w:szCs w:val="22"/>
        </w:rPr>
        <w:tab/>
        <w:t>Excerpts from the Communications Act of 1934, As Amended</w:t>
      </w:r>
    </w:p>
    <w:p w:rsidR="0048543D" w:rsidRPr="003611E3" w:rsidP="0048543D" w14:paraId="70BCC49B" w14:textId="77777777">
      <w:pPr>
        <w:suppressAutoHyphens/>
        <w:rPr>
          <w:sz w:val="22"/>
          <w:szCs w:val="22"/>
        </w:rPr>
      </w:pPr>
      <w:r w:rsidRPr="003611E3">
        <w:rPr>
          <w:sz w:val="22"/>
          <w:szCs w:val="22"/>
        </w:rPr>
        <w:tab/>
        <w:t>Enforcement Bureau, "Inspection Fact Sheet", March 2005</w:t>
      </w:r>
    </w:p>
    <w:p w:rsidR="0048543D" w:rsidRPr="003611E3" w:rsidP="0048543D" w14:paraId="14CF5E8E" w14:textId="77777777">
      <w:pPr>
        <w:jc w:val="both"/>
        <w:rPr>
          <w:bCs/>
          <w:color w:val="000000"/>
          <w:sz w:val="22"/>
        </w:rPr>
      </w:pPr>
    </w:p>
    <w:p w:rsidR="00DB44F5" w:rsidRPr="00F33831" w:rsidP="00DB44F5" w14:paraId="224C26C8" w14:textId="77777777">
      <w:pPr>
        <w:rPr>
          <w:sz w:val="22"/>
          <w:szCs w:val="22"/>
        </w:rPr>
      </w:pPr>
    </w:p>
    <w:sectPr>
      <w:headerReference w:type="default" r:id="rId5"/>
      <w:footerReference w:type="default" r:id="rId6"/>
      <w:headerReference w:type="first" r:id="rId7"/>
      <w:footerReference w:type="first" r:id="rId8"/>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0FEC6D6D" w14:textId="77777777" w:rsidTr="03839947">
      <w:tblPrEx>
        <w:tblW w:w="0" w:type="auto"/>
        <w:tblLayout w:type="fixed"/>
        <w:tblLook w:val="06A0"/>
      </w:tblPrEx>
      <w:tc>
        <w:tcPr>
          <w:tcW w:w="3120" w:type="dxa"/>
        </w:tcPr>
        <w:p w:rsidR="03839947" w:rsidP="03839947" w14:paraId="35F4D73F" w14:textId="4E0E37E8">
          <w:pPr>
            <w:pStyle w:val="Header"/>
            <w:ind w:left="-115"/>
          </w:pPr>
        </w:p>
      </w:tc>
      <w:tc>
        <w:tcPr>
          <w:tcW w:w="3120" w:type="dxa"/>
        </w:tcPr>
        <w:p w:rsidR="03839947" w:rsidP="03839947" w14:paraId="1205E50A" w14:textId="58677925">
          <w:pPr>
            <w:pStyle w:val="Header"/>
            <w:jc w:val="center"/>
          </w:pPr>
        </w:p>
      </w:tc>
      <w:tc>
        <w:tcPr>
          <w:tcW w:w="3120" w:type="dxa"/>
        </w:tcPr>
        <w:p w:rsidR="03839947" w:rsidP="03839947" w14:paraId="62A507F2" w14:textId="7728A6AF">
          <w:pPr>
            <w:pStyle w:val="Header"/>
            <w:ind w:right="-115"/>
            <w:jc w:val="right"/>
          </w:pPr>
        </w:p>
      </w:tc>
    </w:tr>
  </w:tbl>
  <w:p w:rsidR="03839947" w:rsidP="03839947" w14:paraId="094D5E05" w14:textId="6FCF58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102F5E23" w14:textId="77777777" w:rsidTr="03839947">
      <w:tblPrEx>
        <w:tblW w:w="0" w:type="auto"/>
        <w:tblLayout w:type="fixed"/>
        <w:tblLook w:val="06A0"/>
      </w:tblPrEx>
      <w:tc>
        <w:tcPr>
          <w:tcW w:w="3120" w:type="dxa"/>
        </w:tcPr>
        <w:p w:rsidR="03839947" w:rsidP="03839947" w14:paraId="57F3B953" w14:textId="2F074FD2">
          <w:pPr>
            <w:pStyle w:val="Header"/>
            <w:ind w:left="-115"/>
          </w:pPr>
        </w:p>
      </w:tc>
      <w:tc>
        <w:tcPr>
          <w:tcW w:w="3120" w:type="dxa"/>
        </w:tcPr>
        <w:p w:rsidR="03839947" w:rsidP="03839947" w14:paraId="41129BE6" w14:textId="050C63B3">
          <w:pPr>
            <w:pStyle w:val="Header"/>
            <w:jc w:val="center"/>
          </w:pPr>
        </w:p>
      </w:tc>
      <w:tc>
        <w:tcPr>
          <w:tcW w:w="3120" w:type="dxa"/>
        </w:tcPr>
        <w:p w:rsidR="03839947" w:rsidP="03839947" w14:paraId="5844D7EF" w14:textId="7E067218">
          <w:pPr>
            <w:pStyle w:val="Header"/>
            <w:ind w:right="-115"/>
            <w:jc w:val="right"/>
          </w:pPr>
        </w:p>
      </w:tc>
    </w:tr>
  </w:tbl>
  <w:p w:rsidR="03839947" w:rsidP="03839947" w14:paraId="5997D2A9" w14:textId="032FA5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57FE8" w14:paraId="2D38B48B" w14:textId="77777777">
      <w:r>
        <w:separator/>
      </w:r>
    </w:p>
  </w:footnote>
  <w:footnote w:type="continuationSeparator" w:id="1">
    <w:p w:rsidR="00D57FE8" w14:paraId="1BA83790" w14:textId="77777777">
      <w:r>
        <w:continuationSeparator/>
      </w:r>
    </w:p>
  </w:footnote>
  <w:footnote w:id="2">
    <w:p w:rsidR="00CE342F" w:rsidP="004A327D" w14:paraId="54394E44" w14:textId="3B9A0257">
      <w:pPr>
        <w:pStyle w:val="FootnoteText"/>
        <w:spacing w:after="120"/>
      </w:pPr>
      <w:r>
        <w:rPr>
          <w:rStyle w:val="FootnoteReference"/>
        </w:rPr>
        <w:footnoteRef/>
      </w:r>
      <w:r>
        <w:t xml:space="preserve"> </w:t>
      </w:r>
      <w:r w:rsidRPr="00CE342F">
        <w:t>Any entity that is a “Small Business Concern” as defined in the Small Business Act (Pub. L. 85-536, as amended) may avail itself of rights set forth in that Act, including rights set forth in 15 U.S.C. § 657, “Oversight of Regulatory Enforcement,” in addition to other rights set forth herein.</w:t>
      </w:r>
    </w:p>
  </w:footnote>
  <w:footnote w:id="3">
    <w:p w:rsidR="0048543D" w:rsidRPr="002348BB" w:rsidP="004A327D" w14:paraId="726B24F5" w14:textId="77777777">
      <w:pPr>
        <w:pStyle w:val="FootnoteText"/>
        <w:spacing w:after="120"/>
        <w:rPr>
          <w:i/>
          <w:iCs/>
          <w:color w:val="000000"/>
          <w:lang w:val="fr-FR"/>
        </w:rPr>
      </w:pPr>
      <w:r w:rsidRPr="00E35B51">
        <w:rPr>
          <w:rStyle w:val="FootnoteReference"/>
        </w:rPr>
        <w:footnoteRef/>
      </w:r>
      <w:r w:rsidRPr="00E35B51">
        <w:t xml:space="preserve"> </w:t>
      </w:r>
      <w:r w:rsidRPr="00DE059E">
        <w:t xml:space="preserve">47 CFR </w:t>
      </w:r>
      <w:r w:rsidRPr="00DE059E">
        <w:rPr>
          <w:color w:val="000000"/>
          <w:lang w:val="fr-FR"/>
        </w:rPr>
        <w:t xml:space="preserve">§§ 80.1 </w:t>
      </w:r>
      <w:r w:rsidRPr="00DE059E">
        <w:rPr>
          <w:i/>
          <w:iCs/>
          <w:color w:val="000000"/>
          <w:lang w:val="fr-FR"/>
        </w:rPr>
        <w:t xml:space="preserve">et </w:t>
      </w:r>
      <w:r w:rsidRPr="00DE059E">
        <w:rPr>
          <w:i/>
          <w:iCs/>
          <w:color w:val="000000"/>
          <w:lang w:val="fr-FR"/>
        </w:rPr>
        <w:t>seq</w:t>
      </w:r>
      <w:r w:rsidRPr="00DE059E">
        <w:rPr>
          <w:i/>
          <w:iCs/>
          <w:color w:val="000000"/>
          <w:lang w:val="fr-FR"/>
        </w:rPr>
        <w:t>.</w:t>
      </w:r>
    </w:p>
  </w:footnote>
  <w:footnote w:id="4">
    <w:p w:rsidR="0048543D" w:rsidP="004A327D" w14:paraId="1375ADC3" w14:textId="77777777">
      <w:pPr>
        <w:pStyle w:val="FootnoteText"/>
        <w:spacing w:after="120"/>
      </w:pPr>
      <w:r>
        <w:rPr>
          <w:rStyle w:val="FootnoteReference"/>
        </w:rPr>
        <w:footnoteRef/>
      </w:r>
      <w:r>
        <w:t xml:space="preserve"> 47 CFR § 80.369(e)(3).</w:t>
      </w:r>
    </w:p>
  </w:footnote>
  <w:footnote w:id="5">
    <w:p w:rsidR="0048543D" w:rsidP="004A327D" w14:paraId="2497D4E7" w14:textId="77777777">
      <w:pPr>
        <w:pStyle w:val="FootnoteText"/>
        <w:spacing w:after="120"/>
      </w:pPr>
      <w:r>
        <w:rPr>
          <w:rStyle w:val="FootnoteReference"/>
        </w:rPr>
        <w:footnoteRef/>
      </w:r>
      <w:r>
        <w:t xml:space="preserve"> </w:t>
      </w:r>
      <w:r w:rsidRPr="00DE059E">
        <w:t xml:space="preserve">47 CFR </w:t>
      </w:r>
      <w:r w:rsidRPr="00DE059E">
        <w:rPr>
          <w:color w:val="000000"/>
          <w:lang w:val="fr-FR"/>
        </w:rPr>
        <w:t>§ 80.</w:t>
      </w:r>
      <w:r>
        <w:rPr>
          <w:color w:val="000000"/>
          <w:lang w:val="fr-FR"/>
        </w:rPr>
        <w:t>89(a).</w:t>
      </w:r>
    </w:p>
  </w:footnote>
  <w:footnote w:id="6">
    <w:p w:rsidR="00F76330" w:rsidP="004A327D" w14:paraId="2983222C" w14:textId="00C92996">
      <w:pPr>
        <w:pStyle w:val="FootnoteText"/>
        <w:spacing w:after="120"/>
      </w:pPr>
      <w:r>
        <w:rPr>
          <w:rStyle w:val="FootnoteReference"/>
        </w:rPr>
        <w:footnoteRef/>
      </w:r>
      <w:r>
        <w:t xml:space="preserve"> 47 U.S.C. § 301.</w:t>
      </w:r>
    </w:p>
  </w:footnote>
  <w:footnote w:id="7">
    <w:p w:rsidR="0042255E" w:rsidP="004A327D" w14:paraId="0C67E10C" w14:textId="73DB8BD8">
      <w:pPr>
        <w:pStyle w:val="FootnoteText"/>
        <w:spacing w:after="120"/>
      </w:pPr>
      <w:r>
        <w:rPr>
          <w:rStyle w:val="FootnoteReference"/>
        </w:rPr>
        <w:footnoteRef/>
      </w:r>
      <w:r>
        <w:t xml:space="preserve"> 47 CFR §§ 80.5 (definitions), 80.</w:t>
      </w:r>
      <w:r w:rsidR="006B711D">
        <w:t>13(a) (license requirement)</w:t>
      </w:r>
      <w:r w:rsidR="00E45F67">
        <w:t xml:space="preserve">; </w:t>
      </w:r>
      <w:r w:rsidR="00E45F67">
        <w:rPr>
          <w:i/>
          <w:iCs/>
        </w:rPr>
        <w:t xml:space="preserve">see also </w:t>
      </w:r>
      <w:r w:rsidR="00E45F67">
        <w:t xml:space="preserve">47 CFR §§ 80.543 (scope of permissible </w:t>
      </w:r>
      <w:r w:rsidR="00D938D3">
        <w:t>use</w:t>
      </w:r>
      <w:r w:rsidR="00E45F67">
        <w:t xml:space="preserve"> </w:t>
      </w:r>
      <w:r w:rsidR="00D938D3">
        <w:t>of</w:t>
      </w:r>
      <w:r w:rsidR="00E45F67">
        <w:t xml:space="preserve"> public coast stations); </w:t>
      </w:r>
      <w:r w:rsidR="00D800F6">
        <w:t>80.</w:t>
      </w:r>
      <w:r w:rsidR="00D938D3">
        <w:t>507 (scope of permissible use of private coast stations)</w:t>
      </w:r>
      <w:r w:rsidR="00B6442C">
        <w:t>.</w:t>
      </w:r>
    </w:p>
  </w:footnote>
  <w:footnote w:id="8">
    <w:p w:rsidR="0048543D" w:rsidP="004A327D" w14:paraId="5DF1D973" w14:textId="77777777">
      <w:pPr>
        <w:pStyle w:val="FootnoteText"/>
        <w:spacing w:after="120"/>
      </w:pPr>
      <w:r w:rsidRPr="00430DEB">
        <w:rPr>
          <w:rStyle w:val="FootnoteReference"/>
        </w:rPr>
        <w:footnoteRef/>
      </w:r>
      <w:r>
        <w:t xml:space="preserve"> 47 U.S.C. § </w:t>
      </w:r>
      <w:r w:rsidRPr="00762A18">
        <w:t>301.</w:t>
      </w:r>
    </w:p>
  </w:footnote>
  <w:footnote w:id="9">
    <w:p w:rsidR="0048543D" w:rsidP="004A327D" w14:paraId="222FFA6E" w14:textId="77777777">
      <w:pPr>
        <w:pStyle w:val="FootnoteText"/>
        <w:spacing w:after="120"/>
      </w:pPr>
      <w:r w:rsidRPr="00430DEB">
        <w:rPr>
          <w:rStyle w:val="FootnoteReference"/>
        </w:rPr>
        <w:footnoteRef/>
      </w:r>
      <w:r>
        <w:t xml:space="preserve"> </w:t>
      </w:r>
      <w:r w:rsidRPr="00430DEB">
        <w:rPr>
          <w:i/>
        </w:rPr>
        <w:t xml:space="preserve">See </w:t>
      </w:r>
      <w:r w:rsidRPr="005E163D">
        <w:t>47 U.S.C. §§ 401, 501, 503 and 510.</w:t>
      </w:r>
      <w:r>
        <w:t xml:space="preserve"> </w:t>
      </w:r>
    </w:p>
  </w:footnote>
  <w:footnote w:id="10">
    <w:p w:rsidR="0048543D" w:rsidP="004A327D" w14:paraId="25A705C9" w14:textId="77777777">
      <w:pPr>
        <w:pStyle w:val="FootnoteText"/>
        <w:spacing w:after="120"/>
      </w:pPr>
      <w:r w:rsidRPr="00E35B51">
        <w:rPr>
          <w:rStyle w:val="FootnoteReference"/>
        </w:rPr>
        <w:footnoteRef/>
      </w:r>
      <w:r w:rsidRPr="00E35B51">
        <w:t xml:space="preserve"> 5 U.S.C. § 552a(e)(3).</w:t>
      </w:r>
    </w:p>
    <w:p w:rsidR="0048543D" w:rsidRPr="00E35B51" w:rsidP="0048543D" w14:paraId="1395AFDD" w14:textId="7777777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ayout w:type="fixed"/>
      <w:tblLook w:val="06A0"/>
    </w:tblPr>
    <w:tblGrid>
      <w:gridCol w:w="3120"/>
      <w:gridCol w:w="3120"/>
      <w:gridCol w:w="3120"/>
    </w:tblGrid>
    <w:tr w14:paraId="4C20FFBD" w14:textId="77777777" w:rsidTr="03839947">
      <w:tblPrEx>
        <w:tblW w:w="0" w:type="auto"/>
        <w:tblLayout w:type="fixed"/>
        <w:tblLook w:val="06A0"/>
      </w:tblPrEx>
      <w:tc>
        <w:tcPr>
          <w:tcW w:w="3120" w:type="dxa"/>
        </w:tcPr>
        <w:p w:rsidR="03839947" w:rsidP="03839947" w14:paraId="554D93AB" w14:textId="4E18FCAF">
          <w:pPr>
            <w:pStyle w:val="Header"/>
            <w:ind w:left="-115"/>
          </w:pPr>
        </w:p>
      </w:tc>
      <w:tc>
        <w:tcPr>
          <w:tcW w:w="3120" w:type="dxa"/>
        </w:tcPr>
        <w:p w:rsidR="03839947" w:rsidP="03839947" w14:paraId="6929CEC6" w14:textId="16439D77">
          <w:pPr>
            <w:pStyle w:val="Header"/>
            <w:jc w:val="center"/>
          </w:pPr>
        </w:p>
      </w:tc>
      <w:tc>
        <w:tcPr>
          <w:tcW w:w="3120" w:type="dxa"/>
        </w:tcPr>
        <w:p w:rsidR="03839947" w:rsidP="03839947" w14:paraId="33AACF54" w14:textId="37691317">
          <w:pPr>
            <w:pStyle w:val="Header"/>
            <w:ind w:right="-115"/>
            <w:jc w:val="right"/>
          </w:pPr>
        </w:p>
      </w:tc>
    </w:tr>
  </w:tbl>
  <w:p w:rsidR="03839947" w:rsidP="03839947" w14:paraId="284C6E79" w14:textId="1CF060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rsidP="00D85D63" w14:paraId="3F4F7276" w14:textId="6CFE8374">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640080</wp:posOffset>
          </wp:positionV>
          <wp:extent cx="914400" cy="914400"/>
          <wp:effectExtent l="0" t="0" r="0" b="0"/>
          <wp:wrapNone/>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seal-rgb-2020.sv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1C5FF8" w14:paraId="49C196B9" w14:textId="77777777">
    <w:pPr>
      <w:jc w:val="center"/>
      <w:rPr>
        <w:rFonts w:ascii="CG Times (W1)" w:hAnsi="CG Times (W1)"/>
        <w:sz w:val="28"/>
      </w:rPr>
    </w:pPr>
    <w:r>
      <w:rPr>
        <w:rFonts w:ascii="CG Times (W1)" w:hAnsi="CG Times (W1)"/>
        <w:sz w:val="28"/>
      </w:rPr>
      <w:t xml:space="preserve">Enforcement Bureau </w:t>
    </w:r>
  </w:p>
  <w:p w:rsidR="002B54DB" w:rsidRPr="001C5FF8" w14:paraId="65E6F28E" w14:textId="57142068">
    <w:pPr>
      <w:jc w:val="center"/>
      <w:rPr>
        <w:rFonts w:ascii="CG Times (W1)" w:hAnsi="CG Times (W1)"/>
        <w:sz w:val="28"/>
      </w:rPr>
    </w:pPr>
    <w:r>
      <w:rPr>
        <w:rFonts w:ascii="CG Times (W1)" w:hAnsi="CG Times (W1)"/>
        <w:sz w:val="28"/>
      </w:rPr>
      <w:t xml:space="preserve">Region </w:t>
    </w:r>
    <w:r w:rsidR="00447E51">
      <w:rPr>
        <w:rFonts w:ascii="CG Times (W1)" w:hAnsi="CG Times (W1)"/>
        <w:sz w:val="28"/>
      </w:rPr>
      <w:t>Three</w:t>
    </w:r>
  </w:p>
  <w:p w:rsidR="001C5FF8" w14:paraId="24BB2CAE" w14:textId="22E56242">
    <w:pPr>
      <w:jc w:val="center"/>
    </w:pPr>
  </w:p>
  <w:p w:rsidR="001C5FF8" w:rsidP="001C5FF8" w14:paraId="1C1E99E2" w14:textId="6DFD4E7C">
    <w:pPr>
      <w:jc w:val="center"/>
    </w:pPr>
    <w:r>
      <w:t>Los Angeles Regional Office</w:t>
    </w:r>
  </w:p>
  <w:p w:rsidR="001C5FF8" w:rsidP="001C5FF8" w14:paraId="5D02236E" w14:textId="7D2061A5">
    <w:pPr>
      <w:jc w:val="center"/>
    </w:pPr>
    <w:r>
      <w:t>11331 183</w:t>
    </w:r>
    <w:r w:rsidRPr="0089207A">
      <w:rPr>
        <w:vertAlign w:val="superscript"/>
      </w:rPr>
      <w:t>rd</w:t>
    </w:r>
    <w:r>
      <w:t xml:space="preserve"> Street, PMB #365</w:t>
    </w:r>
  </w:p>
  <w:p w:rsidR="00305E12" w:rsidP="001C5FF8" w14:paraId="5E4EE4B6" w14:textId="70F47652">
    <w:pPr>
      <w:jc w:val="center"/>
    </w:pPr>
    <w:r>
      <w:t>Cerritos, CA</w:t>
    </w:r>
  </w:p>
  <w:p w:rsidR="001C5FF8" w:rsidP="001C5FF8" w14:paraId="361612DF" w14:textId="79B4900F">
    <w:pPr>
      <w:jc w:val="center"/>
    </w:pPr>
    <w:r>
      <w:t>(562) 860-7474</w:t>
    </w:r>
  </w:p>
  <w:p w:rsidR="001C5FF8" w:rsidRPr="009014F9" w:rsidP="001C5FF8" w14:paraId="07DEBBAC" w14:textId="77777777">
    <w:pPr>
      <w:jc w:val="center"/>
    </w:pPr>
    <w:r>
      <w:t>field@fcc.gov</w:t>
    </w:r>
  </w:p>
  <w:p w:rsidR="001C5FF8" w:rsidP="001C5FF8" w14:paraId="06D273FA" w14:textId="77777777">
    <w:pPr>
      <w:pStyle w:val="Header"/>
      <w:tabs>
        <w:tab w:val="clear" w:pos="4320"/>
      </w:tabs>
      <w:jc w:val="center"/>
      <w:rPr>
        <w:sz w:val="22"/>
      </w:rPr>
    </w:pPr>
  </w:p>
  <w:p w:rsidR="002B54DB" w:rsidRPr="001C5FF8" w:rsidP="001C5FF8" w14:paraId="41E3C0BB" w14:textId="05325AAB">
    <w:pPr>
      <w:pStyle w:val="Header"/>
      <w:tabs>
        <w:tab w:val="clear" w:pos="4320"/>
      </w:tabs>
      <w:jc w:val="center"/>
      <w:rPr>
        <w:sz w:val="22"/>
      </w:rPr>
    </w:pPr>
    <w:r>
      <w:rPr>
        <w:sz w:val="24"/>
      </w:rPr>
      <w:t>November 3,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FF8"/>
    <w:rsid w:val="00051E96"/>
    <w:rsid w:val="000608B0"/>
    <w:rsid w:val="000A66AF"/>
    <w:rsid w:val="00103B54"/>
    <w:rsid w:val="00110BB8"/>
    <w:rsid w:val="00174A88"/>
    <w:rsid w:val="00180791"/>
    <w:rsid w:val="001C5FF8"/>
    <w:rsid w:val="001F03CE"/>
    <w:rsid w:val="00204CE3"/>
    <w:rsid w:val="002069D4"/>
    <w:rsid w:val="00215477"/>
    <w:rsid w:val="00222E26"/>
    <w:rsid w:val="00222F2D"/>
    <w:rsid w:val="00232002"/>
    <w:rsid w:val="002348BB"/>
    <w:rsid w:val="00245312"/>
    <w:rsid w:val="00273D9C"/>
    <w:rsid w:val="002B54DB"/>
    <w:rsid w:val="002B6AB9"/>
    <w:rsid w:val="00305E12"/>
    <w:rsid w:val="00306EEA"/>
    <w:rsid w:val="00315D5A"/>
    <w:rsid w:val="0033572D"/>
    <w:rsid w:val="00341ED1"/>
    <w:rsid w:val="00345586"/>
    <w:rsid w:val="00356F6F"/>
    <w:rsid w:val="003607D7"/>
    <w:rsid w:val="003611E3"/>
    <w:rsid w:val="00384FBF"/>
    <w:rsid w:val="003A1E33"/>
    <w:rsid w:val="003C08B7"/>
    <w:rsid w:val="0042255E"/>
    <w:rsid w:val="00425BB2"/>
    <w:rsid w:val="00430DEB"/>
    <w:rsid w:val="0043617B"/>
    <w:rsid w:val="00447E51"/>
    <w:rsid w:val="0048543D"/>
    <w:rsid w:val="004A327D"/>
    <w:rsid w:val="004D3B53"/>
    <w:rsid w:val="004E1F14"/>
    <w:rsid w:val="004E5413"/>
    <w:rsid w:val="00510EF0"/>
    <w:rsid w:val="00587725"/>
    <w:rsid w:val="005A12ED"/>
    <w:rsid w:val="005B7EF7"/>
    <w:rsid w:val="005D1A13"/>
    <w:rsid w:val="005D68E3"/>
    <w:rsid w:val="005E163D"/>
    <w:rsid w:val="00637302"/>
    <w:rsid w:val="00637E55"/>
    <w:rsid w:val="00654E0F"/>
    <w:rsid w:val="00671FE8"/>
    <w:rsid w:val="006A02B4"/>
    <w:rsid w:val="006A5735"/>
    <w:rsid w:val="006A6852"/>
    <w:rsid w:val="006B711D"/>
    <w:rsid w:val="006D0F16"/>
    <w:rsid w:val="006E48ED"/>
    <w:rsid w:val="007132A5"/>
    <w:rsid w:val="00724958"/>
    <w:rsid w:val="00745E26"/>
    <w:rsid w:val="00762A18"/>
    <w:rsid w:val="0076396E"/>
    <w:rsid w:val="00764E07"/>
    <w:rsid w:val="007758CC"/>
    <w:rsid w:val="00795FAA"/>
    <w:rsid w:val="007A5A45"/>
    <w:rsid w:val="007A7242"/>
    <w:rsid w:val="007B3806"/>
    <w:rsid w:val="007C71B7"/>
    <w:rsid w:val="007D714E"/>
    <w:rsid w:val="007D73E4"/>
    <w:rsid w:val="007E1ED2"/>
    <w:rsid w:val="007E3FC3"/>
    <w:rsid w:val="00851E95"/>
    <w:rsid w:val="0089207A"/>
    <w:rsid w:val="008B034E"/>
    <w:rsid w:val="008B0A15"/>
    <w:rsid w:val="008B3A02"/>
    <w:rsid w:val="008D2C51"/>
    <w:rsid w:val="009014F9"/>
    <w:rsid w:val="009134C5"/>
    <w:rsid w:val="0093765A"/>
    <w:rsid w:val="00937E97"/>
    <w:rsid w:val="009445CE"/>
    <w:rsid w:val="00947EB0"/>
    <w:rsid w:val="0099390B"/>
    <w:rsid w:val="009F1515"/>
    <w:rsid w:val="00A65675"/>
    <w:rsid w:val="00A9032E"/>
    <w:rsid w:val="00AB7919"/>
    <w:rsid w:val="00B6442C"/>
    <w:rsid w:val="00B75F2A"/>
    <w:rsid w:val="00B86628"/>
    <w:rsid w:val="00BB74C1"/>
    <w:rsid w:val="00BD14E6"/>
    <w:rsid w:val="00BE3912"/>
    <w:rsid w:val="00C209B6"/>
    <w:rsid w:val="00C91421"/>
    <w:rsid w:val="00CB47AC"/>
    <w:rsid w:val="00CE342F"/>
    <w:rsid w:val="00CE7CA2"/>
    <w:rsid w:val="00D03D07"/>
    <w:rsid w:val="00D23DE7"/>
    <w:rsid w:val="00D57FE8"/>
    <w:rsid w:val="00D647D9"/>
    <w:rsid w:val="00D800F6"/>
    <w:rsid w:val="00D85D63"/>
    <w:rsid w:val="00D938D3"/>
    <w:rsid w:val="00D95E32"/>
    <w:rsid w:val="00D9773C"/>
    <w:rsid w:val="00DB44F5"/>
    <w:rsid w:val="00DC4108"/>
    <w:rsid w:val="00DD12CE"/>
    <w:rsid w:val="00DE059E"/>
    <w:rsid w:val="00DE376C"/>
    <w:rsid w:val="00E156E9"/>
    <w:rsid w:val="00E33144"/>
    <w:rsid w:val="00E35B51"/>
    <w:rsid w:val="00E45A15"/>
    <w:rsid w:val="00E45F67"/>
    <w:rsid w:val="00E620F8"/>
    <w:rsid w:val="00EA18A9"/>
    <w:rsid w:val="00EA7F24"/>
    <w:rsid w:val="00EF1A11"/>
    <w:rsid w:val="00F05608"/>
    <w:rsid w:val="00F33831"/>
    <w:rsid w:val="00F55044"/>
    <w:rsid w:val="00F76330"/>
    <w:rsid w:val="00F8009B"/>
    <w:rsid w:val="00F82119"/>
    <w:rsid w:val="00FA42D4"/>
    <w:rsid w:val="00FD212F"/>
    <w:rsid w:val="00FE05ED"/>
    <w:rsid w:val="03839947"/>
    <w:rsid w:val="1AE3992B"/>
    <w:rsid w:val="1AFCC65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0B0167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1C5F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FootnoteText">
    <w:name w:val="footnote text"/>
    <w:basedOn w:val="Normal"/>
    <w:link w:val="FootnoteTextChar"/>
    <w:uiPriority w:val="99"/>
    <w:semiHidden/>
    <w:unhideWhenUsed/>
    <w:rsid w:val="001C5FF8"/>
  </w:style>
  <w:style w:type="character" w:customStyle="1" w:styleId="FootnoteTextChar">
    <w:name w:val="Footnote Text Char"/>
    <w:basedOn w:val="DefaultParagraphFont"/>
    <w:link w:val="FootnoteText"/>
    <w:uiPriority w:val="99"/>
    <w:semiHidden/>
    <w:rsid w:val="001C5FF8"/>
  </w:style>
  <w:style w:type="character" w:styleId="FootnoteReference">
    <w:name w:val="footnote reference"/>
    <w:uiPriority w:val="99"/>
    <w:semiHidden/>
    <w:unhideWhenUsed/>
    <w:rsid w:val="001C5FF8"/>
    <w:rPr>
      <w:vertAlign w:val="superscript"/>
    </w:rPr>
  </w:style>
  <w:style w:type="paragraph" w:styleId="BalloonText">
    <w:name w:val="Balloon Text"/>
    <w:basedOn w:val="Normal"/>
    <w:link w:val="BalloonTextChar"/>
    <w:uiPriority w:val="99"/>
    <w:semiHidden/>
    <w:unhideWhenUsed/>
    <w:rsid w:val="00F33831"/>
    <w:rPr>
      <w:rFonts w:ascii="Segoe UI" w:hAnsi="Segoe UI" w:cs="Segoe UI"/>
      <w:sz w:val="18"/>
      <w:szCs w:val="18"/>
    </w:rPr>
  </w:style>
  <w:style w:type="character" w:customStyle="1" w:styleId="BalloonTextChar">
    <w:name w:val="Balloon Text Char"/>
    <w:link w:val="BalloonText"/>
    <w:uiPriority w:val="99"/>
    <w:semiHidden/>
    <w:rsid w:val="00F33831"/>
    <w:rPr>
      <w:rFonts w:ascii="Segoe UI" w:hAnsi="Segoe UI" w:cs="Segoe UI"/>
      <w:sz w:val="18"/>
      <w:szCs w:val="18"/>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7D714E"/>
    <w:pPr>
      <w:spacing w:before="100" w:beforeAutospacing="1" w:after="100" w:afterAutospacing="1"/>
    </w:pPr>
    <w:rPr>
      <w:sz w:val="24"/>
      <w:szCs w:val="24"/>
    </w:rPr>
  </w:style>
  <w:style w:type="character" w:styleId="CommentReference">
    <w:name w:val="annotation reference"/>
    <w:basedOn w:val="DefaultParagraphFont"/>
    <w:uiPriority w:val="99"/>
    <w:semiHidden/>
    <w:unhideWhenUsed/>
    <w:rsid w:val="00FD212F"/>
    <w:rPr>
      <w:sz w:val="16"/>
      <w:szCs w:val="16"/>
    </w:rPr>
  </w:style>
  <w:style w:type="paragraph" w:styleId="CommentText">
    <w:name w:val="annotation text"/>
    <w:basedOn w:val="Normal"/>
    <w:link w:val="CommentTextChar"/>
    <w:uiPriority w:val="99"/>
    <w:semiHidden/>
    <w:unhideWhenUsed/>
    <w:rsid w:val="00FD212F"/>
  </w:style>
  <w:style w:type="character" w:customStyle="1" w:styleId="CommentTextChar">
    <w:name w:val="Comment Text Char"/>
    <w:basedOn w:val="DefaultParagraphFont"/>
    <w:link w:val="CommentText"/>
    <w:uiPriority w:val="99"/>
    <w:semiHidden/>
    <w:rsid w:val="00FD212F"/>
  </w:style>
  <w:style w:type="paragraph" w:styleId="CommentSubject">
    <w:name w:val="annotation subject"/>
    <w:basedOn w:val="CommentText"/>
    <w:next w:val="CommentText"/>
    <w:link w:val="CommentSubjectChar"/>
    <w:uiPriority w:val="99"/>
    <w:semiHidden/>
    <w:unhideWhenUsed/>
    <w:rsid w:val="00FD212F"/>
    <w:rPr>
      <w:b/>
      <w:bCs/>
    </w:rPr>
  </w:style>
  <w:style w:type="character" w:customStyle="1" w:styleId="CommentSubjectChar">
    <w:name w:val="Comment Subject Char"/>
    <w:basedOn w:val="CommentTextChar"/>
    <w:link w:val="CommentSubject"/>
    <w:uiPriority w:val="99"/>
    <w:semiHidden/>
    <w:rsid w:val="00FD212F"/>
    <w:rPr>
      <w:b/>
      <w:bCs/>
    </w:rPr>
  </w:style>
  <w:style w:type="paragraph" w:styleId="Revision">
    <w:name w:val="Revision"/>
    <w:hidden/>
    <w:uiPriority w:val="99"/>
    <w:semiHidden/>
    <w:rsid w:val="002320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eader" Target="header2.xml" /><Relationship Id="rId8" Type="http://schemas.openxmlformats.org/officeDocument/2006/relationships/footer" Target="footer2.xml" /><Relationship Id="rId9" Type="http://schemas.openxmlformats.org/officeDocument/2006/relationships/theme" Target="theme/theme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