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4123C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08F63A4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27EE749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1FC129D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3E62BC45" w14:textId="1D9E566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Anne Veigle </w:t>
            </w:r>
            <w:r w:rsidR="00441CF2">
              <w:rPr>
                <w:bCs/>
                <w:sz w:val="22"/>
                <w:szCs w:val="22"/>
              </w:rPr>
              <w:t xml:space="preserve"> </w:t>
            </w:r>
          </w:p>
          <w:p w:rsidR="00FF232D" w:rsidRPr="008A3940" w:rsidP="00BB4E29" w14:paraId="6CDD757D" w14:textId="34C3D2A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6F125C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C426C4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B41A43B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24029F" w14:paraId="304658C1" w14:textId="20DC661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01409B">
              <w:rPr>
                <w:b/>
                <w:bCs/>
                <w:sz w:val="26"/>
                <w:szCs w:val="26"/>
              </w:rPr>
              <w:t>SEEKS INPUT</w:t>
            </w:r>
            <w:r w:rsidR="0024029F">
              <w:rPr>
                <w:b/>
                <w:bCs/>
                <w:sz w:val="26"/>
                <w:szCs w:val="26"/>
              </w:rPr>
              <w:t xml:space="preserve"> ON</w:t>
            </w:r>
            <w:r w:rsidR="00666D46">
              <w:rPr>
                <w:b/>
                <w:bCs/>
                <w:sz w:val="26"/>
                <w:szCs w:val="26"/>
              </w:rPr>
              <w:t xml:space="preserve"> RESOLVING DISPUTES OVER COSTS FOR POLE REPLACEMENTS </w:t>
            </w:r>
          </w:p>
          <w:p w:rsidR="00CC5E08" w:rsidRPr="0024029F" w:rsidP="00040127" w14:paraId="15C7BE7B" w14:textId="70160154">
            <w:pPr>
              <w:tabs>
                <w:tab w:val="left" w:pos="8625"/>
              </w:tabs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Adopts Notice to</w:t>
            </w:r>
            <w:r w:rsidR="00666D46">
              <w:rPr>
                <w:b/>
                <w:bCs/>
                <w:i/>
                <w:sz w:val="22"/>
                <w:szCs w:val="22"/>
              </w:rPr>
              <w:t xml:space="preserve"> Provid</w:t>
            </w:r>
            <w:r>
              <w:rPr>
                <w:b/>
                <w:bCs/>
                <w:i/>
                <w:sz w:val="22"/>
                <w:szCs w:val="22"/>
              </w:rPr>
              <w:t>e</w:t>
            </w:r>
            <w:r w:rsidR="00666D46">
              <w:rPr>
                <w:b/>
                <w:bCs/>
                <w:i/>
                <w:sz w:val="22"/>
                <w:szCs w:val="22"/>
              </w:rPr>
              <w:t xml:space="preserve"> Regulatory Certainty Around Pole Attachment Rules</w:t>
            </w:r>
          </w:p>
          <w:p w:rsidR="00F61155" w:rsidRPr="006B0A70" w:rsidP="00BB4E29" w14:paraId="2AE32A69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7A6A97" w:rsidP="00D33DFB" w14:paraId="333255EC" w14:textId="2DA857B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WASHINGTON,</w:t>
            </w:r>
            <w:r w:rsidR="00441CF2">
              <w:rPr>
                <w:sz w:val="22"/>
                <w:szCs w:val="22"/>
              </w:rPr>
              <w:t xml:space="preserve"> March 16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286596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>The Federal Communications Commission 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7935C6">
              <w:rPr>
                <w:sz w:val="22"/>
                <w:szCs w:val="22"/>
              </w:rPr>
              <w:t>voted to seek</w:t>
            </w:r>
            <w:r w:rsidR="00E72853">
              <w:rPr>
                <w:sz w:val="22"/>
                <w:szCs w:val="22"/>
              </w:rPr>
              <w:t xml:space="preserve"> comment on </w:t>
            </w:r>
            <w:r w:rsidR="00666D46">
              <w:rPr>
                <w:sz w:val="22"/>
                <w:szCs w:val="22"/>
              </w:rPr>
              <w:t>establishing clear standards for how utilities and attachers must share in the costs of pole replacements</w:t>
            </w:r>
            <w:r w:rsidR="00B41392">
              <w:rPr>
                <w:sz w:val="22"/>
                <w:szCs w:val="22"/>
              </w:rPr>
              <w:t xml:space="preserve">.  </w:t>
            </w:r>
            <w:r w:rsidR="006233DE">
              <w:rPr>
                <w:sz w:val="22"/>
                <w:szCs w:val="22"/>
              </w:rPr>
              <w:t>Gaining a</w:t>
            </w:r>
            <w:r w:rsidRPr="00B41392" w:rsidR="00B41392">
              <w:rPr>
                <w:sz w:val="22"/>
                <w:szCs w:val="22"/>
              </w:rPr>
              <w:t>ccess to poles in a quick, easy, safe, predictable, and affordable way can help speed the deployment of broadband infrastructure.</w:t>
            </w:r>
            <w:r w:rsidR="00B41392">
              <w:rPr>
                <w:sz w:val="22"/>
                <w:szCs w:val="22"/>
              </w:rPr>
              <w:t xml:space="preserve">  </w:t>
            </w:r>
            <w:r w:rsidR="00D33DFB">
              <w:rPr>
                <w:sz w:val="22"/>
                <w:szCs w:val="22"/>
              </w:rPr>
              <w:t>This Second Further Notice of Proposed Rulemaking is the latest in a series of steps the Commission has taken over the past decade to update</w:t>
            </w:r>
            <w:r w:rsidR="006233DE">
              <w:rPr>
                <w:sz w:val="22"/>
                <w:szCs w:val="22"/>
              </w:rPr>
              <w:t xml:space="preserve"> its</w:t>
            </w:r>
            <w:r w:rsidR="00D33DFB">
              <w:rPr>
                <w:sz w:val="22"/>
                <w:szCs w:val="22"/>
              </w:rPr>
              <w:t xml:space="preserve"> pole attachment rules.</w:t>
            </w:r>
          </w:p>
          <w:p w:rsidR="007A6A97" w:rsidP="00D33DFB" w14:paraId="6733DDCF" w14:textId="77777777">
            <w:pPr>
              <w:rPr>
                <w:sz w:val="22"/>
                <w:szCs w:val="22"/>
              </w:rPr>
            </w:pPr>
          </w:p>
          <w:p w:rsidR="00D33DFB" w:rsidP="00D33DFB" w14:paraId="7AA8A5A3" w14:textId="4CE60C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6233DE">
              <w:rPr>
                <w:sz w:val="22"/>
                <w:szCs w:val="22"/>
              </w:rPr>
              <w:t xml:space="preserve">notice adopted today </w:t>
            </w:r>
            <w:r>
              <w:rPr>
                <w:sz w:val="22"/>
                <w:szCs w:val="22"/>
              </w:rPr>
              <w:t xml:space="preserve">seeks comment on whether </w:t>
            </w:r>
            <w:r w:rsidRPr="00D33DFB">
              <w:rPr>
                <w:sz w:val="22"/>
                <w:szCs w:val="22"/>
              </w:rPr>
              <w:t xml:space="preserve">further reforms are necessary to provide regulatory certainty, with </w:t>
            </w:r>
            <w:r w:rsidR="006233DE">
              <w:rPr>
                <w:sz w:val="22"/>
                <w:szCs w:val="22"/>
              </w:rPr>
              <w:t>a particular focus on</w:t>
            </w:r>
            <w:r w:rsidRPr="00D33DFB">
              <w:rPr>
                <w:sz w:val="22"/>
                <w:szCs w:val="22"/>
              </w:rPr>
              <w:t xml:space="preserve"> the allocation of costs for pole replacements.</w:t>
            </w:r>
          </w:p>
          <w:p w:rsidR="00B41392" w:rsidP="0008082C" w14:paraId="66BDA7B5" w14:textId="77777777">
            <w:pPr>
              <w:rPr>
                <w:sz w:val="22"/>
                <w:szCs w:val="22"/>
              </w:rPr>
            </w:pPr>
          </w:p>
          <w:p w:rsidR="0008082C" w:rsidP="0008082C" w14:paraId="70BA917B" w14:textId="56E910D3">
            <w:pPr>
              <w:pStyle w:val="Default"/>
            </w:pPr>
            <w:r>
              <w:rPr>
                <w:sz w:val="22"/>
                <w:szCs w:val="22"/>
              </w:rPr>
              <w:t>Specifically, the Further Notice seeks comment on the following matters</w:t>
            </w:r>
            <w:r w:rsidRPr="0008082C">
              <w:rPr>
                <w:sz w:val="22"/>
                <w:szCs w:val="22"/>
              </w:rPr>
              <w:t>:</w:t>
            </w:r>
          </w:p>
          <w:p w:rsidR="006B403C" w:rsidP="00E72853" w14:paraId="661FF48A" w14:textId="72F54525">
            <w:pPr>
              <w:rPr>
                <w:sz w:val="22"/>
                <w:szCs w:val="22"/>
              </w:rPr>
            </w:pPr>
          </w:p>
          <w:p w:rsidR="00030956" w:rsidP="0024029F" w14:paraId="65182B06" w14:textId="7897FED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How to determine </w:t>
            </w:r>
            <w:r w:rsidRPr="006B403C">
              <w:rPr>
                <w:sz w:val="22"/>
                <w:szCs w:val="22"/>
              </w:rPr>
              <w:t>whether and to what extent utilities directly benefit from various types of pole replacement</w:t>
            </w:r>
            <w:r>
              <w:rPr>
                <w:sz w:val="22"/>
                <w:szCs w:val="22"/>
              </w:rPr>
              <w:t xml:space="preserve">s in situations where </w:t>
            </w:r>
            <w:r w:rsidRPr="006B403C" w:rsidR="0024029F">
              <w:rPr>
                <w:sz w:val="22"/>
                <w:szCs w:val="22"/>
              </w:rPr>
              <w:t>a pole replacement is not “necessitated solely” by a new attachment request</w:t>
            </w:r>
            <w:r>
              <w:rPr>
                <w:sz w:val="22"/>
                <w:szCs w:val="22"/>
              </w:rPr>
              <w:t>.</w:t>
            </w:r>
          </w:p>
          <w:p w:rsidR="0024029F" w:rsidP="0024029F" w14:paraId="4021C329" w14:textId="6103BF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standards </w:t>
            </w:r>
            <w:r w:rsidRPr="006B403C">
              <w:rPr>
                <w:sz w:val="22"/>
                <w:szCs w:val="22"/>
              </w:rPr>
              <w:t>the Commission</w:t>
            </w:r>
            <w:r w:rsidR="006233DE">
              <w:rPr>
                <w:sz w:val="22"/>
                <w:szCs w:val="22"/>
              </w:rPr>
              <w:t xml:space="preserve"> should</w:t>
            </w:r>
            <w:r w:rsidRPr="006B403C">
              <w:rPr>
                <w:sz w:val="22"/>
                <w:szCs w:val="22"/>
              </w:rPr>
              <w:t xml:space="preserve"> establ</w:t>
            </w:r>
            <w:r>
              <w:rPr>
                <w:sz w:val="22"/>
                <w:szCs w:val="22"/>
              </w:rPr>
              <w:t xml:space="preserve">ish </w:t>
            </w:r>
            <w:r w:rsidRPr="006B403C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requiring </w:t>
            </w:r>
            <w:r w:rsidRPr="006B403C">
              <w:rPr>
                <w:sz w:val="22"/>
                <w:szCs w:val="22"/>
              </w:rPr>
              <w:t>utilities to pay a proportional share of pole replacement cost</w:t>
            </w:r>
            <w:r w:rsidR="0003095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7A6A97" w:rsidP="00D33DFB" w14:paraId="20C7E294" w14:textId="113D07D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weighing the </w:t>
            </w:r>
            <w:r w:rsidRPr="00030956" w:rsidR="0024029F">
              <w:rPr>
                <w:sz w:val="22"/>
                <w:szCs w:val="22"/>
              </w:rPr>
              <w:t xml:space="preserve">costs and benefits of early pole retirements, </w:t>
            </w:r>
            <w:r>
              <w:rPr>
                <w:sz w:val="22"/>
                <w:szCs w:val="22"/>
              </w:rPr>
              <w:t>what is the best approach to align economic incentives between communications attachers and utilities.</w:t>
            </w:r>
          </w:p>
          <w:p w:rsidR="00D33DFB" w:rsidP="00D33DFB" w14:paraId="62EF1EC9" w14:textId="67CF45B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Whether </w:t>
            </w:r>
            <w:r w:rsidR="007A6A97">
              <w:rPr>
                <w:sz w:val="22"/>
                <w:szCs w:val="22"/>
              </w:rPr>
              <w:t>requiring utilities to</w:t>
            </w:r>
            <w:r w:rsidRPr="00030956">
              <w:rPr>
                <w:sz w:val="22"/>
                <w:szCs w:val="22"/>
              </w:rPr>
              <w:t xml:space="preserve"> pay a portion of the costs of a pole replacement </w:t>
            </w:r>
            <w:r>
              <w:rPr>
                <w:sz w:val="22"/>
                <w:szCs w:val="22"/>
              </w:rPr>
              <w:t xml:space="preserve">would </w:t>
            </w:r>
            <w:r w:rsidRPr="00030956">
              <w:rPr>
                <w:sz w:val="22"/>
                <w:szCs w:val="22"/>
              </w:rPr>
              <w:t>positively or negatively affect negotiations of pole attachment agreements and broadband deployment</w:t>
            </w:r>
            <w:r w:rsidR="007A6A97">
              <w:rPr>
                <w:sz w:val="22"/>
                <w:szCs w:val="22"/>
              </w:rPr>
              <w:t>.</w:t>
            </w:r>
          </w:p>
          <w:p w:rsidR="0024029F" w:rsidRPr="007A6A97" w:rsidP="007A6A97" w14:paraId="0884103B" w14:textId="33DDEAC2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A6A97">
              <w:rPr>
                <w:sz w:val="22"/>
                <w:szCs w:val="22"/>
              </w:rPr>
              <w:t xml:space="preserve">What measures the Commission </w:t>
            </w:r>
            <w:r w:rsidR="006233DE">
              <w:rPr>
                <w:sz w:val="22"/>
                <w:szCs w:val="22"/>
              </w:rPr>
              <w:t xml:space="preserve">could </w:t>
            </w:r>
            <w:r w:rsidRPr="007A6A97">
              <w:rPr>
                <w:sz w:val="22"/>
                <w:szCs w:val="22"/>
              </w:rPr>
              <w:t xml:space="preserve">adopt to </w:t>
            </w:r>
            <w:r w:rsidRPr="007A6A97">
              <w:rPr>
                <w:sz w:val="22"/>
                <w:szCs w:val="22"/>
              </w:rPr>
              <w:t>avoid dispute</w:t>
            </w:r>
            <w:r w:rsidR="006233DE">
              <w:rPr>
                <w:sz w:val="22"/>
                <w:szCs w:val="22"/>
              </w:rPr>
              <w:t>s</w:t>
            </w:r>
            <w:r w:rsidRPr="007A6A97">
              <w:rPr>
                <w:sz w:val="22"/>
                <w:szCs w:val="22"/>
              </w:rPr>
              <w:t xml:space="preserve">, or </w:t>
            </w:r>
            <w:r w:rsidRPr="007A6A97">
              <w:rPr>
                <w:sz w:val="22"/>
                <w:szCs w:val="22"/>
              </w:rPr>
              <w:t>expedite the resolution of pole replacement disputes; and</w:t>
            </w:r>
          </w:p>
          <w:p w:rsidR="0024029F" w:rsidRPr="007A6A97" w:rsidP="00441CF2" w14:paraId="6DF4FC34" w14:textId="6383F595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scope of refunds the Commission</w:t>
            </w:r>
            <w:r w:rsidR="006233DE">
              <w:rPr>
                <w:sz w:val="22"/>
                <w:szCs w:val="22"/>
              </w:rPr>
              <w:t xml:space="preserve"> should</w:t>
            </w:r>
            <w:r>
              <w:rPr>
                <w:sz w:val="22"/>
                <w:szCs w:val="22"/>
              </w:rPr>
              <w:t xml:space="preserve"> order when it determines</w:t>
            </w:r>
            <w:r w:rsidRPr="00E46819">
              <w:rPr>
                <w:sz w:val="22"/>
                <w:szCs w:val="22"/>
              </w:rPr>
              <w:t xml:space="preserve"> that a pole attachment rate, term, or condition is unjust and unreasonable.</w:t>
            </w:r>
          </w:p>
          <w:p w:rsidR="00BD19E8" w:rsidP="002E165B" w14:paraId="625EC8E2" w14:textId="595AFF2E">
            <w:pPr>
              <w:rPr>
                <w:sz w:val="22"/>
                <w:szCs w:val="22"/>
              </w:rPr>
            </w:pPr>
          </w:p>
          <w:p w:rsidR="00222DC5" w:rsidRPr="00222DC5" w:rsidP="00222DC5" w14:paraId="4551EDF1" w14:textId="6471A43A">
            <w:pPr>
              <w:rPr>
                <w:sz w:val="22"/>
                <w:szCs w:val="22"/>
              </w:rPr>
            </w:pPr>
            <w:r w:rsidRPr="00222DC5">
              <w:rPr>
                <w:sz w:val="22"/>
                <w:szCs w:val="22"/>
              </w:rPr>
              <w:t xml:space="preserve">Action by the Commission March 16, 2022 by Second Further Notice of Proposed Rulemaking (FCC 22-20).  Chairwoman </w:t>
            </w:r>
            <w:r w:rsidRPr="00222DC5">
              <w:rPr>
                <w:sz w:val="22"/>
                <w:szCs w:val="22"/>
              </w:rPr>
              <w:t>Rosenworcel</w:t>
            </w:r>
            <w:r w:rsidRPr="00222DC5">
              <w:rPr>
                <w:sz w:val="22"/>
                <w:szCs w:val="22"/>
              </w:rPr>
              <w:t xml:space="preserve">, Commissioners Carr, Starks, and </w:t>
            </w:r>
            <w:r w:rsidRPr="00222DC5">
              <w:rPr>
                <w:sz w:val="22"/>
                <w:szCs w:val="22"/>
              </w:rPr>
              <w:t>Simington</w:t>
            </w:r>
            <w:r w:rsidRPr="00222DC5">
              <w:rPr>
                <w:sz w:val="22"/>
                <w:szCs w:val="22"/>
              </w:rPr>
              <w:t xml:space="preserve"> approving.  Chairwoman </w:t>
            </w:r>
            <w:r w:rsidRPr="00222DC5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and</w:t>
            </w:r>
            <w:r w:rsidRPr="00222DC5">
              <w:rPr>
                <w:sz w:val="22"/>
                <w:szCs w:val="22"/>
              </w:rPr>
              <w:t xml:space="preserve"> Commissioner Carr</w:t>
            </w:r>
            <w:r>
              <w:rPr>
                <w:sz w:val="22"/>
                <w:szCs w:val="22"/>
              </w:rPr>
              <w:t xml:space="preserve"> </w:t>
            </w:r>
            <w:r w:rsidRPr="00222DC5">
              <w:rPr>
                <w:sz w:val="22"/>
                <w:szCs w:val="22"/>
              </w:rPr>
              <w:t>issuing separate statements.</w:t>
            </w:r>
          </w:p>
          <w:p w:rsidR="00222DC5" w:rsidRPr="00222DC5" w:rsidP="00222DC5" w14:paraId="73220154" w14:textId="77777777">
            <w:pPr>
              <w:rPr>
                <w:sz w:val="22"/>
                <w:szCs w:val="22"/>
              </w:rPr>
            </w:pPr>
          </w:p>
          <w:p w:rsidR="00222DC5" w:rsidP="00222DC5" w14:paraId="12FC6CB8" w14:textId="7A99D7FE">
            <w:pPr>
              <w:rPr>
                <w:sz w:val="22"/>
                <w:szCs w:val="22"/>
              </w:rPr>
            </w:pPr>
            <w:r w:rsidRPr="00222DC5">
              <w:rPr>
                <w:sz w:val="22"/>
                <w:szCs w:val="22"/>
              </w:rPr>
              <w:t>WC Docket No. 17-84</w:t>
            </w:r>
          </w:p>
          <w:p w:rsidR="00222DC5" w:rsidRPr="002E165B" w:rsidP="002E165B" w14:paraId="63A0054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94D637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8ED8C2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C263EF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24A1CD6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E070BB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FC5DBA"/>
    <w:multiLevelType w:val="hybridMultilevel"/>
    <w:tmpl w:val="04EAFF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1409B"/>
    <w:rsid w:val="0002500C"/>
    <w:rsid w:val="00030956"/>
    <w:rsid w:val="000311FC"/>
    <w:rsid w:val="00040127"/>
    <w:rsid w:val="00065E2D"/>
    <w:rsid w:val="0008082C"/>
    <w:rsid w:val="00081232"/>
    <w:rsid w:val="00091E65"/>
    <w:rsid w:val="00096D4A"/>
    <w:rsid w:val="000A38EA"/>
    <w:rsid w:val="000C1E47"/>
    <w:rsid w:val="000C26F3"/>
    <w:rsid w:val="000C5B9E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2049"/>
    <w:rsid w:val="001D3779"/>
    <w:rsid w:val="001F0469"/>
    <w:rsid w:val="00203A98"/>
    <w:rsid w:val="00206EDD"/>
    <w:rsid w:val="0021247E"/>
    <w:rsid w:val="002146F6"/>
    <w:rsid w:val="00215488"/>
    <w:rsid w:val="00222DC5"/>
    <w:rsid w:val="00231C32"/>
    <w:rsid w:val="0024029F"/>
    <w:rsid w:val="00240345"/>
    <w:rsid w:val="002421F0"/>
    <w:rsid w:val="00247274"/>
    <w:rsid w:val="00266966"/>
    <w:rsid w:val="00285C36"/>
    <w:rsid w:val="00286596"/>
    <w:rsid w:val="00294C0C"/>
    <w:rsid w:val="002A0934"/>
    <w:rsid w:val="002B1013"/>
    <w:rsid w:val="002D03E5"/>
    <w:rsid w:val="002E165B"/>
    <w:rsid w:val="002E3F1D"/>
    <w:rsid w:val="002E69B3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B1649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CF2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233DE"/>
    <w:rsid w:val="006415B4"/>
    <w:rsid w:val="00644E3D"/>
    <w:rsid w:val="00651B9E"/>
    <w:rsid w:val="00652019"/>
    <w:rsid w:val="00657EC9"/>
    <w:rsid w:val="00665633"/>
    <w:rsid w:val="00666D46"/>
    <w:rsid w:val="00674C86"/>
    <w:rsid w:val="0068015E"/>
    <w:rsid w:val="006861AB"/>
    <w:rsid w:val="00686B89"/>
    <w:rsid w:val="0069420F"/>
    <w:rsid w:val="006A2FC5"/>
    <w:rsid w:val="006A7D75"/>
    <w:rsid w:val="006B0A70"/>
    <w:rsid w:val="006B1874"/>
    <w:rsid w:val="006B403C"/>
    <w:rsid w:val="006B606A"/>
    <w:rsid w:val="006C33AF"/>
    <w:rsid w:val="006C3874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5C6"/>
    <w:rsid w:val="00793D6F"/>
    <w:rsid w:val="00794090"/>
    <w:rsid w:val="007A44F8"/>
    <w:rsid w:val="007A6A97"/>
    <w:rsid w:val="007D21BF"/>
    <w:rsid w:val="007F3C12"/>
    <w:rsid w:val="007F5205"/>
    <w:rsid w:val="0080486B"/>
    <w:rsid w:val="008215E7"/>
    <w:rsid w:val="00830FC6"/>
    <w:rsid w:val="00846B77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16C0A"/>
    <w:rsid w:val="00A21906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41392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31ED8"/>
    <w:rsid w:val="00C3295C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33DFB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46819"/>
    <w:rsid w:val="00E50A4A"/>
    <w:rsid w:val="00E606DE"/>
    <w:rsid w:val="00E644FE"/>
    <w:rsid w:val="00E72733"/>
    <w:rsid w:val="00E7285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1223AB5"/>
  <w15:docId w15:val="{ABC440F0-B90D-4261-8BC8-84922303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403C"/>
    <w:pPr>
      <w:ind w:left="720"/>
      <w:contextualSpacing/>
    </w:pPr>
  </w:style>
  <w:style w:type="paragraph" w:customStyle="1" w:styleId="Default">
    <w:name w:val="Default"/>
    <w:rsid w:val="0008082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33D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3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33D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3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33DE"/>
    <w:rPr>
      <w:b/>
      <w:bCs/>
    </w:rPr>
  </w:style>
  <w:style w:type="paragraph" w:styleId="Revision">
    <w:name w:val="Revision"/>
    <w:hidden/>
    <w:uiPriority w:val="99"/>
    <w:semiHidden/>
    <w:rsid w:val="00C32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