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B3DE5" w:rsidP="008B3DE5" w14:paraId="2894C86F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8B3DE5" w:rsidP="008B3DE5" w14:paraId="6EDA1B2B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8B3DE5" w:rsidP="008B3DE5" w14:paraId="40514073" w14:textId="77777777">
      <w:pPr>
        <w:pStyle w:val="StyleBoldCentered"/>
      </w:pPr>
      <w:r>
        <w:rPr>
          <w:caps w:val="0"/>
        </w:rPr>
        <w:t>Washington, D.C. 20554</w:t>
      </w:r>
    </w:p>
    <w:p w:rsidR="008B3DE5" w:rsidP="008B3DE5" w14:paraId="08225120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3E8B1597" w14:textId="77777777" w:rsidTr="009662EA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8B3DE5" w:rsidP="009662EA" w14:paraId="278EE7D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8B3DE5" w:rsidP="009662EA" w14:paraId="30609A7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B3DE5" w:rsidP="009662EA" w14:paraId="05138B86" w14:textId="035ED9C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Affordable Connectivity</w:t>
            </w:r>
            <w:r w:rsidR="00183B56">
              <w:rPr>
                <w:spacing w:val="-2"/>
              </w:rPr>
              <w:t xml:space="preserve"> Program</w:t>
            </w:r>
          </w:p>
          <w:p w:rsidR="00B720B4" w:rsidP="009662EA" w14:paraId="558667B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720B4" w:rsidRPr="006252E6" w:rsidP="009662EA" w14:paraId="57E856AF" w14:textId="62CB0E8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Emergency Broadband Benefit Program</w:t>
            </w:r>
          </w:p>
          <w:p w:rsidR="008B3DE5" w:rsidRPr="006252E6" w:rsidP="009662EA" w14:paraId="59DC4C8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B3DE5" w:rsidRPr="007115F7" w:rsidP="009662EA" w14:paraId="737191E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8B3DE5" w:rsidP="009662EA" w14:paraId="66F6BB6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B3DE5" w:rsidP="009662EA" w14:paraId="22806E0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8B3DE5" w:rsidP="009662EA" w14:paraId="53411D7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720B4" w:rsidP="009662EA" w14:paraId="4CE5C3CA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720B4" w:rsidP="009662EA" w14:paraId="6B88D9C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720B4" w:rsidP="009662EA" w14:paraId="1383F77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720B4" w:rsidP="009662EA" w14:paraId="6597A1F3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B720B4" w:rsidRPr="00DB3FDA" w:rsidP="009662EA" w14:paraId="340AF0CB" w14:textId="052CD0B5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8B3DE5" w:rsidP="009662EA" w14:paraId="22C4703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B3DE5" w:rsidP="009662EA" w14:paraId="6510D679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8B3DE5" w:rsidRPr="006252E6" w:rsidP="009662EA" w14:paraId="5200D585" w14:textId="7257060E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  <w:r>
              <w:rPr>
                <w:spacing w:val="-2"/>
              </w:rPr>
              <w:t>WC</w:t>
            </w:r>
            <w:r w:rsidRPr="006252E6">
              <w:rPr>
                <w:spacing w:val="-2"/>
              </w:rPr>
              <w:t xml:space="preserve"> Docket No. 2</w:t>
            </w:r>
            <w:r w:rsidR="000A188A">
              <w:rPr>
                <w:spacing w:val="-2"/>
              </w:rPr>
              <w:t>1</w:t>
            </w:r>
            <w:r w:rsidRPr="006252E6">
              <w:rPr>
                <w:spacing w:val="-2"/>
              </w:rPr>
              <w:t>-</w:t>
            </w:r>
            <w:r>
              <w:rPr>
                <w:spacing w:val="-2"/>
              </w:rPr>
              <w:t>4</w:t>
            </w:r>
            <w:r w:rsidR="000A188A">
              <w:rPr>
                <w:spacing w:val="-2"/>
              </w:rPr>
              <w:t>50</w:t>
            </w:r>
          </w:p>
          <w:p w:rsidR="008B3DE5" w:rsidP="009662EA" w14:paraId="35235CB0" w14:textId="77777777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B720B4" w:rsidRPr="00B720B4" w:rsidP="00B720B4" w14:paraId="050C28EF" w14:textId="4D7A6FD0">
            <w:r>
              <w:t>WC Docket No. 20-445</w:t>
            </w:r>
          </w:p>
        </w:tc>
      </w:tr>
    </w:tbl>
    <w:p w:rsidR="008B3DE5" w:rsidP="008B3DE5" w14:paraId="78C8279B" w14:textId="77777777"/>
    <w:p w:rsidR="008B3DE5" w:rsidP="008B3DE5" w14:paraId="31A458C6" w14:textId="77777777">
      <w:pPr>
        <w:pStyle w:val="StyleBoldCentered"/>
      </w:pPr>
      <w:r>
        <w:t>Erratum</w:t>
      </w:r>
    </w:p>
    <w:p w:rsidR="008B3DE5" w:rsidP="008B3DE5" w14:paraId="08EE7A53" w14:textId="77777777">
      <w:pPr>
        <w:pStyle w:val="StyleBoldCentered"/>
      </w:pPr>
    </w:p>
    <w:p w:rsidR="008B3DE5" w:rsidP="008B3DE5" w14:paraId="3FD78630" w14:textId="4A014B60">
      <w:pPr>
        <w:jc w:val="right"/>
        <w:rPr>
          <w:spacing w:val="-2"/>
        </w:rPr>
      </w:pPr>
      <w:r>
        <w:rPr>
          <w:b/>
          <w:spacing w:val="-2"/>
        </w:rPr>
        <w:t>Released:  Marc</w:t>
      </w:r>
      <w:r w:rsidR="00AC38BD">
        <w:rPr>
          <w:b/>
          <w:spacing w:val="-2"/>
        </w:rPr>
        <w:t xml:space="preserve">h </w:t>
      </w:r>
      <w:r w:rsidR="00521EC1">
        <w:rPr>
          <w:b/>
          <w:spacing w:val="-2"/>
        </w:rPr>
        <w:t>16</w:t>
      </w:r>
      <w:r>
        <w:rPr>
          <w:b/>
          <w:spacing w:val="-2"/>
        </w:rPr>
        <w:t>, 202</w:t>
      </w:r>
      <w:r w:rsidR="009A18E3">
        <w:rPr>
          <w:b/>
          <w:spacing w:val="-2"/>
        </w:rPr>
        <w:t>2</w:t>
      </w:r>
    </w:p>
    <w:p w:rsidR="008B3DE5" w:rsidP="008B3DE5" w14:paraId="4A43B694" w14:textId="77777777"/>
    <w:p w:rsidR="008B3DE5" w:rsidP="008B3DE5" w14:paraId="22C02F1F" w14:textId="77777777">
      <w:pPr>
        <w:rPr>
          <w:spacing w:val="-2"/>
        </w:rPr>
      </w:pPr>
      <w:r>
        <w:t xml:space="preserve">By the </w:t>
      </w:r>
      <w:r>
        <w:rPr>
          <w:spacing w:val="-2"/>
        </w:rPr>
        <w:t>Chief, Wireline Competition Bureau:</w:t>
      </w:r>
    </w:p>
    <w:p w:rsidR="008B3DE5" w:rsidP="008B3DE5" w14:paraId="41DC8C8E" w14:textId="77777777">
      <w:pPr>
        <w:rPr>
          <w:spacing w:val="-2"/>
        </w:rPr>
      </w:pPr>
    </w:p>
    <w:p w:rsidR="008B3DE5" w:rsidP="008B3DE5" w14:paraId="45090AB0" w14:textId="54264290">
      <w:pPr>
        <w:widowControl/>
        <w:spacing w:after="120"/>
        <w:ind w:firstLine="720"/>
        <w:rPr>
          <w:rFonts w:eastAsia="Calibri"/>
          <w:snapToGrid/>
          <w:kern w:val="0"/>
          <w:szCs w:val="22"/>
        </w:rPr>
      </w:pPr>
      <w:r w:rsidRPr="006252E6">
        <w:rPr>
          <w:rFonts w:eastAsia="Calibri"/>
          <w:snapToGrid/>
          <w:kern w:val="0"/>
          <w:szCs w:val="22"/>
        </w:rPr>
        <w:t xml:space="preserve">On </w:t>
      </w:r>
      <w:r w:rsidR="009A18E3">
        <w:rPr>
          <w:rFonts w:eastAsia="Calibri"/>
          <w:snapToGrid/>
          <w:kern w:val="0"/>
          <w:szCs w:val="22"/>
        </w:rPr>
        <w:t>January</w:t>
      </w:r>
      <w:r w:rsidRPr="006252E6">
        <w:rPr>
          <w:rFonts w:eastAsia="Calibri"/>
          <w:snapToGrid/>
          <w:kern w:val="0"/>
          <w:szCs w:val="22"/>
        </w:rPr>
        <w:t xml:space="preserve"> 2</w:t>
      </w:r>
      <w:r w:rsidR="002F4CEA">
        <w:rPr>
          <w:rFonts w:eastAsia="Calibri"/>
          <w:snapToGrid/>
          <w:kern w:val="0"/>
          <w:szCs w:val="22"/>
        </w:rPr>
        <w:t>1</w:t>
      </w:r>
      <w:r w:rsidRPr="006252E6">
        <w:rPr>
          <w:rFonts w:eastAsia="Calibri"/>
          <w:snapToGrid/>
          <w:kern w:val="0"/>
          <w:szCs w:val="22"/>
        </w:rPr>
        <w:t>, 202</w:t>
      </w:r>
      <w:r w:rsidR="002F4CEA">
        <w:rPr>
          <w:rFonts w:eastAsia="Calibri"/>
          <w:snapToGrid/>
          <w:kern w:val="0"/>
          <w:szCs w:val="22"/>
        </w:rPr>
        <w:t>2</w:t>
      </w:r>
      <w:r w:rsidRPr="006252E6">
        <w:rPr>
          <w:rFonts w:eastAsia="Calibri"/>
          <w:snapToGrid/>
          <w:kern w:val="0"/>
          <w:szCs w:val="22"/>
        </w:rPr>
        <w:t xml:space="preserve">, the </w:t>
      </w:r>
      <w:r>
        <w:rPr>
          <w:rFonts w:eastAsia="Calibri"/>
          <w:snapToGrid/>
          <w:kern w:val="0"/>
          <w:szCs w:val="22"/>
        </w:rPr>
        <w:t xml:space="preserve">Commission </w:t>
      </w:r>
      <w:r w:rsidRPr="006252E6">
        <w:rPr>
          <w:rFonts w:eastAsia="Calibri"/>
          <w:snapToGrid/>
          <w:kern w:val="0"/>
          <w:szCs w:val="22"/>
        </w:rPr>
        <w:t xml:space="preserve">released </w:t>
      </w:r>
      <w:r>
        <w:rPr>
          <w:rFonts w:eastAsia="Calibri"/>
          <w:snapToGrid/>
          <w:kern w:val="0"/>
          <w:szCs w:val="22"/>
        </w:rPr>
        <w:t>a</w:t>
      </w:r>
      <w:r w:rsidRPr="006252E6">
        <w:rPr>
          <w:rFonts w:eastAsia="Calibri"/>
          <w:snapToGrid/>
          <w:kern w:val="0"/>
          <w:szCs w:val="22"/>
        </w:rPr>
        <w:t xml:space="preserve"> </w:t>
      </w:r>
      <w:r w:rsidRPr="000B3EA0">
        <w:rPr>
          <w:rFonts w:eastAsia="Calibri"/>
          <w:snapToGrid/>
          <w:kern w:val="0"/>
          <w:szCs w:val="22"/>
        </w:rPr>
        <w:t>Report and Order</w:t>
      </w:r>
      <w:r w:rsidRPr="000B3EA0" w:rsidR="002F4CEA">
        <w:rPr>
          <w:rFonts w:eastAsia="Calibri"/>
          <w:snapToGrid/>
          <w:kern w:val="0"/>
          <w:szCs w:val="22"/>
        </w:rPr>
        <w:t xml:space="preserve"> and Further Notice of Proposed Rulemaking</w:t>
      </w:r>
      <w:r w:rsidRPr="000B3EA0" w:rsidR="000B3EA0">
        <w:rPr>
          <w:rFonts w:eastAsia="Calibri"/>
          <w:snapToGrid/>
          <w:kern w:val="0"/>
          <w:szCs w:val="22"/>
        </w:rPr>
        <w:t xml:space="preserve"> (</w:t>
      </w:r>
      <w:r w:rsidRPr="00FE5042" w:rsidR="000B3EA0">
        <w:rPr>
          <w:rFonts w:eastAsia="Calibri"/>
          <w:i/>
          <w:iCs/>
          <w:snapToGrid/>
          <w:kern w:val="0"/>
          <w:szCs w:val="22"/>
        </w:rPr>
        <w:t>Report and Order</w:t>
      </w:r>
      <w:r w:rsidR="000B3EA0">
        <w:rPr>
          <w:rFonts w:eastAsia="Calibri"/>
          <w:snapToGrid/>
          <w:kern w:val="0"/>
          <w:szCs w:val="22"/>
        </w:rPr>
        <w:t>)</w:t>
      </w:r>
      <w:r>
        <w:rPr>
          <w:rFonts w:eastAsia="Calibri"/>
          <w:snapToGrid/>
          <w:kern w:val="0"/>
          <w:szCs w:val="22"/>
        </w:rPr>
        <w:t>, FCC 2</w:t>
      </w:r>
      <w:r w:rsidR="002F4CEA">
        <w:rPr>
          <w:rFonts w:eastAsia="Calibri"/>
          <w:snapToGrid/>
          <w:kern w:val="0"/>
          <w:szCs w:val="22"/>
        </w:rPr>
        <w:t>2</w:t>
      </w:r>
      <w:r>
        <w:rPr>
          <w:rFonts w:eastAsia="Calibri"/>
          <w:snapToGrid/>
          <w:kern w:val="0"/>
          <w:szCs w:val="22"/>
        </w:rPr>
        <w:t>-2,</w:t>
      </w:r>
      <w:r w:rsidRPr="006252E6">
        <w:rPr>
          <w:rFonts w:eastAsia="Calibri"/>
          <w:snapToGrid/>
          <w:kern w:val="0"/>
          <w:szCs w:val="22"/>
        </w:rPr>
        <w:t xml:space="preserve"> in the above caption</w:t>
      </w:r>
      <w:r>
        <w:rPr>
          <w:rFonts w:eastAsia="Calibri"/>
          <w:snapToGrid/>
          <w:kern w:val="0"/>
          <w:szCs w:val="22"/>
        </w:rPr>
        <w:t>ed</w:t>
      </w:r>
      <w:r w:rsidRPr="006252E6">
        <w:rPr>
          <w:rFonts w:eastAsia="Calibri"/>
          <w:snapToGrid/>
          <w:kern w:val="0"/>
          <w:szCs w:val="22"/>
        </w:rPr>
        <w:t xml:space="preserve"> proceeding.</w:t>
      </w:r>
      <w:r>
        <w:rPr>
          <w:rFonts w:eastAsia="Calibri"/>
          <w:snapToGrid/>
          <w:kern w:val="0"/>
          <w:szCs w:val="22"/>
        </w:rPr>
        <w:t xml:space="preserve">  </w:t>
      </w:r>
      <w:r w:rsidRPr="006252E6">
        <w:rPr>
          <w:rFonts w:eastAsia="Calibri"/>
          <w:snapToGrid/>
          <w:kern w:val="0"/>
          <w:szCs w:val="22"/>
        </w:rPr>
        <w:t xml:space="preserve">This Erratum </w:t>
      </w:r>
      <w:r>
        <w:rPr>
          <w:rFonts w:eastAsia="Calibri"/>
          <w:snapToGrid/>
          <w:kern w:val="0"/>
          <w:szCs w:val="22"/>
        </w:rPr>
        <w:t xml:space="preserve">amends </w:t>
      </w:r>
      <w:r w:rsidR="00E83794">
        <w:rPr>
          <w:rFonts w:eastAsia="Calibri"/>
          <w:snapToGrid/>
          <w:kern w:val="0"/>
          <w:szCs w:val="22"/>
        </w:rPr>
        <w:t xml:space="preserve">the text of the </w:t>
      </w:r>
      <w:r w:rsidR="00E83794">
        <w:rPr>
          <w:rFonts w:eastAsia="Calibri"/>
          <w:i/>
          <w:iCs/>
          <w:snapToGrid/>
          <w:kern w:val="0"/>
          <w:szCs w:val="22"/>
        </w:rPr>
        <w:t xml:space="preserve">Report and Order </w:t>
      </w:r>
      <w:r w:rsidR="00E83794">
        <w:rPr>
          <w:rFonts w:eastAsia="Calibri"/>
          <w:snapToGrid/>
          <w:kern w:val="0"/>
          <w:szCs w:val="22"/>
        </w:rPr>
        <w:t xml:space="preserve">and </w:t>
      </w:r>
      <w:r w:rsidRPr="00E83794">
        <w:rPr>
          <w:rFonts w:eastAsia="Calibri"/>
          <w:snapToGrid/>
          <w:kern w:val="0"/>
          <w:szCs w:val="22"/>
        </w:rPr>
        <w:t xml:space="preserve">Appendix A </w:t>
      </w:r>
      <w:r>
        <w:rPr>
          <w:rFonts w:eastAsia="Calibri"/>
          <w:snapToGrid/>
          <w:kern w:val="0"/>
          <w:szCs w:val="22"/>
        </w:rPr>
        <w:t xml:space="preserve">of the </w:t>
      </w:r>
      <w:r w:rsidRPr="00330F74">
        <w:rPr>
          <w:rFonts w:eastAsia="Calibri"/>
          <w:i/>
          <w:iCs/>
          <w:snapToGrid/>
          <w:kern w:val="0"/>
          <w:szCs w:val="22"/>
        </w:rPr>
        <w:t>Report and Order</w:t>
      </w:r>
      <w:r>
        <w:rPr>
          <w:rFonts w:eastAsia="Calibri"/>
          <w:snapToGrid/>
          <w:kern w:val="0"/>
          <w:szCs w:val="22"/>
        </w:rPr>
        <w:t xml:space="preserve"> as indicated below:</w:t>
      </w:r>
    </w:p>
    <w:p w:rsidR="00E83794" w:rsidP="00282EDB" w14:paraId="346A62F5" w14:textId="54FF4B9C">
      <w:pPr>
        <w:widowControl/>
        <w:numPr>
          <w:ilvl w:val="0"/>
          <w:numId w:val="7"/>
        </w:numPr>
        <w:spacing w:after="120"/>
        <w:ind w:left="0" w:firstLine="36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In paragraph 136, o</w:t>
      </w:r>
      <w:r>
        <w:rPr>
          <w:rFonts w:eastAsia="Calibri"/>
          <w:snapToGrid/>
          <w:kern w:val="0"/>
          <w:szCs w:val="22"/>
        </w:rPr>
        <w:t xml:space="preserve">n page </w:t>
      </w:r>
      <w:r w:rsidR="00893902">
        <w:rPr>
          <w:rFonts w:eastAsia="Calibri"/>
          <w:snapToGrid/>
          <w:kern w:val="0"/>
          <w:szCs w:val="22"/>
        </w:rPr>
        <w:t xml:space="preserve">65, the penultimate sentence </w:t>
      </w:r>
      <w:r w:rsidR="00724009">
        <w:rPr>
          <w:rFonts w:eastAsia="Calibri"/>
          <w:snapToGrid/>
          <w:kern w:val="0"/>
          <w:szCs w:val="22"/>
        </w:rPr>
        <w:t xml:space="preserve">is </w:t>
      </w:r>
      <w:r w:rsidR="000B3EA0">
        <w:rPr>
          <w:rFonts w:eastAsia="Calibri"/>
          <w:snapToGrid/>
          <w:kern w:val="0"/>
          <w:szCs w:val="22"/>
        </w:rPr>
        <w:t>correct</w:t>
      </w:r>
      <w:r w:rsidR="00724009">
        <w:rPr>
          <w:rFonts w:eastAsia="Calibri"/>
          <w:snapToGrid/>
          <w:kern w:val="0"/>
          <w:szCs w:val="22"/>
        </w:rPr>
        <w:t>ed to read as follows:</w:t>
      </w:r>
    </w:p>
    <w:p w:rsidR="00E83794" w:rsidP="00282EDB" w14:paraId="310E125B" w14:textId="73DA5028">
      <w:pPr>
        <w:widowControl/>
        <w:spacing w:after="120"/>
        <w:ind w:left="720"/>
        <w:rPr>
          <w:rFonts w:eastAsia="Calibri"/>
          <w:snapToGrid/>
          <w:kern w:val="0"/>
          <w:szCs w:val="22"/>
        </w:rPr>
      </w:pPr>
      <w:r>
        <w:rPr>
          <w:rFonts w:eastAsia="Calibri"/>
          <w:snapToGrid/>
          <w:kern w:val="0"/>
          <w:szCs w:val="22"/>
        </w:rPr>
        <w:t>“</w:t>
      </w:r>
      <w:r w:rsidR="00724009">
        <w:rPr>
          <w:rFonts w:eastAsia="Calibri"/>
          <w:snapToGrid/>
          <w:kern w:val="0"/>
          <w:szCs w:val="22"/>
        </w:rPr>
        <w:t xml:space="preserve">However, we require providers to update their election notice to include </w:t>
      </w:r>
      <w:r w:rsidR="00EF42F2">
        <w:rPr>
          <w:rFonts w:eastAsia="Calibri"/>
          <w:snapToGrid/>
          <w:kern w:val="0"/>
          <w:szCs w:val="22"/>
        </w:rPr>
        <w:t>information on device type, device make, device model, and market value of the device</w:t>
      </w:r>
      <w:r w:rsidR="009D05BD">
        <w:rPr>
          <w:rFonts w:eastAsia="Calibri"/>
          <w:snapToGrid/>
          <w:kern w:val="0"/>
          <w:szCs w:val="22"/>
        </w:rPr>
        <w:t>.</w:t>
      </w:r>
      <w:r>
        <w:rPr>
          <w:rFonts w:eastAsia="Calibri"/>
          <w:snapToGrid/>
          <w:kern w:val="0"/>
          <w:szCs w:val="22"/>
        </w:rPr>
        <w:t>”</w:t>
      </w:r>
    </w:p>
    <w:p w:rsidR="008B3DE5" w:rsidRPr="006252E6" w:rsidP="00282EDB" w14:paraId="06EBD962" w14:textId="73248AB8">
      <w:pPr>
        <w:widowControl/>
        <w:spacing w:after="120"/>
        <w:ind w:firstLine="360"/>
        <w:rPr>
          <w:rFonts w:eastAsia="Calibri"/>
          <w:snapToGrid/>
          <w:kern w:val="0"/>
          <w:szCs w:val="22"/>
        </w:rPr>
      </w:pPr>
      <w:r>
        <w:rPr>
          <w:snapToGrid/>
        </w:rPr>
        <w:t>2.</w:t>
      </w:r>
      <w:r>
        <w:rPr>
          <w:snapToGrid/>
        </w:rPr>
        <w:tab/>
        <w:t xml:space="preserve">Paragraph (g) of </w:t>
      </w:r>
      <w:r w:rsidR="00183B56">
        <w:rPr>
          <w:rFonts w:eastAsia="Calibri"/>
          <w:snapToGrid/>
          <w:kern w:val="0"/>
          <w:szCs w:val="22"/>
        </w:rPr>
        <w:t>Section</w:t>
      </w:r>
      <w:r w:rsidRPr="00653425" w:rsidR="00183B56">
        <w:rPr>
          <w:snapToGrid/>
        </w:rPr>
        <w:t xml:space="preserve"> 54.1</w:t>
      </w:r>
      <w:r w:rsidR="00357E63">
        <w:rPr>
          <w:snapToGrid/>
        </w:rPr>
        <w:t>810</w:t>
      </w:r>
      <w:r>
        <w:rPr>
          <w:snapToGrid/>
        </w:rPr>
        <w:t xml:space="preserve">, on page 159, </w:t>
      </w:r>
      <w:r w:rsidR="00183B56">
        <w:rPr>
          <w:snapToGrid/>
        </w:rPr>
        <w:t>is corrected to read as follows:</w:t>
      </w:r>
      <w:r w:rsidR="00183B56">
        <w:rPr>
          <w:rFonts w:eastAsia="Calibri"/>
          <w:snapToGrid/>
          <w:kern w:val="0"/>
          <w:szCs w:val="22"/>
        </w:rPr>
        <w:t xml:space="preserve">  </w:t>
      </w:r>
    </w:p>
    <w:p w:rsidR="005E12AE" w:rsidP="008B3DE5" w14:paraId="1F5AC4FB" w14:textId="25A4BFC9">
      <w:pPr>
        <w:widowControl/>
        <w:shd w:val="clear" w:color="auto" w:fill="FFFFFF"/>
        <w:spacing w:after="120"/>
        <w:ind w:left="720"/>
        <w:rPr>
          <w:bCs/>
          <w:i/>
          <w:i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>“</w:t>
      </w:r>
      <w:r w:rsidR="00183B56">
        <w:rPr>
          <w:bCs/>
          <w:snapToGrid/>
          <w:kern w:val="0"/>
          <w:szCs w:val="22"/>
        </w:rPr>
        <w:t>(</w:t>
      </w:r>
      <w:r w:rsidR="00E72C8F">
        <w:rPr>
          <w:bCs/>
          <w:snapToGrid/>
          <w:kern w:val="0"/>
          <w:szCs w:val="22"/>
        </w:rPr>
        <w:t>g</w:t>
      </w:r>
      <w:r w:rsidR="00183B56">
        <w:rPr>
          <w:bCs/>
          <w:snapToGrid/>
          <w:kern w:val="0"/>
          <w:szCs w:val="22"/>
        </w:rPr>
        <w:t xml:space="preserve">) </w:t>
      </w:r>
      <w:r w:rsidR="00E72C8F">
        <w:rPr>
          <w:bCs/>
          <w:i/>
          <w:iCs/>
          <w:snapToGrid/>
          <w:kern w:val="0"/>
          <w:szCs w:val="22"/>
        </w:rPr>
        <w:t>Restrictions on switching service offerings.</w:t>
      </w:r>
    </w:p>
    <w:p w:rsidR="007A7C9C" w:rsidP="008B3DE5" w14:paraId="24EB7079" w14:textId="5BEAB412">
      <w:pPr>
        <w:widowControl/>
        <w:shd w:val="clear" w:color="auto" w:fill="FFFFFF"/>
        <w:spacing w:after="120"/>
        <w:ind w:left="720"/>
        <w:rPr>
          <w:bCs/>
          <w:snapToGrid/>
          <w:kern w:val="0"/>
          <w:szCs w:val="22"/>
        </w:rPr>
      </w:pPr>
      <w:r>
        <w:rPr>
          <w:bCs/>
          <w:snapToGrid/>
          <w:kern w:val="0"/>
          <w:szCs w:val="22"/>
        </w:rPr>
        <w:t>A participating provider shall not i</w:t>
      </w:r>
      <w:r w:rsidR="00F835AD">
        <w:rPr>
          <w:bCs/>
          <w:snapToGrid/>
          <w:kern w:val="0"/>
          <w:szCs w:val="22"/>
        </w:rPr>
        <w:t>m</w:t>
      </w:r>
      <w:r>
        <w:rPr>
          <w:bCs/>
          <w:snapToGrid/>
          <w:kern w:val="0"/>
          <w:szCs w:val="22"/>
        </w:rPr>
        <w:t>pose any restrictions on a household’s ability to switch Internet service offerings, unless, once the consumer enters a delinquent status after the bill due date, the provider limits available service plans to offerings that are covered by the full benefit amount</w:t>
      </w:r>
      <w:r w:rsidR="006D10DA">
        <w:rPr>
          <w:bCs/>
          <w:snapToGrid/>
          <w:kern w:val="0"/>
          <w:szCs w:val="22"/>
        </w:rPr>
        <w:t xml:space="preserve"> upon advance notice to the household of the change in service.</w:t>
      </w:r>
      <w:r w:rsidR="00521EC1">
        <w:rPr>
          <w:bCs/>
          <w:snapToGrid/>
          <w:kern w:val="0"/>
          <w:szCs w:val="22"/>
        </w:rPr>
        <w:t>”</w:t>
      </w:r>
    </w:p>
    <w:p w:rsidR="005E12AE" w:rsidP="008B3DE5" w14:paraId="1D718E71" w14:textId="193B822D">
      <w:pPr>
        <w:widowControl/>
        <w:shd w:val="clear" w:color="auto" w:fill="FFFFFF"/>
        <w:spacing w:after="120"/>
        <w:ind w:left="720"/>
        <w:rPr>
          <w:bCs/>
          <w:snapToGrid/>
          <w:kern w:val="0"/>
          <w:szCs w:val="22"/>
        </w:rPr>
      </w:pPr>
    </w:p>
    <w:p w:rsidR="008B3DE5" w:rsidP="008B3DE5" w14:paraId="26095A11" w14:textId="77777777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8B3DE5" w:rsidP="008B3DE5" w14:paraId="4FD113AB" w14:textId="77777777">
      <w:pPr>
        <w:keepNext/>
        <w:widowControl/>
      </w:pPr>
    </w:p>
    <w:p w:rsidR="008B3DE5" w:rsidP="008B3DE5" w14:paraId="22EC7621" w14:textId="77777777">
      <w:pPr>
        <w:keepNext/>
        <w:widowControl/>
      </w:pPr>
    </w:p>
    <w:p w:rsidR="008B3DE5" w:rsidP="008B3DE5" w14:paraId="647C9A77" w14:textId="77777777">
      <w:pPr>
        <w:keepNext/>
        <w:widowControl/>
      </w:pPr>
    </w:p>
    <w:p w:rsidR="008B3DE5" w:rsidP="008B3DE5" w14:paraId="1B3EB634" w14:textId="77777777">
      <w:pPr>
        <w:keepNext/>
        <w:widowControl/>
      </w:pPr>
    </w:p>
    <w:p w:rsidR="008B3DE5" w:rsidP="008B3DE5" w14:paraId="4FE09CBE" w14:textId="6A1852ED">
      <w:pPr>
        <w:keepNext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2AE">
        <w:t>Trent Harkrader</w:t>
      </w:r>
      <w:r>
        <w:t xml:space="preserve"> </w:t>
      </w:r>
    </w:p>
    <w:p w:rsidR="008B3DE5" w:rsidP="008B3DE5" w14:paraId="76E9F32C" w14:textId="77777777">
      <w:r>
        <w:tab/>
      </w:r>
      <w:r>
        <w:tab/>
      </w:r>
      <w:r>
        <w:tab/>
      </w:r>
      <w:r>
        <w:tab/>
      </w:r>
      <w:r>
        <w:tab/>
      </w:r>
      <w:r>
        <w:tab/>
        <w:t>Chief, Wireline Competition Bureau</w:t>
      </w:r>
    </w:p>
    <w:p w:rsidR="00412FC5" w:rsidP="008B3DE5" w14:paraId="71F4F337" w14:textId="77777777">
      <w:pPr>
        <w:pStyle w:val="Heading1"/>
        <w:numPr>
          <w:ilvl w:val="0"/>
          <w:numId w:val="0"/>
        </w:numPr>
        <w:ind w:left="720" w:hanging="720"/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C62520F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2F2C8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B3DE5" w14:paraId="74F49443" w14:textId="38267E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D99F397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2360D62" w14:textId="21A0FD6A">
    <w:pPr>
      <w:pStyle w:val="Header"/>
      <w:rPr>
        <w:b w:val="0"/>
      </w:rPr>
    </w:pPr>
    <w:r>
      <w:tab/>
    </w:r>
    <w:r>
      <w:t>Federal Communications Commission</w:t>
    </w:r>
    <w:r>
      <w:tab/>
    </w:r>
  </w:p>
  <w:p w:rsidR="00D25FB5" w14:paraId="7EAC5B03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352C904E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00633B5" w14:textId="0AA50E9B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 w:rsidR="00183B56">
      <w:tab/>
    </w:r>
    <w:r w:rsidR="00183B56">
      <w:t>Federal Communications Commission</w:t>
    </w:r>
    <w:r w:rsidR="00183B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F1943DC"/>
    <w:multiLevelType w:val="hybridMultilevel"/>
    <w:tmpl w:val="EE5026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5"/>
    <w:rsid w:val="00036039"/>
    <w:rsid w:val="00037F90"/>
    <w:rsid w:val="000875BF"/>
    <w:rsid w:val="00096D8C"/>
    <w:rsid w:val="000A188A"/>
    <w:rsid w:val="000B3EA0"/>
    <w:rsid w:val="000C0B65"/>
    <w:rsid w:val="000E05FE"/>
    <w:rsid w:val="000E3D42"/>
    <w:rsid w:val="000F721A"/>
    <w:rsid w:val="00101510"/>
    <w:rsid w:val="00122BD5"/>
    <w:rsid w:val="00133F79"/>
    <w:rsid w:val="00145AB9"/>
    <w:rsid w:val="00156695"/>
    <w:rsid w:val="00183B56"/>
    <w:rsid w:val="00194A66"/>
    <w:rsid w:val="001D6BCF"/>
    <w:rsid w:val="001E01CA"/>
    <w:rsid w:val="00275CF5"/>
    <w:rsid w:val="00282EDB"/>
    <w:rsid w:val="0028301F"/>
    <w:rsid w:val="00285017"/>
    <w:rsid w:val="002A2D2E"/>
    <w:rsid w:val="002C00E8"/>
    <w:rsid w:val="002E3164"/>
    <w:rsid w:val="002F4CEA"/>
    <w:rsid w:val="00330F74"/>
    <w:rsid w:val="00343749"/>
    <w:rsid w:val="0034665F"/>
    <w:rsid w:val="00357E63"/>
    <w:rsid w:val="003660ED"/>
    <w:rsid w:val="00376972"/>
    <w:rsid w:val="003B0550"/>
    <w:rsid w:val="003B694F"/>
    <w:rsid w:val="003E3FAA"/>
    <w:rsid w:val="003F171C"/>
    <w:rsid w:val="00412FC5"/>
    <w:rsid w:val="00422276"/>
    <w:rsid w:val="004242F1"/>
    <w:rsid w:val="00441E0B"/>
    <w:rsid w:val="00445A00"/>
    <w:rsid w:val="00451B0F"/>
    <w:rsid w:val="004C1681"/>
    <w:rsid w:val="004C2EE3"/>
    <w:rsid w:val="004E4A22"/>
    <w:rsid w:val="00511968"/>
    <w:rsid w:val="00521EC1"/>
    <w:rsid w:val="0055614C"/>
    <w:rsid w:val="00566D06"/>
    <w:rsid w:val="005E12AE"/>
    <w:rsid w:val="005E14C2"/>
    <w:rsid w:val="00607BA5"/>
    <w:rsid w:val="0061180A"/>
    <w:rsid w:val="006252E6"/>
    <w:rsid w:val="00626EB6"/>
    <w:rsid w:val="00653425"/>
    <w:rsid w:val="00655D03"/>
    <w:rsid w:val="00683388"/>
    <w:rsid w:val="00683F84"/>
    <w:rsid w:val="006A6A81"/>
    <w:rsid w:val="006D10DA"/>
    <w:rsid w:val="006F7393"/>
    <w:rsid w:val="0070224F"/>
    <w:rsid w:val="007115F7"/>
    <w:rsid w:val="00724009"/>
    <w:rsid w:val="00785689"/>
    <w:rsid w:val="0079754B"/>
    <w:rsid w:val="007A1E6D"/>
    <w:rsid w:val="007A7C9C"/>
    <w:rsid w:val="007B0EB2"/>
    <w:rsid w:val="007E434B"/>
    <w:rsid w:val="007E601F"/>
    <w:rsid w:val="00810B6F"/>
    <w:rsid w:val="00822CE0"/>
    <w:rsid w:val="008331C8"/>
    <w:rsid w:val="00841AB1"/>
    <w:rsid w:val="00893902"/>
    <w:rsid w:val="008B3DE5"/>
    <w:rsid w:val="008C68F1"/>
    <w:rsid w:val="00921803"/>
    <w:rsid w:val="00926503"/>
    <w:rsid w:val="009662EA"/>
    <w:rsid w:val="009726D8"/>
    <w:rsid w:val="009A18E3"/>
    <w:rsid w:val="009D05BD"/>
    <w:rsid w:val="009D7308"/>
    <w:rsid w:val="009F76DB"/>
    <w:rsid w:val="00A32C3B"/>
    <w:rsid w:val="00A45F4F"/>
    <w:rsid w:val="00A600A9"/>
    <w:rsid w:val="00A6509F"/>
    <w:rsid w:val="00A95900"/>
    <w:rsid w:val="00AA55B7"/>
    <w:rsid w:val="00AA5B9E"/>
    <w:rsid w:val="00AB2407"/>
    <w:rsid w:val="00AB53DF"/>
    <w:rsid w:val="00AC38BD"/>
    <w:rsid w:val="00AD2938"/>
    <w:rsid w:val="00AD6C17"/>
    <w:rsid w:val="00B07E5C"/>
    <w:rsid w:val="00B720B4"/>
    <w:rsid w:val="00B811F7"/>
    <w:rsid w:val="00BA5DC6"/>
    <w:rsid w:val="00BA6196"/>
    <w:rsid w:val="00BC6D8C"/>
    <w:rsid w:val="00C139B6"/>
    <w:rsid w:val="00C34006"/>
    <w:rsid w:val="00C36B4C"/>
    <w:rsid w:val="00C426B1"/>
    <w:rsid w:val="00C614BB"/>
    <w:rsid w:val="00C66160"/>
    <w:rsid w:val="00C721AC"/>
    <w:rsid w:val="00C7354B"/>
    <w:rsid w:val="00C90D6A"/>
    <w:rsid w:val="00CA247E"/>
    <w:rsid w:val="00CA6D21"/>
    <w:rsid w:val="00CC72B6"/>
    <w:rsid w:val="00D0218D"/>
    <w:rsid w:val="00D25FB5"/>
    <w:rsid w:val="00D44223"/>
    <w:rsid w:val="00D64112"/>
    <w:rsid w:val="00D66182"/>
    <w:rsid w:val="00DA2529"/>
    <w:rsid w:val="00DB130A"/>
    <w:rsid w:val="00DB2EBB"/>
    <w:rsid w:val="00DB3FDA"/>
    <w:rsid w:val="00DC10A1"/>
    <w:rsid w:val="00DC655F"/>
    <w:rsid w:val="00DD0B59"/>
    <w:rsid w:val="00DD7EBD"/>
    <w:rsid w:val="00DE5BD4"/>
    <w:rsid w:val="00DF62B6"/>
    <w:rsid w:val="00E022E1"/>
    <w:rsid w:val="00E07225"/>
    <w:rsid w:val="00E5409F"/>
    <w:rsid w:val="00E72C8F"/>
    <w:rsid w:val="00E83794"/>
    <w:rsid w:val="00E93FAB"/>
    <w:rsid w:val="00EE6488"/>
    <w:rsid w:val="00EF42F2"/>
    <w:rsid w:val="00F021FA"/>
    <w:rsid w:val="00F62E97"/>
    <w:rsid w:val="00F633D6"/>
    <w:rsid w:val="00F64209"/>
    <w:rsid w:val="00F835AD"/>
    <w:rsid w:val="00F93BF5"/>
    <w:rsid w:val="00FE5042"/>
    <w:rsid w:val="3DC6074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ADA0BF9"/>
  <w15:chartTrackingRefBased/>
  <w15:docId w15:val="{5F34B84E-9E45-4A6A-AEA9-C987F391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