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C16C8" w:rsidRPr="00B20363" w:rsidP="00C660D2" w14:paraId="083A1679" w14:textId="4B9F119A">
      <w:pPr>
        <w:spacing w:before="120" w:after="240"/>
        <w:rPr>
          <w:b/>
          <w:sz w:val="24"/>
        </w:rPr>
      </w:pPr>
      <w:bookmarkStart w:id="0" w:name="TOChere"/>
      <w:r w:rsidRPr="00B20363">
        <w:rPr>
          <w:b/>
          <w:sz w:val="24"/>
        </w:rPr>
        <w:t xml:space="preserve">Report No. </w:t>
      </w:r>
      <w:r w:rsidR="005D48A1">
        <w:rPr>
          <w:b/>
          <w:sz w:val="24"/>
        </w:rPr>
        <w:t>31</w:t>
      </w:r>
      <w:r w:rsidR="00073D37">
        <w:rPr>
          <w:b/>
          <w:sz w:val="24"/>
        </w:rPr>
        <w:t>8</w:t>
      </w:r>
      <w:r w:rsidR="00337064">
        <w:rPr>
          <w:b/>
          <w:sz w:val="24"/>
        </w:rPr>
        <w:t>7</w:t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073D37">
        <w:rPr>
          <w:b/>
          <w:sz w:val="24"/>
        </w:rPr>
        <w:t xml:space="preserve">      </w:t>
      </w:r>
      <w:r w:rsidR="00337064">
        <w:rPr>
          <w:b/>
          <w:sz w:val="24"/>
        </w:rPr>
        <w:t xml:space="preserve">      </w:t>
      </w:r>
      <w:r w:rsidR="00073D37">
        <w:rPr>
          <w:b/>
          <w:sz w:val="24"/>
        </w:rPr>
        <w:t xml:space="preserve">   </w:t>
      </w:r>
      <w:r>
        <w:rPr>
          <w:b/>
          <w:sz w:val="24"/>
        </w:rPr>
        <w:t xml:space="preserve">Released:  </w:t>
      </w:r>
      <w:r w:rsidR="00AE1F2A">
        <w:rPr>
          <w:b/>
          <w:sz w:val="24"/>
        </w:rPr>
        <w:t>May 23</w:t>
      </w:r>
      <w:r w:rsidR="00337064">
        <w:rPr>
          <w:b/>
          <w:sz w:val="24"/>
        </w:rPr>
        <w:t>, 2022</w:t>
      </w:r>
    </w:p>
    <w:p w:rsidR="00AC16C8" w:rsidP="00AC16C8" w14:paraId="377CD23C" w14:textId="77777777">
      <w:pPr>
        <w:jc w:val="right"/>
        <w:rPr>
          <w:sz w:val="24"/>
        </w:rPr>
      </w:pPr>
    </w:p>
    <w:p w:rsidR="00AC16C8" w:rsidRPr="00094E46" w:rsidP="00AC16C8" w14:paraId="4A9A1D11" w14:textId="77777777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AC16C8" w:rsidRPr="00717C91" w:rsidP="00AC16C8" w14:paraId="34841186" w14:textId="49EFEF9A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t>A P</w:t>
      </w:r>
      <w:r w:rsidRPr="00094E46">
        <w:rPr>
          <w:sz w:val="24"/>
          <w:szCs w:val="24"/>
        </w:rPr>
        <w:t>etition for Reconsideration h</w:t>
      </w:r>
      <w:r>
        <w:rPr>
          <w:sz w:val="24"/>
          <w:szCs w:val="24"/>
        </w:rPr>
        <w:t>as</w:t>
      </w:r>
      <w:r w:rsidRPr="00094E46">
        <w:rPr>
          <w:sz w:val="24"/>
          <w:szCs w:val="24"/>
        </w:rPr>
        <w:t xml:space="preserve"> been filed in the Commission’s proceeding</w:t>
      </w:r>
      <w:r>
        <w:rPr>
          <w:sz w:val="24"/>
          <w:szCs w:val="24"/>
        </w:rPr>
        <w:t xml:space="preserve"> listed in this </w:t>
      </w:r>
      <w:r w:rsidRPr="00094E46">
        <w:rPr>
          <w:sz w:val="24"/>
          <w:szCs w:val="24"/>
        </w:rPr>
        <w:t>Public Notice and published pursuant to 47 CFR Section 1.429(e).  The full text of</w:t>
      </w:r>
      <w:r>
        <w:rPr>
          <w:sz w:val="24"/>
          <w:szCs w:val="24"/>
        </w:rPr>
        <w:t xml:space="preserve"> this </w:t>
      </w:r>
      <w:r w:rsidRPr="00094E46">
        <w:rPr>
          <w:sz w:val="24"/>
          <w:szCs w:val="24"/>
        </w:rPr>
        <w:t xml:space="preserve">document is available for viewing </w:t>
      </w:r>
      <w:r>
        <w:rPr>
          <w:sz w:val="24"/>
          <w:szCs w:val="24"/>
        </w:rPr>
        <w:t xml:space="preserve">on the ECFS data base, </w:t>
      </w:r>
      <w:hyperlink r:id="rId4" w:history="1">
        <w:r w:rsidRPr="006D522B">
          <w:rPr>
            <w:rStyle w:val="Hyperlink"/>
            <w:sz w:val="24"/>
            <w:szCs w:val="24"/>
          </w:rPr>
          <w:t>https://www.fcc.gov/ecfs/</w:t>
        </w:r>
      </w:hyperlink>
      <w:r>
        <w:rPr>
          <w:sz w:val="24"/>
          <w:szCs w:val="24"/>
        </w:rPr>
        <w:t xml:space="preserve">.  Oppositions to the petition must be </w:t>
      </w:r>
      <w:r w:rsidRPr="00094E46">
        <w:rPr>
          <w:sz w:val="24"/>
          <w:szCs w:val="24"/>
        </w:rPr>
        <w:t xml:space="preserve">filed within 15 days of the date of publication of this public </w:t>
      </w:r>
      <w:r>
        <w:rPr>
          <w:sz w:val="24"/>
          <w:szCs w:val="24"/>
        </w:rPr>
        <w:t xml:space="preserve">notice in the Federal Register.  </w:t>
      </w:r>
      <w:r>
        <w:rPr>
          <w:i/>
          <w:iCs/>
          <w:sz w:val="24"/>
          <w:szCs w:val="24"/>
        </w:rPr>
        <w:t xml:space="preserve">See </w:t>
      </w:r>
      <w:r w:rsidRPr="00094E46">
        <w:rPr>
          <w:sz w:val="24"/>
          <w:szCs w:val="24"/>
        </w:rPr>
        <w:t xml:space="preserve">Section 1.4(b)(1) of the Commission’s rules (47 CFR § 1.4(b)(1)). 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Replies to an opposition must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be filed within 10 days after the time for filing Oppositions</w:t>
      </w:r>
      <w:r>
        <w:rPr>
          <w:sz w:val="24"/>
          <w:szCs w:val="24"/>
        </w:rPr>
        <w:t xml:space="preserve"> has expired</w:t>
      </w:r>
      <w:r w:rsidRPr="00094E46">
        <w:rPr>
          <w:sz w:val="24"/>
          <w:szCs w:val="24"/>
        </w:rPr>
        <w:t>.</w:t>
      </w:r>
      <w:r w:rsidRPr="00717C91" w:rsidR="00717C91">
        <w:t xml:space="preserve"> </w:t>
      </w:r>
      <w:r w:rsidRPr="00717C91" w:rsidR="00717C91">
        <w:rPr>
          <w:sz w:val="24"/>
          <w:szCs w:val="24"/>
        </w:rPr>
        <w:t xml:space="preserve">This </w:t>
      </w:r>
      <w:r w:rsidR="00F10B88">
        <w:rPr>
          <w:sz w:val="24"/>
          <w:szCs w:val="24"/>
        </w:rPr>
        <w:t>Petition for Reconsideration and related filings</w:t>
      </w:r>
      <w:r w:rsidRPr="00717C91" w:rsidR="00717C91">
        <w:rPr>
          <w:sz w:val="24"/>
          <w:szCs w:val="24"/>
        </w:rPr>
        <w:t xml:space="preserve"> shall be treated as a “permit-but disclose” proceeding in accordance with the Commission’s </w:t>
      </w:r>
      <w:r w:rsidRPr="00717C91" w:rsidR="00717C91">
        <w:rPr>
          <w:i/>
          <w:iCs/>
          <w:sz w:val="24"/>
          <w:szCs w:val="24"/>
        </w:rPr>
        <w:t xml:space="preserve">ex </w:t>
      </w:r>
      <w:r w:rsidRPr="00717C91" w:rsidR="00717C91">
        <w:rPr>
          <w:i/>
          <w:iCs/>
          <w:sz w:val="24"/>
          <w:szCs w:val="24"/>
        </w:rPr>
        <w:t>parte</w:t>
      </w:r>
      <w:r w:rsidRPr="00717C91" w:rsidR="00717C91">
        <w:rPr>
          <w:sz w:val="24"/>
          <w:szCs w:val="24"/>
        </w:rPr>
        <w:t xml:space="preserve"> rules</w:t>
      </w:r>
      <w:r w:rsidR="00717C91">
        <w:rPr>
          <w:sz w:val="24"/>
          <w:szCs w:val="24"/>
        </w:rPr>
        <w:t xml:space="preserve">.  </w:t>
      </w:r>
      <w:r w:rsidR="00717C91">
        <w:rPr>
          <w:i/>
          <w:iCs/>
          <w:sz w:val="24"/>
          <w:szCs w:val="24"/>
        </w:rPr>
        <w:t xml:space="preserve">See </w:t>
      </w:r>
      <w:r w:rsidR="00717C91">
        <w:rPr>
          <w:sz w:val="24"/>
          <w:szCs w:val="24"/>
        </w:rPr>
        <w:t xml:space="preserve">Section 1.1200, </w:t>
      </w:r>
      <w:r w:rsidR="00717C91">
        <w:rPr>
          <w:i/>
          <w:iCs/>
          <w:sz w:val="24"/>
          <w:szCs w:val="24"/>
        </w:rPr>
        <w:t xml:space="preserve">et seq. </w:t>
      </w:r>
      <w:r w:rsidR="00717C91">
        <w:rPr>
          <w:sz w:val="24"/>
          <w:szCs w:val="24"/>
        </w:rPr>
        <w:t>of the Commission’s rules (</w:t>
      </w:r>
      <w:r w:rsidRPr="00717C91" w:rsidR="00717C91">
        <w:rPr>
          <w:sz w:val="24"/>
          <w:szCs w:val="24"/>
        </w:rPr>
        <w:t>47 CFR §§ 1.1200</w:t>
      </w:r>
      <w:r w:rsidR="00717C91">
        <w:rPr>
          <w:sz w:val="24"/>
          <w:szCs w:val="24"/>
        </w:rPr>
        <w:t xml:space="preserve">, </w:t>
      </w:r>
      <w:r w:rsidRPr="00717C91" w:rsidR="00717C91">
        <w:rPr>
          <w:i/>
          <w:iCs/>
          <w:sz w:val="24"/>
          <w:szCs w:val="24"/>
        </w:rPr>
        <w:t>et seq</w:t>
      </w:r>
      <w:r w:rsidR="00717C91">
        <w:rPr>
          <w:sz w:val="24"/>
          <w:szCs w:val="24"/>
        </w:rPr>
        <w:t xml:space="preserve">.)  </w:t>
      </w:r>
    </w:p>
    <w:p w:rsidR="00AC16C8" w:rsidRPr="00094E46" w:rsidP="00AC16C8" w14:paraId="49A11F6A" w14:textId="77777777">
      <w:pPr>
        <w:ind w:left="360" w:right="360"/>
        <w:rPr>
          <w:sz w:val="24"/>
          <w:szCs w:val="24"/>
        </w:rPr>
      </w:pPr>
    </w:p>
    <w:p w:rsidR="00AC16C8" w:rsidRPr="00094E46" w:rsidP="00AC16C8" w14:paraId="453F0843" w14:textId="77777777">
      <w:pPr>
        <w:spacing w:after="120"/>
        <w:rPr>
          <w:sz w:val="24"/>
          <w:szCs w:val="24"/>
        </w:rPr>
      </w:pPr>
      <w:r w:rsidRPr="00094E46">
        <w:rPr>
          <w:sz w:val="24"/>
          <w:szCs w:val="24"/>
        </w:rPr>
        <w:t>---------------------------------------------------------------------------------------------------------------------</w:t>
      </w:r>
    </w:p>
    <w:p w:rsidR="00073D37" w:rsidP="00337064" w14:paraId="5D260BD2" w14:textId="0809FE04">
      <w:pPr>
        <w:spacing w:after="120"/>
        <w:ind w:left="990" w:hanging="990"/>
        <w:rPr>
          <w:sz w:val="24"/>
          <w:szCs w:val="24"/>
        </w:rPr>
      </w:pPr>
      <w:r w:rsidRPr="00094E46">
        <w:rPr>
          <w:b/>
          <w:bCs/>
          <w:sz w:val="24"/>
          <w:szCs w:val="24"/>
        </w:rPr>
        <w:t>Subject</w:t>
      </w:r>
      <w:r w:rsidRPr="00094E46">
        <w:rPr>
          <w:sz w:val="24"/>
          <w:szCs w:val="24"/>
        </w:rPr>
        <w:t xml:space="preserve">: </w:t>
      </w:r>
      <w:r>
        <w:rPr>
          <w:sz w:val="24"/>
          <w:szCs w:val="24"/>
        </w:rPr>
        <w:t>-</w:t>
      </w:r>
      <w:bookmarkStart w:id="1" w:name="_Hlk76986444"/>
      <w:r w:rsidRPr="00094E46">
        <w:rPr>
          <w:sz w:val="24"/>
          <w:szCs w:val="24"/>
        </w:rPr>
        <w:t xml:space="preserve">In the Matter of </w:t>
      </w:r>
      <w:bookmarkEnd w:id="1"/>
      <w:r w:rsidR="00337064">
        <w:rPr>
          <w:sz w:val="24"/>
          <w:szCs w:val="24"/>
        </w:rPr>
        <w:t>Wireless Telecommunications Bureau Announces Procedures for Appeals of Relocation Payment Clearinghouse Decisions</w:t>
      </w:r>
      <w:r>
        <w:rPr>
          <w:sz w:val="24"/>
          <w:szCs w:val="24"/>
        </w:rPr>
        <w:t xml:space="preserve"> (W</w:t>
      </w:r>
      <w:r w:rsidR="00337064">
        <w:rPr>
          <w:sz w:val="24"/>
          <w:szCs w:val="24"/>
        </w:rPr>
        <w:t>T</w:t>
      </w:r>
      <w:r>
        <w:rPr>
          <w:sz w:val="24"/>
          <w:szCs w:val="24"/>
        </w:rPr>
        <w:t xml:space="preserve"> Docket No. </w:t>
      </w:r>
      <w:r w:rsidR="00337064">
        <w:rPr>
          <w:sz w:val="24"/>
          <w:szCs w:val="24"/>
        </w:rPr>
        <w:t>21-333</w:t>
      </w:r>
      <w:r>
        <w:rPr>
          <w:sz w:val="24"/>
          <w:szCs w:val="24"/>
        </w:rPr>
        <w:t>)</w:t>
      </w:r>
    </w:p>
    <w:p w:rsidR="00E8671C" w:rsidRPr="00317738" w:rsidP="00AC16C8" w14:paraId="1805F735" w14:textId="4A4FBC9F">
      <w:pPr>
        <w:spacing w:after="120"/>
        <w:ind w:left="990" w:hanging="99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44BE0" w:rsidRPr="00317738" w:rsidP="00F44BE0" w14:paraId="52DC34A4" w14:textId="43A536F5">
      <w:pPr>
        <w:pStyle w:val="Default"/>
        <w:spacing w:after="120"/>
        <w:ind w:left="1080" w:hanging="1080"/>
      </w:pPr>
      <w:r w:rsidRPr="00094E46">
        <w:rPr>
          <w:b/>
          <w:bCs/>
        </w:rPr>
        <w:t xml:space="preserve">Filed By: </w:t>
      </w:r>
      <w:r>
        <w:rPr>
          <w:b/>
          <w:bCs/>
        </w:rPr>
        <w:t>-</w:t>
      </w:r>
      <w:r w:rsidRPr="00A75CE5" w:rsidR="00A75CE5">
        <w:t xml:space="preserve"> </w:t>
      </w:r>
      <w:r w:rsidR="00337064">
        <w:t>Michael P. Goggin</w:t>
      </w:r>
      <w:r w:rsidRPr="00BC5FB1">
        <w:t>, on</w:t>
      </w:r>
      <w:r>
        <w:t xml:space="preserve"> behalf </w:t>
      </w:r>
      <w:r w:rsidR="00337064">
        <w:t>AT&amp;T Services, Inc.</w:t>
      </w:r>
      <w:r>
        <w:t xml:space="preserve"> (Filed </w:t>
      </w:r>
      <w:r w:rsidR="00337064">
        <w:t>4</w:t>
      </w:r>
      <w:r>
        <w:t>/</w:t>
      </w:r>
      <w:r w:rsidR="00073D37">
        <w:t>2</w:t>
      </w:r>
      <w:r w:rsidR="00337064">
        <w:t>0</w:t>
      </w:r>
      <w:r>
        <w:t>/202</w:t>
      </w:r>
      <w:r w:rsidR="00337064">
        <w:t>2</w:t>
      </w:r>
      <w:r>
        <w:t>)</w:t>
      </w:r>
      <w:r w:rsidR="00D92167">
        <w:t xml:space="preserve"> </w:t>
      </w:r>
    </w:p>
    <w:p w:rsidR="00AC16C8" w:rsidRPr="00094E46" w:rsidP="00AC16C8" w14:paraId="12BA0879" w14:textId="77777777">
      <w:pPr>
        <w:spacing w:after="120"/>
        <w:rPr>
          <w:szCs w:val="22"/>
        </w:rPr>
      </w:pPr>
      <w:r w:rsidRPr="00094E46">
        <w:rPr>
          <w:szCs w:val="22"/>
        </w:rPr>
        <w:t>-------------------------------------------------------------------------------------------------------</w:t>
      </w:r>
      <w:r>
        <w:rPr>
          <w:szCs w:val="22"/>
        </w:rPr>
        <w:t>----------------------</w:t>
      </w:r>
      <w:r w:rsidRPr="00094E46">
        <w:rPr>
          <w:szCs w:val="22"/>
        </w:rPr>
        <w:t>--</w:t>
      </w:r>
    </w:p>
    <w:p w:rsidR="00AC16C8" w:rsidRPr="0088621D" w:rsidP="00AC16C8" w14:paraId="05E3B246" w14:textId="77777777">
      <w:pPr>
        <w:spacing w:after="220"/>
        <w:rPr>
          <w:szCs w:val="22"/>
        </w:rPr>
      </w:pPr>
      <w:r w:rsidRPr="0088621D">
        <w:rPr>
          <w:szCs w:val="22"/>
        </w:rPr>
        <w:t xml:space="preserve">  </w:t>
      </w:r>
    </w:p>
    <w:p w:rsidR="00AC16C8" w:rsidRPr="00AC16C8" w:rsidP="00AC16C8" w14:paraId="0B3AD045" w14:textId="77777777">
      <w:pPr>
        <w:jc w:val="center"/>
        <w:rPr>
          <w:b/>
          <w:sz w:val="24"/>
          <w:szCs w:val="24"/>
        </w:rPr>
      </w:pPr>
      <w:r w:rsidRPr="00AC16C8">
        <w:rPr>
          <w:b/>
          <w:sz w:val="24"/>
          <w:szCs w:val="24"/>
        </w:rPr>
        <w:t>- FCC -</w:t>
      </w:r>
    </w:p>
    <w:p w:rsidR="00F96F63" w:rsidRPr="00930ECF" w:rsidP="00F96F63" w14:paraId="524244EC" w14:textId="77777777">
      <w:pPr>
        <w:rPr>
          <w:sz w:val="24"/>
        </w:rPr>
      </w:pPr>
    </w:p>
    <w:bookmarkEnd w:id="0"/>
    <w:p w:rsidR="00F96F63" w:rsidP="00F96F63" w14:paraId="535AEF05" w14:textId="77777777">
      <w:pPr>
        <w:rPr>
          <w:sz w:val="24"/>
        </w:rPr>
      </w:pPr>
    </w:p>
    <w:p w:rsidR="00930ECF" w:rsidRPr="00930ECF" w:rsidP="00F96F63" w14:paraId="62907220" w14:textId="77777777">
      <w:pPr>
        <w:rPr>
          <w:sz w:val="24"/>
        </w:rPr>
      </w:pPr>
    </w:p>
    <w:sectPr w:rsidSect="000E58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201" w14:paraId="39B031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0BF0"/>
    <w:rsid w:val="00021445"/>
    <w:rsid w:val="00036039"/>
    <w:rsid w:val="00037F90"/>
    <w:rsid w:val="00073D37"/>
    <w:rsid w:val="000875BF"/>
    <w:rsid w:val="00094E46"/>
    <w:rsid w:val="00096D8C"/>
    <w:rsid w:val="000B4F3F"/>
    <w:rsid w:val="000C0B65"/>
    <w:rsid w:val="000E3090"/>
    <w:rsid w:val="000E3D42"/>
    <w:rsid w:val="000E5884"/>
    <w:rsid w:val="00106BA6"/>
    <w:rsid w:val="001112D8"/>
    <w:rsid w:val="00122BD5"/>
    <w:rsid w:val="001979D9"/>
    <w:rsid w:val="001A5272"/>
    <w:rsid w:val="001D6BCF"/>
    <w:rsid w:val="001E01CA"/>
    <w:rsid w:val="00201829"/>
    <w:rsid w:val="002060D9"/>
    <w:rsid w:val="00226822"/>
    <w:rsid w:val="00260594"/>
    <w:rsid w:val="00285017"/>
    <w:rsid w:val="002A2D2E"/>
    <w:rsid w:val="00317738"/>
    <w:rsid w:val="00337064"/>
    <w:rsid w:val="00343749"/>
    <w:rsid w:val="00357D50"/>
    <w:rsid w:val="003925DC"/>
    <w:rsid w:val="003B0550"/>
    <w:rsid w:val="003B694F"/>
    <w:rsid w:val="003E6669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D48A1"/>
    <w:rsid w:val="00607BA5"/>
    <w:rsid w:val="006266B1"/>
    <w:rsid w:val="00626EB6"/>
    <w:rsid w:val="006353A3"/>
    <w:rsid w:val="00655D03"/>
    <w:rsid w:val="006638DA"/>
    <w:rsid w:val="0067335B"/>
    <w:rsid w:val="006744C8"/>
    <w:rsid w:val="00683F84"/>
    <w:rsid w:val="006970E0"/>
    <w:rsid w:val="006A6A81"/>
    <w:rsid w:val="006B1D53"/>
    <w:rsid w:val="006D522B"/>
    <w:rsid w:val="006E26AF"/>
    <w:rsid w:val="006F7393"/>
    <w:rsid w:val="0070224F"/>
    <w:rsid w:val="007115F7"/>
    <w:rsid w:val="00717C91"/>
    <w:rsid w:val="00785689"/>
    <w:rsid w:val="0079754B"/>
    <w:rsid w:val="007A1E6D"/>
    <w:rsid w:val="007B7559"/>
    <w:rsid w:val="007D1D5B"/>
    <w:rsid w:val="00822CE0"/>
    <w:rsid w:val="00837C62"/>
    <w:rsid w:val="00841AB1"/>
    <w:rsid w:val="0088621D"/>
    <w:rsid w:val="008A0DF5"/>
    <w:rsid w:val="008B16E4"/>
    <w:rsid w:val="008C22FD"/>
    <w:rsid w:val="00910F12"/>
    <w:rsid w:val="00926503"/>
    <w:rsid w:val="00930ECF"/>
    <w:rsid w:val="00932276"/>
    <w:rsid w:val="009652B3"/>
    <w:rsid w:val="00974D3F"/>
    <w:rsid w:val="009838BC"/>
    <w:rsid w:val="00A45F4F"/>
    <w:rsid w:val="00A600A9"/>
    <w:rsid w:val="00A64D7B"/>
    <w:rsid w:val="00A75CE5"/>
    <w:rsid w:val="00A81058"/>
    <w:rsid w:val="00A866AC"/>
    <w:rsid w:val="00AA55B7"/>
    <w:rsid w:val="00AA5B9E"/>
    <w:rsid w:val="00AB1BAB"/>
    <w:rsid w:val="00AB2407"/>
    <w:rsid w:val="00AB53DF"/>
    <w:rsid w:val="00AC16C8"/>
    <w:rsid w:val="00AE1F2A"/>
    <w:rsid w:val="00B07E5C"/>
    <w:rsid w:val="00B20363"/>
    <w:rsid w:val="00B326E3"/>
    <w:rsid w:val="00B811F7"/>
    <w:rsid w:val="00BA5DC6"/>
    <w:rsid w:val="00BA6196"/>
    <w:rsid w:val="00BC5FB1"/>
    <w:rsid w:val="00BC6D8C"/>
    <w:rsid w:val="00C03201"/>
    <w:rsid w:val="00C16AF2"/>
    <w:rsid w:val="00C34006"/>
    <w:rsid w:val="00C426B1"/>
    <w:rsid w:val="00C660D2"/>
    <w:rsid w:val="00C82B6B"/>
    <w:rsid w:val="00C90D6A"/>
    <w:rsid w:val="00CC46DB"/>
    <w:rsid w:val="00CC72B6"/>
    <w:rsid w:val="00D0218D"/>
    <w:rsid w:val="00D216CD"/>
    <w:rsid w:val="00D92167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8671C"/>
    <w:rsid w:val="00EB2B14"/>
    <w:rsid w:val="00EC0185"/>
    <w:rsid w:val="00F021FA"/>
    <w:rsid w:val="00F10B88"/>
    <w:rsid w:val="00F44BE0"/>
    <w:rsid w:val="00F57ACA"/>
    <w:rsid w:val="00F62E97"/>
    <w:rsid w:val="00F64209"/>
    <w:rsid w:val="00F93BF5"/>
    <w:rsid w:val="00F96F63"/>
    <w:rsid w:val="00FC562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66A007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5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59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