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6C27C759">
            <w:pPr>
              <w:tabs>
                <w:tab w:val="center" w:pos="4680"/>
              </w:tabs>
              <w:suppressAutoHyphens/>
              <w:rPr>
                <w:spacing w:val="-2"/>
              </w:rPr>
            </w:pPr>
            <w:r>
              <w:rPr>
                <w:spacing w:val="-2"/>
              </w:rPr>
              <w:t>Radio Bonners Ferry, Inc.</w:t>
            </w:r>
          </w:p>
          <w:p w:rsidR="00AD2A9B" w:rsidP="007115F7" w14:paraId="0FF0DD5B" w14:textId="56A8D55B">
            <w:pPr>
              <w:tabs>
                <w:tab w:val="center" w:pos="4680"/>
              </w:tabs>
              <w:suppressAutoHyphens/>
              <w:rPr>
                <w:spacing w:val="-2"/>
              </w:rPr>
            </w:pPr>
            <w:r>
              <w:rPr>
                <w:spacing w:val="-2"/>
              </w:rPr>
              <w:t xml:space="preserve">Licensee of Station </w:t>
            </w:r>
            <w:r w:rsidR="00594871">
              <w:rPr>
                <w:spacing w:val="-2"/>
              </w:rPr>
              <w:t>KBFI</w:t>
            </w:r>
          </w:p>
          <w:p w:rsidR="00AD2A9B" w:rsidP="007115F7" w14:paraId="198BBC1D" w14:textId="77777777">
            <w:pPr>
              <w:tabs>
                <w:tab w:val="center" w:pos="4680"/>
              </w:tabs>
              <w:suppressAutoHyphens/>
              <w:rPr>
                <w:spacing w:val="-2"/>
              </w:rPr>
            </w:pPr>
          </w:p>
          <w:p w:rsidR="00AD2A9B" w:rsidRPr="00AD2A9B" w:rsidP="007115F7" w14:paraId="07E9B480" w14:textId="1CA7CAE5">
            <w:pPr>
              <w:tabs>
                <w:tab w:val="center" w:pos="4680"/>
              </w:tabs>
              <w:suppressAutoHyphens/>
              <w:rPr>
                <w:spacing w:val="-2"/>
              </w:rPr>
            </w:pPr>
            <w:r>
              <w:rPr>
                <w:spacing w:val="-2"/>
              </w:rPr>
              <w:t>Bonners Ferry, Idaho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rsidRPr="00594871" w14:paraId="2D444FF5" w14:textId="6551951B">
            <w:pPr>
              <w:tabs>
                <w:tab w:val="center" w:pos="4680"/>
              </w:tabs>
              <w:suppressAutoHyphens/>
              <w:rPr>
                <w:b/>
                <w:spacing w:val="-2"/>
              </w:rPr>
            </w:pP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5BC76F1C">
            <w:pPr>
              <w:tabs>
                <w:tab w:val="center" w:pos="4680"/>
              </w:tabs>
              <w:suppressAutoHyphens/>
              <w:rPr>
                <w:spacing w:val="-2"/>
              </w:rPr>
            </w:pPr>
            <w:r>
              <w:rPr>
                <w:spacing w:val="-2"/>
              </w:rPr>
              <w:t xml:space="preserve">File No.: </w:t>
            </w:r>
            <w:r w:rsidR="00594871">
              <w:rPr>
                <w:spacing w:val="-2"/>
              </w:rPr>
              <w:t>EB-FIELDWR-22-00033488</w:t>
            </w:r>
          </w:p>
          <w:p w:rsidR="00AD2A9B" w14:paraId="610C3450" w14:textId="516BECEC">
            <w:pPr>
              <w:tabs>
                <w:tab w:val="center" w:pos="4680"/>
              </w:tabs>
              <w:suppressAutoHyphens/>
              <w:rPr>
                <w:spacing w:val="-2"/>
              </w:rPr>
            </w:pPr>
            <w:r>
              <w:rPr>
                <w:spacing w:val="-2"/>
              </w:rPr>
              <w:t xml:space="preserve">Facility ID: </w:t>
            </w:r>
            <w:r w:rsidR="00594871">
              <w:rPr>
                <w:spacing w:val="-2"/>
              </w:rPr>
              <w:t>54500</w:t>
            </w:r>
          </w:p>
          <w:p w:rsidR="00D55FBC" w:rsidRPr="00D55FBC" w14:paraId="69D84720" w14:textId="15E93ED1">
            <w:pPr>
              <w:tabs>
                <w:tab w:val="center" w:pos="4680"/>
              </w:tabs>
              <w:suppressAutoHyphens/>
              <w:rPr>
                <w:spacing w:val="-2"/>
              </w:rPr>
            </w:pPr>
            <w:r>
              <w:rPr>
                <w:spacing w:val="-2"/>
              </w:rPr>
              <w:t xml:space="preserve">FRN: </w:t>
            </w:r>
            <w:r w:rsidR="00594871">
              <w:rPr>
                <w:spacing w:val="-2"/>
              </w:rPr>
              <w:t>0009052788</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00423EDA" w14:paraId="77DE93A9" w14:textId="69849F0E">
      <w:pPr>
        <w:tabs>
          <w:tab w:val="left" w:pos="720"/>
          <w:tab w:val="right" w:pos="9360"/>
        </w:tabs>
        <w:suppressAutoHyphens/>
        <w:spacing w:line="227" w:lineRule="auto"/>
        <w:jc w:val="right"/>
        <w:rPr>
          <w:b/>
          <w:bCs/>
          <w:spacing w:val="-2"/>
        </w:rPr>
      </w:pPr>
      <w:r w:rsidRPr="16A90138">
        <w:rPr>
          <w:b/>
          <w:bCs/>
          <w:spacing w:val="-2"/>
        </w:rPr>
        <w:t>R</w:t>
      </w:r>
      <w:r w:rsidRPr="16A90138" w:rsidR="00822CE0">
        <w:rPr>
          <w:b/>
          <w:bCs/>
          <w:spacing w:val="-2"/>
        </w:rPr>
        <w:t>eleased</w:t>
      </w:r>
      <w:r w:rsidRPr="16A90138">
        <w:rPr>
          <w:b/>
          <w:bCs/>
          <w:spacing w:val="-2"/>
        </w:rPr>
        <w:t>:</w:t>
      </w:r>
      <w:r w:rsidR="00423EDA">
        <w:rPr>
          <w:b/>
          <w:bCs/>
          <w:spacing w:val="-2"/>
        </w:rPr>
        <w:t xml:space="preserve">  June 2, 2022</w:t>
      </w:r>
    </w:p>
    <w:p w:rsidR="00822CE0" w14:paraId="30D3BF8B" w14:textId="77777777"/>
    <w:p w:rsidR="004C2EE3" w14:paraId="466808CB" w14:textId="092FB2CF">
      <w:r>
        <w:t xml:space="preserve">By </w:t>
      </w:r>
      <w:r w:rsidR="004E4A22">
        <w:t>the</w:t>
      </w:r>
      <w:r w:rsidR="002A2D2E">
        <w:t xml:space="preserve"> </w:t>
      </w:r>
      <w:r w:rsidR="00AD2A9B">
        <w:rPr>
          <w:spacing w:val="-2"/>
        </w:rPr>
        <w:t>Regional Director, Region</w:t>
      </w:r>
      <w:r w:rsidR="051C427A">
        <w:rPr>
          <w:spacing w:val="-2"/>
        </w:rPr>
        <w:t xml:space="preserve"> </w:t>
      </w:r>
      <w:r w:rsidR="00594871">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6EB907B2">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795C31">
        <w:t xml:space="preserve">Radio </w:t>
      </w:r>
      <w:r w:rsidR="00594871">
        <w:t>Bonners Ferry, Inc.</w:t>
      </w:r>
      <w:r w:rsidRPr="00AD2A9B">
        <w:t xml:space="preserve">, licensee of radio station </w:t>
      </w:r>
      <w:r w:rsidR="00594871">
        <w:t>KBFI</w:t>
      </w:r>
      <w:r w:rsidR="00516806">
        <w:t xml:space="preserve"> in Bonners Ferry, Idaho</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1BF44888">
      <w:pPr>
        <w:pStyle w:val="ParaNum"/>
      </w:pPr>
      <w:r w:rsidRPr="008F05EC">
        <w:t xml:space="preserve">On </w:t>
      </w:r>
      <w:r w:rsidR="00594871">
        <w:t xml:space="preserve">April </w:t>
      </w:r>
      <w:r w:rsidR="009877C1">
        <w:t>26</w:t>
      </w:r>
      <w:r w:rsidR="00594871">
        <w:t>, 2022</w:t>
      </w:r>
      <w:r w:rsidRPr="008F05EC">
        <w:t xml:space="preserve">, an agent of the Enforcement Bureau’s </w:t>
      </w:r>
      <w:r w:rsidR="00594871">
        <w:t xml:space="preserve">Portland </w:t>
      </w:r>
      <w:r w:rsidRPr="008F05EC">
        <w:t xml:space="preserve">Office </w:t>
      </w:r>
      <w:r w:rsidR="00C93AEE">
        <w:t xml:space="preserve">reviewed KBFI’s </w:t>
      </w:r>
      <w:r w:rsidR="009877C1">
        <w:t xml:space="preserve">station </w:t>
      </w:r>
      <w:r w:rsidR="00C93AEE">
        <w:t xml:space="preserve">logs </w:t>
      </w:r>
      <w:r w:rsidR="00374195">
        <w:t xml:space="preserve">submitted for the period </w:t>
      </w:r>
      <w:r w:rsidR="00271FBF">
        <w:t>of</w:t>
      </w:r>
      <w:r w:rsidR="00C93AEE">
        <w:t xml:space="preserve"> January 1, 2022 to March 31, 2022, </w:t>
      </w:r>
      <w:r w:rsidRPr="008F05EC">
        <w:t>and observed the following violation:</w:t>
      </w:r>
    </w:p>
    <w:p w:rsidR="008F05EC" w:rsidRPr="008F05EC" w:rsidP="009877C1" w14:paraId="51D9F7F8" w14:textId="3EB2C9D0">
      <w:pPr>
        <w:numPr>
          <w:ilvl w:val="0"/>
          <w:numId w:val="7"/>
        </w:numPr>
        <w:spacing w:after="120"/>
      </w:pPr>
      <w:r>
        <w:t xml:space="preserve">47 CFR § </w:t>
      </w:r>
      <w:r w:rsidR="00C93AEE">
        <w:t>73.1800(d)</w:t>
      </w:r>
      <w:r>
        <w:t>: “</w:t>
      </w:r>
      <w:r w:rsidRPr="00C93AEE" w:rsidR="00C93AEE">
        <w:t>When automatic logging processes fail or malfunction, the log must be kept manually for that period and in accordance with the requirements of this section</w:t>
      </w:r>
      <w:r>
        <w:t xml:space="preserve">.” </w:t>
      </w:r>
      <w:r w:rsidR="00C93AEE">
        <w:t xml:space="preserve"> </w:t>
      </w:r>
      <w:r w:rsidR="00E07BF0">
        <w:t xml:space="preserve">The </w:t>
      </w:r>
      <w:r w:rsidR="00374195">
        <w:t xml:space="preserve">station </w:t>
      </w:r>
      <w:r w:rsidR="009877C1">
        <w:t xml:space="preserve">log </w:t>
      </w:r>
      <w:r w:rsidR="00E07BF0">
        <w:t xml:space="preserve">was missing </w:t>
      </w:r>
      <w:r w:rsidR="00C93AEE">
        <w:t xml:space="preserve">entries from January 1, 2022 through January 9, 2022; </w:t>
      </w:r>
      <w:r w:rsidR="00374195">
        <w:t xml:space="preserve">and </w:t>
      </w:r>
      <w:r w:rsidR="00E07BF0">
        <w:t xml:space="preserve">from </w:t>
      </w:r>
      <w:r w:rsidR="00C93AEE">
        <w:t>February 2, 4</w:t>
      </w:r>
      <w:r w:rsidR="00E07BF0">
        <w:t>-</w:t>
      </w:r>
      <w:r w:rsidR="00C93AEE">
        <w:t xml:space="preserve">5, 7, 19, </w:t>
      </w:r>
      <w:r w:rsidR="00E07BF0">
        <w:t xml:space="preserve">and </w:t>
      </w:r>
      <w:r w:rsidR="00C93AEE">
        <w:t>21</w:t>
      </w:r>
      <w:r w:rsidR="00E07BF0">
        <w:t>-23</w:t>
      </w:r>
      <w:r w:rsidR="00C93AEE">
        <w:t>, 2022.</w:t>
      </w:r>
      <w:r w:rsidR="009877C1">
        <w:t xml:space="preserve">  KBFI failed to maintain manual logs during the time periods stated above, when KBFI’s automatic logging processes failed due to the disruption</w:t>
      </w:r>
      <w:r w:rsidR="00374195">
        <w:t>s</w:t>
      </w:r>
      <w:r w:rsidR="009877C1">
        <w:t xml:space="preserve"> of the Internet service.</w:t>
      </w:r>
    </w:p>
    <w:p w:rsidR="008F05EC" w:rsidP="008F05EC" w14:paraId="32E2E4CC" w14:textId="79F95416">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271FBF">
        <w:t xml:space="preserve">Radio </w:t>
      </w:r>
      <w:r w:rsidR="00374195">
        <w:t>Bonners Ferry, Inc.</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w:t>
      </w:r>
      <w:r w:rsidR="00374195">
        <w:t xml:space="preserve"> </w:t>
      </w:r>
      <w:r w:rsidRPr="008F05EC">
        <w:t>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42EAE2B3">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ules, we direct</w:t>
      </w:r>
      <w:r w:rsidR="00271FBF">
        <w:t xml:space="preserve"> Radio</w:t>
      </w:r>
      <w:r w:rsidRPr="00D55FBC">
        <w:t xml:space="preserve"> </w:t>
      </w:r>
      <w:r w:rsidR="00374195">
        <w:t xml:space="preserve">Bonners Ferry, Inc. </w:t>
      </w:r>
      <w:r w:rsidRPr="00D55FBC">
        <w:t xml:space="preserve">to support its response to this Notice with an affidavit or declaration under penalty of perjury, </w:t>
      </w:r>
      <w:r w:rsidRPr="00D55FBC">
        <w:t xml:space="preserve">signed and dated by an authorized officer of </w:t>
      </w:r>
      <w:r w:rsidR="00271FBF">
        <w:t xml:space="preserve">Radio </w:t>
      </w:r>
      <w:r w:rsidR="00374195">
        <w:t>Bonners Ferry, Inc.</w:t>
      </w:r>
      <w:r w:rsidRPr="00D55FBC">
        <w:t xml:space="preserve"> with personal knowledge of the representations provided in </w:t>
      </w:r>
      <w:r w:rsidR="00271FBF">
        <w:t xml:space="preserve">Radio </w:t>
      </w:r>
      <w:r w:rsidR="00374195">
        <w:t>Bonners Ferry, Inc.</w:t>
      </w:r>
      <w:r w:rsidRPr="00D55FBC">
        <w:t xml:space="preserve">’s response, verifying the truth and accuracy of the information therein, and confirming that all of the information requested by this Notice which is in the </w:t>
      </w:r>
      <w:r w:rsidR="00271FBF">
        <w:t xml:space="preserve">Radio </w:t>
      </w:r>
      <w:r w:rsidR="00374195">
        <w:t>Bonners Ferry, Inc.’s</w:t>
      </w:r>
      <w:r w:rsidRPr="00D55FBC">
        <w:t xml:space="preserve">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5F341F6B">
      <w:pPr>
        <w:ind w:left="2160"/>
      </w:pPr>
      <w:r>
        <w:t>Los Angeles</w:t>
      </w:r>
      <w:r w:rsidR="00374195">
        <w:t xml:space="preserve"> </w:t>
      </w:r>
      <w:r>
        <w:t>Regional Office</w:t>
      </w:r>
    </w:p>
    <w:p w:rsidR="00D55FBC" w:rsidP="00D55FBC" w14:paraId="5C405781" w14:textId="24BE6FF3">
      <w:pPr>
        <w:ind w:left="2160"/>
      </w:pPr>
      <w:r>
        <w:t>11331 183</w:t>
      </w:r>
      <w:r w:rsidRPr="00374195">
        <w:rPr>
          <w:vertAlign w:val="superscript"/>
        </w:rPr>
        <w:t>rd</w:t>
      </w:r>
      <w:r>
        <w:t xml:space="preserve"> Street, PMB#365</w:t>
      </w:r>
    </w:p>
    <w:p w:rsidR="00D55FBC" w:rsidRPr="00D55FBC" w:rsidP="00D55FBC" w14:paraId="6F6D52AF" w14:textId="29D2FC2C">
      <w:pPr>
        <w:spacing w:after="120"/>
        <w:ind w:left="2160"/>
      </w:pPr>
      <w:r>
        <w:t>Cerritos, CA 90703</w:t>
      </w:r>
    </w:p>
    <w:p w:rsidR="00D55FBC" w:rsidP="00D55FBC" w14:paraId="532EE6AF" w14:textId="5DDEAE69">
      <w:pPr>
        <w:pStyle w:val="ParaNum"/>
      </w:pPr>
      <w:r w:rsidRPr="00D55FBC">
        <w:t xml:space="preserve">This Notice shall be sent to </w:t>
      </w:r>
      <w:r w:rsidR="005856F4">
        <w:t xml:space="preserve">Radio </w:t>
      </w:r>
      <w:r w:rsidR="00374195">
        <w:t xml:space="preserve">Bonners Ferry, Inc. </w:t>
      </w:r>
      <w:r>
        <w:t xml:space="preserve">at </w:t>
      </w:r>
      <w:r w:rsidR="00374195">
        <w:t xml:space="preserve">its </w:t>
      </w:r>
      <w:r w:rsidRPr="00D55FBC">
        <w:t>address of record</w:t>
      </w:r>
      <w:r w:rsidR="00374195">
        <w:t>.</w:t>
      </w:r>
    </w:p>
    <w:p w:rsidR="00D55FBC" w:rsidP="00ED4640" w14:paraId="23DFCC19" w14:textId="79B63C6C">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w:t>
      </w:r>
      <w:r w:rsidR="00FC4D38">
        <w:br/>
      </w:r>
      <w:r w:rsidR="00FC4D38">
        <w:br/>
      </w:r>
      <w:r w:rsidR="00FC4D38">
        <w:br/>
      </w:r>
      <w:r w:rsidR="00FC4D38">
        <w:br/>
      </w:r>
      <w:r w:rsidRPr="00D55FBC">
        <w:t xml:space="preserve">  </w:t>
      </w:r>
    </w:p>
    <w:p w:rsidR="00D55FBC" w:rsidP="00ED4640" w14:paraId="167DDF59" w14:textId="20E6B3E0">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4EC79F96">
      <w:pPr>
        <w:keepNext/>
      </w:pPr>
      <w:r>
        <w:tab/>
      </w:r>
      <w:r>
        <w:tab/>
      </w:r>
      <w:r>
        <w:tab/>
      </w:r>
      <w:r>
        <w:tab/>
      </w:r>
      <w:r>
        <w:tab/>
      </w:r>
      <w:r>
        <w:tab/>
      </w:r>
      <w:r w:rsidR="00374195">
        <w:t>Lark Hadley</w:t>
      </w:r>
    </w:p>
    <w:p w:rsidR="00D55FBC" w:rsidP="00ED4640" w14:paraId="7DFB10BF" w14:textId="0937DC1B">
      <w:pPr>
        <w:keepNext/>
      </w:pPr>
      <w:r>
        <w:tab/>
      </w:r>
      <w:r>
        <w:tab/>
      </w:r>
      <w:r>
        <w:tab/>
      </w:r>
      <w:r>
        <w:tab/>
      </w:r>
      <w:r>
        <w:tab/>
      </w:r>
      <w:r>
        <w:tab/>
        <w:t xml:space="preserve">Regional Director, Region </w:t>
      </w:r>
      <w:r w:rsidR="00374195">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799B" w14:paraId="7541CD9F" w14:textId="77777777">
      <w:r>
        <w:separator/>
      </w:r>
    </w:p>
  </w:footnote>
  <w:footnote w:type="continuationSeparator" w:id="1">
    <w:p w:rsidR="0031799B" w:rsidP="00C721AC" w14:paraId="07BC27E9" w14:textId="77777777">
      <w:pPr>
        <w:spacing w:before="120"/>
        <w:rPr>
          <w:sz w:val="20"/>
        </w:rPr>
      </w:pPr>
      <w:r>
        <w:rPr>
          <w:sz w:val="20"/>
        </w:rPr>
        <w:t xml:space="preserve">(Continued from previous page)  </w:t>
      </w:r>
      <w:r>
        <w:rPr>
          <w:sz w:val="20"/>
        </w:rPr>
        <w:separator/>
      </w:r>
    </w:p>
  </w:footnote>
  <w:footnote w:type="continuationNotice" w:id="2">
    <w:p w:rsidR="0031799B" w:rsidP="00C721AC" w14:paraId="229F2D31"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6C9484C2">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0627"/>
    <w:rsid w:val="00036039"/>
    <w:rsid w:val="00037F90"/>
    <w:rsid w:val="00051DB5"/>
    <w:rsid w:val="000875BF"/>
    <w:rsid w:val="00096D8C"/>
    <w:rsid w:val="000C0B65"/>
    <w:rsid w:val="000E05FE"/>
    <w:rsid w:val="000E3D42"/>
    <w:rsid w:val="00122BD5"/>
    <w:rsid w:val="00133F79"/>
    <w:rsid w:val="001842A9"/>
    <w:rsid w:val="00194A66"/>
    <w:rsid w:val="001D6BCF"/>
    <w:rsid w:val="001E01CA"/>
    <w:rsid w:val="002110EA"/>
    <w:rsid w:val="00271FBF"/>
    <w:rsid w:val="00275CF5"/>
    <w:rsid w:val="0028301F"/>
    <w:rsid w:val="00285017"/>
    <w:rsid w:val="002A2D2E"/>
    <w:rsid w:val="002C00E8"/>
    <w:rsid w:val="0031799B"/>
    <w:rsid w:val="00343749"/>
    <w:rsid w:val="003660ED"/>
    <w:rsid w:val="00374195"/>
    <w:rsid w:val="003B0550"/>
    <w:rsid w:val="003B694F"/>
    <w:rsid w:val="003F171C"/>
    <w:rsid w:val="00412FC5"/>
    <w:rsid w:val="00422276"/>
    <w:rsid w:val="00423EDA"/>
    <w:rsid w:val="004242F1"/>
    <w:rsid w:val="00435477"/>
    <w:rsid w:val="00445A00"/>
    <w:rsid w:val="00451B0F"/>
    <w:rsid w:val="004C2EE3"/>
    <w:rsid w:val="004E1FCF"/>
    <w:rsid w:val="004E4A22"/>
    <w:rsid w:val="00511968"/>
    <w:rsid w:val="00516806"/>
    <w:rsid w:val="0055614C"/>
    <w:rsid w:val="00580CAB"/>
    <w:rsid w:val="005856F4"/>
    <w:rsid w:val="00594871"/>
    <w:rsid w:val="005E14C2"/>
    <w:rsid w:val="00607BA5"/>
    <w:rsid w:val="0061180A"/>
    <w:rsid w:val="00626EB6"/>
    <w:rsid w:val="00655D03"/>
    <w:rsid w:val="00683388"/>
    <w:rsid w:val="00683F84"/>
    <w:rsid w:val="006A6A81"/>
    <w:rsid w:val="006F7393"/>
    <w:rsid w:val="0070224F"/>
    <w:rsid w:val="007115F7"/>
    <w:rsid w:val="00785689"/>
    <w:rsid w:val="00795C31"/>
    <w:rsid w:val="0079754B"/>
    <w:rsid w:val="007A1E6D"/>
    <w:rsid w:val="007B0EB2"/>
    <w:rsid w:val="007E1F21"/>
    <w:rsid w:val="00810B6F"/>
    <w:rsid w:val="00813A39"/>
    <w:rsid w:val="00822C51"/>
    <w:rsid w:val="00822CE0"/>
    <w:rsid w:val="00841AB1"/>
    <w:rsid w:val="008C68F1"/>
    <w:rsid w:val="008F05EC"/>
    <w:rsid w:val="00921803"/>
    <w:rsid w:val="00926503"/>
    <w:rsid w:val="009726D8"/>
    <w:rsid w:val="009877C1"/>
    <w:rsid w:val="009A0131"/>
    <w:rsid w:val="009E31AD"/>
    <w:rsid w:val="009F76DB"/>
    <w:rsid w:val="00A32C3B"/>
    <w:rsid w:val="00A45F4F"/>
    <w:rsid w:val="00A600A9"/>
    <w:rsid w:val="00AA55B7"/>
    <w:rsid w:val="00AA5B9E"/>
    <w:rsid w:val="00AB2407"/>
    <w:rsid w:val="00AB53DF"/>
    <w:rsid w:val="00AD2A9B"/>
    <w:rsid w:val="00AD53CD"/>
    <w:rsid w:val="00AD6DFD"/>
    <w:rsid w:val="00B07E5C"/>
    <w:rsid w:val="00B811F7"/>
    <w:rsid w:val="00BA5DC6"/>
    <w:rsid w:val="00BA6196"/>
    <w:rsid w:val="00BC6D8C"/>
    <w:rsid w:val="00C34006"/>
    <w:rsid w:val="00C426B1"/>
    <w:rsid w:val="00C66160"/>
    <w:rsid w:val="00C721AC"/>
    <w:rsid w:val="00C83F21"/>
    <w:rsid w:val="00C90D6A"/>
    <w:rsid w:val="00C93AEE"/>
    <w:rsid w:val="00CA247E"/>
    <w:rsid w:val="00CC72B6"/>
    <w:rsid w:val="00D0218D"/>
    <w:rsid w:val="00D25E0E"/>
    <w:rsid w:val="00D25FB5"/>
    <w:rsid w:val="00D44223"/>
    <w:rsid w:val="00D55FBC"/>
    <w:rsid w:val="00DA2529"/>
    <w:rsid w:val="00DB130A"/>
    <w:rsid w:val="00DB2EBB"/>
    <w:rsid w:val="00DC10A1"/>
    <w:rsid w:val="00DC655F"/>
    <w:rsid w:val="00DD0B59"/>
    <w:rsid w:val="00DD7EBD"/>
    <w:rsid w:val="00DF62B6"/>
    <w:rsid w:val="00DF680E"/>
    <w:rsid w:val="00E02168"/>
    <w:rsid w:val="00E07225"/>
    <w:rsid w:val="00E07BF0"/>
    <w:rsid w:val="00E5409F"/>
    <w:rsid w:val="00ED4640"/>
    <w:rsid w:val="00EE6488"/>
    <w:rsid w:val="00EF370C"/>
    <w:rsid w:val="00F021FA"/>
    <w:rsid w:val="00F62E97"/>
    <w:rsid w:val="00F64209"/>
    <w:rsid w:val="00F93BF5"/>
    <w:rsid w:val="00FC4D38"/>
    <w:rsid w:val="051C427A"/>
    <w:rsid w:val="16A90138"/>
    <w:rsid w:val="21CC4C4F"/>
    <w:rsid w:val="251355BB"/>
    <w:rsid w:val="25356459"/>
    <w:rsid w:val="641A61E9"/>
    <w:rsid w:val="669B1B3F"/>
    <w:rsid w:val="70EF530B"/>
    <w:rsid w:val="74487A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C83F2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