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B3DE5" w:rsidP="008B3DE5" w14:paraId="2894C86F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8B3DE5" w:rsidP="008B3DE5" w14:paraId="6EDA1B2B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8B3DE5" w:rsidP="008B3DE5" w14:paraId="40514073" w14:textId="77777777">
      <w:pPr>
        <w:pStyle w:val="StyleBoldCentered"/>
      </w:pPr>
      <w:r>
        <w:rPr>
          <w:caps w:val="0"/>
        </w:rPr>
        <w:t>Washington, D.C. 20554</w:t>
      </w:r>
    </w:p>
    <w:p w:rsidR="008B3DE5" w:rsidP="008B3DE5" w14:paraId="08225120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3E8B1597" w14:textId="77777777" w:rsidTr="009662EA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231DE2" w:rsidRPr="003845EB" w:rsidP="00231DE2" w14:paraId="4CB3637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845EB">
              <w:rPr>
                <w:spacing w:val="-2"/>
              </w:rPr>
              <w:t>In the Matter of</w:t>
            </w:r>
          </w:p>
          <w:p w:rsidR="00231DE2" w:rsidRPr="003845EB" w:rsidP="00231DE2" w14:paraId="18FC732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31DE2" w:rsidRPr="003845EB" w:rsidP="00231DE2" w14:paraId="27DA503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845EB">
              <w:rPr>
                <w:color w:val="000000"/>
                <w:kern w:val="1"/>
              </w:rPr>
              <w:t>Advanced Methods to Target and Eliminate Unlawful Robocalls</w:t>
            </w:r>
          </w:p>
          <w:p w:rsidR="00231DE2" w:rsidRPr="003845EB" w:rsidP="00231DE2" w14:paraId="7D4559C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31DE2" w:rsidRPr="007115F7" w:rsidP="00231DE2" w14:paraId="737191E4" w14:textId="689104E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845EB">
              <w:rPr>
                <w:spacing w:val="-2"/>
              </w:rPr>
              <w:t>Call Authentication Trust Anchor</w:t>
            </w:r>
          </w:p>
        </w:tc>
        <w:tc>
          <w:tcPr>
            <w:tcW w:w="630" w:type="dxa"/>
          </w:tcPr>
          <w:p w:rsidR="00231DE2" w:rsidRPr="003845EB" w:rsidP="00231DE2" w14:paraId="4BDA1E7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3845EB">
              <w:rPr>
                <w:b/>
                <w:spacing w:val="-2"/>
              </w:rPr>
              <w:t>)</w:t>
            </w:r>
          </w:p>
          <w:p w:rsidR="00231DE2" w:rsidRPr="003845EB" w:rsidP="00231DE2" w14:paraId="09CFB0A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3845EB">
              <w:rPr>
                <w:b/>
                <w:spacing w:val="-2"/>
              </w:rPr>
              <w:t>)</w:t>
            </w:r>
          </w:p>
          <w:p w:rsidR="00231DE2" w:rsidRPr="003845EB" w:rsidP="00231DE2" w14:paraId="7FB8759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3845EB">
              <w:rPr>
                <w:b/>
                <w:spacing w:val="-2"/>
              </w:rPr>
              <w:t>)</w:t>
            </w:r>
          </w:p>
          <w:p w:rsidR="00231DE2" w:rsidRPr="003845EB" w:rsidP="00231DE2" w14:paraId="628519C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3845EB">
              <w:rPr>
                <w:b/>
                <w:spacing w:val="-2"/>
              </w:rPr>
              <w:t>)</w:t>
            </w:r>
          </w:p>
          <w:p w:rsidR="00231DE2" w:rsidRPr="003845EB" w:rsidP="00231DE2" w14:paraId="273A7FA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3845EB">
              <w:rPr>
                <w:b/>
                <w:spacing w:val="-2"/>
              </w:rPr>
              <w:t>)</w:t>
            </w:r>
          </w:p>
          <w:p w:rsidR="00231DE2" w:rsidRPr="003845EB" w:rsidP="00231DE2" w14:paraId="0A3FB80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3845EB">
              <w:rPr>
                <w:b/>
                <w:spacing w:val="-2"/>
              </w:rPr>
              <w:t>)</w:t>
            </w:r>
          </w:p>
          <w:p w:rsidR="00231DE2" w:rsidRPr="00DB3FDA" w:rsidP="00231DE2" w14:paraId="340AF0CB" w14:textId="1E76BA6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231DE2" w:rsidRPr="003845EB" w:rsidP="00231DE2" w14:paraId="05B1C00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31DE2" w:rsidRPr="003845EB" w:rsidP="00231DE2" w14:paraId="0F2160F5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231DE2" w:rsidRPr="003845EB" w:rsidP="00231DE2" w14:paraId="0E914D4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845EB">
              <w:rPr>
                <w:spacing w:val="-2"/>
              </w:rPr>
              <w:t>CG Docket No. 17-59</w:t>
            </w:r>
          </w:p>
          <w:p w:rsidR="00231DE2" w:rsidRPr="003845EB" w:rsidP="00231DE2" w14:paraId="774D7D91" w14:textId="77777777">
            <w:pPr>
              <w:pStyle w:val="TOAHeading"/>
              <w:tabs>
                <w:tab w:val="left" w:pos="2671"/>
                <w:tab w:val="clear" w:pos="9360"/>
              </w:tabs>
              <w:rPr>
                <w:spacing w:val="-2"/>
              </w:rPr>
            </w:pPr>
            <w:r>
              <w:rPr>
                <w:spacing w:val="-2"/>
              </w:rPr>
              <w:tab/>
            </w:r>
          </w:p>
          <w:p w:rsidR="00231DE2" w:rsidRPr="003845EB" w:rsidP="00231DE2" w14:paraId="72D72466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231DE2" w:rsidRPr="003845EB" w:rsidP="00231DE2" w14:paraId="429C5FA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845EB">
              <w:rPr>
                <w:spacing w:val="-2"/>
              </w:rPr>
              <w:t>WC Docket No. 17-97</w:t>
            </w:r>
          </w:p>
          <w:p w:rsidR="00231DE2" w:rsidRPr="00B720B4" w:rsidP="00231DE2" w14:paraId="050C28EF" w14:textId="4984C621"/>
        </w:tc>
      </w:tr>
    </w:tbl>
    <w:p w:rsidR="008B3DE5" w:rsidP="008B3DE5" w14:paraId="78C8279B" w14:textId="77777777"/>
    <w:p w:rsidR="008B3DE5" w:rsidP="008B3DE5" w14:paraId="31A458C6" w14:textId="77777777">
      <w:pPr>
        <w:pStyle w:val="StyleBoldCentered"/>
      </w:pPr>
      <w:r>
        <w:t>Erratum</w:t>
      </w:r>
    </w:p>
    <w:p w:rsidR="008B3DE5" w:rsidP="008B3DE5" w14:paraId="08EE7A53" w14:textId="77777777">
      <w:pPr>
        <w:pStyle w:val="StyleBoldCentered"/>
      </w:pPr>
    </w:p>
    <w:p w:rsidR="008B3DE5" w:rsidP="008B3DE5" w14:paraId="3FD78630" w14:textId="5BA3575B">
      <w:pPr>
        <w:jc w:val="right"/>
        <w:rPr>
          <w:spacing w:val="-2"/>
        </w:rPr>
      </w:pPr>
      <w:r>
        <w:rPr>
          <w:b/>
          <w:spacing w:val="-2"/>
        </w:rPr>
        <w:t xml:space="preserve">Released:  </w:t>
      </w:r>
      <w:r w:rsidR="00446CAA">
        <w:rPr>
          <w:b/>
          <w:spacing w:val="-2"/>
        </w:rPr>
        <w:t xml:space="preserve">June </w:t>
      </w:r>
      <w:r w:rsidR="009A4BE0">
        <w:rPr>
          <w:b/>
          <w:spacing w:val="-2"/>
        </w:rPr>
        <w:t>7</w:t>
      </w:r>
      <w:r w:rsidR="00446CAA">
        <w:rPr>
          <w:b/>
          <w:spacing w:val="-2"/>
        </w:rPr>
        <w:t>, 2022</w:t>
      </w:r>
    </w:p>
    <w:p w:rsidR="008B3DE5" w:rsidP="008B3DE5" w14:paraId="4A43B694" w14:textId="77777777"/>
    <w:p w:rsidR="008B3DE5" w:rsidP="008B3DE5" w14:paraId="22C02F1F" w14:textId="442C838D">
      <w:pPr>
        <w:rPr>
          <w:spacing w:val="-2"/>
        </w:rPr>
      </w:pPr>
      <w:r>
        <w:t xml:space="preserve">By the </w:t>
      </w:r>
      <w:r w:rsidR="0035495C">
        <w:rPr>
          <w:spacing w:val="-2"/>
        </w:rPr>
        <w:t>Chief</w:t>
      </w:r>
      <w:r>
        <w:rPr>
          <w:spacing w:val="-2"/>
        </w:rPr>
        <w:t>, Wireline Competition Bureau:</w:t>
      </w:r>
    </w:p>
    <w:p w:rsidR="008B3DE5" w:rsidP="008B3DE5" w14:paraId="41DC8C8E" w14:textId="77777777">
      <w:pPr>
        <w:rPr>
          <w:spacing w:val="-2"/>
        </w:rPr>
      </w:pPr>
    </w:p>
    <w:p w:rsidR="008B3DE5" w:rsidRPr="00CB31FB" w:rsidP="008B3DE5" w14:paraId="45090AB0" w14:textId="74D1ECD9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 w:rsidRPr="006252E6">
        <w:rPr>
          <w:rFonts w:eastAsia="Calibri"/>
          <w:snapToGrid/>
          <w:kern w:val="0"/>
          <w:szCs w:val="22"/>
        </w:rPr>
        <w:t xml:space="preserve">On </w:t>
      </w:r>
      <w:r w:rsidR="00902CEB">
        <w:rPr>
          <w:rFonts w:eastAsia="Calibri"/>
          <w:snapToGrid/>
          <w:kern w:val="0"/>
          <w:szCs w:val="22"/>
        </w:rPr>
        <w:t xml:space="preserve">May </w:t>
      </w:r>
      <w:r w:rsidR="00285A65">
        <w:rPr>
          <w:rFonts w:eastAsia="Calibri"/>
          <w:snapToGrid/>
          <w:kern w:val="0"/>
          <w:szCs w:val="22"/>
        </w:rPr>
        <w:t>20</w:t>
      </w:r>
      <w:r w:rsidRPr="006252E6">
        <w:rPr>
          <w:rFonts w:eastAsia="Calibri"/>
          <w:snapToGrid/>
          <w:kern w:val="0"/>
          <w:szCs w:val="22"/>
        </w:rPr>
        <w:t>, 202</w:t>
      </w:r>
      <w:r w:rsidR="002F4CEA">
        <w:rPr>
          <w:rFonts w:eastAsia="Calibri"/>
          <w:snapToGrid/>
          <w:kern w:val="0"/>
          <w:szCs w:val="22"/>
        </w:rPr>
        <w:t>2</w:t>
      </w:r>
      <w:r w:rsidRPr="006252E6">
        <w:rPr>
          <w:rFonts w:eastAsia="Calibri"/>
          <w:snapToGrid/>
          <w:kern w:val="0"/>
          <w:szCs w:val="22"/>
        </w:rPr>
        <w:t xml:space="preserve">, the </w:t>
      </w:r>
      <w:r>
        <w:rPr>
          <w:rFonts w:eastAsia="Calibri"/>
          <w:snapToGrid/>
          <w:kern w:val="0"/>
          <w:szCs w:val="22"/>
        </w:rPr>
        <w:t xml:space="preserve">Commission </w:t>
      </w:r>
      <w:r w:rsidRPr="006252E6">
        <w:rPr>
          <w:rFonts w:eastAsia="Calibri"/>
          <w:snapToGrid/>
          <w:kern w:val="0"/>
          <w:szCs w:val="22"/>
        </w:rPr>
        <w:t xml:space="preserve">released </w:t>
      </w:r>
      <w:r>
        <w:rPr>
          <w:rFonts w:eastAsia="Calibri"/>
          <w:snapToGrid/>
          <w:kern w:val="0"/>
          <w:szCs w:val="22"/>
        </w:rPr>
        <w:t>a</w:t>
      </w:r>
      <w:r w:rsidRPr="006252E6">
        <w:rPr>
          <w:rFonts w:eastAsia="Calibri"/>
          <w:snapToGrid/>
          <w:kern w:val="0"/>
          <w:szCs w:val="22"/>
        </w:rPr>
        <w:t xml:space="preserve"> </w:t>
      </w:r>
      <w:r w:rsidRPr="000B3EA0">
        <w:rPr>
          <w:rFonts w:eastAsia="Calibri"/>
          <w:snapToGrid/>
          <w:kern w:val="0"/>
          <w:szCs w:val="22"/>
        </w:rPr>
        <w:t>Report and Order</w:t>
      </w:r>
      <w:r w:rsidR="00231DE2">
        <w:rPr>
          <w:rFonts w:eastAsia="Calibri"/>
          <w:snapToGrid/>
          <w:kern w:val="0"/>
          <w:szCs w:val="22"/>
        </w:rPr>
        <w:t>, Order on Reconsideration, Order</w:t>
      </w:r>
      <w:r w:rsidR="0035495C">
        <w:rPr>
          <w:rFonts w:eastAsia="Calibri"/>
          <w:snapToGrid/>
          <w:kern w:val="0"/>
          <w:szCs w:val="22"/>
        </w:rPr>
        <w:t>,</w:t>
      </w:r>
      <w:r w:rsidRPr="000B3EA0" w:rsidR="002F4CEA">
        <w:rPr>
          <w:rFonts w:eastAsia="Calibri"/>
          <w:snapToGrid/>
          <w:kern w:val="0"/>
          <w:szCs w:val="22"/>
        </w:rPr>
        <w:t xml:space="preserve"> and Further Notice of Proposed Rulemaking</w:t>
      </w:r>
      <w:r w:rsidR="00656633">
        <w:rPr>
          <w:rFonts w:eastAsia="Calibri"/>
          <w:snapToGrid/>
          <w:kern w:val="0"/>
          <w:szCs w:val="22"/>
        </w:rPr>
        <w:t>,</w:t>
      </w:r>
      <w:r w:rsidRPr="000B3EA0" w:rsidR="000B3EA0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>FCC 2</w:t>
      </w:r>
      <w:r w:rsidR="002F4CEA">
        <w:rPr>
          <w:rFonts w:eastAsia="Calibri"/>
          <w:snapToGrid/>
          <w:kern w:val="0"/>
          <w:szCs w:val="22"/>
        </w:rPr>
        <w:t>2</w:t>
      </w:r>
      <w:r>
        <w:rPr>
          <w:rFonts w:eastAsia="Calibri"/>
          <w:snapToGrid/>
          <w:kern w:val="0"/>
          <w:szCs w:val="22"/>
        </w:rPr>
        <w:t>-</w:t>
      </w:r>
      <w:r w:rsidR="00231DE2">
        <w:rPr>
          <w:rFonts w:eastAsia="Calibri"/>
          <w:snapToGrid/>
          <w:kern w:val="0"/>
          <w:szCs w:val="22"/>
        </w:rPr>
        <w:t>37</w:t>
      </w:r>
      <w:r>
        <w:rPr>
          <w:rFonts w:eastAsia="Calibri"/>
          <w:snapToGrid/>
          <w:kern w:val="0"/>
          <w:szCs w:val="22"/>
        </w:rPr>
        <w:t>,</w:t>
      </w:r>
      <w:r w:rsidRPr="006252E6">
        <w:rPr>
          <w:rFonts w:eastAsia="Calibri"/>
          <w:snapToGrid/>
          <w:kern w:val="0"/>
          <w:szCs w:val="22"/>
        </w:rPr>
        <w:t xml:space="preserve"> in the above caption</w:t>
      </w:r>
      <w:r>
        <w:rPr>
          <w:rFonts w:eastAsia="Calibri"/>
          <w:snapToGrid/>
          <w:kern w:val="0"/>
          <w:szCs w:val="22"/>
        </w:rPr>
        <w:t>ed</w:t>
      </w:r>
      <w:r w:rsidRPr="006252E6">
        <w:rPr>
          <w:rFonts w:eastAsia="Calibri"/>
          <w:snapToGrid/>
          <w:kern w:val="0"/>
          <w:szCs w:val="22"/>
        </w:rPr>
        <w:t xml:space="preserve"> proceeding.</w:t>
      </w:r>
      <w:r>
        <w:rPr>
          <w:rFonts w:eastAsia="Calibri"/>
          <w:snapToGrid/>
          <w:kern w:val="0"/>
          <w:szCs w:val="22"/>
        </w:rPr>
        <w:t xml:space="preserve">  </w:t>
      </w:r>
      <w:r w:rsidRPr="006252E6">
        <w:rPr>
          <w:rFonts w:eastAsia="Calibri"/>
          <w:snapToGrid/>
          <w:kern w:val="0"/>
          <w:szCs w:val="22"/>
        </w:rPr>
        <w:t xml:space="preserve">This </w:t>
      </w:r>
      <w:r w:rsidRPr="00CB31FB">
        <w:rPr>
          <w:rFonts w:eastAsia="Calibri"/>
          <w:snapToGrid/>
          <w:kern w:val="0"/>
          <w:szCs w:val="22"/>
        </w:rPr>
        <w:t xml:space="preserve">Erratum amends </w:t>
      </w:r>
      <w:r w:rsidRPr="00CB31FB" w:rsidR="00803017">
        <w:rPr>
          <w:rFonts w:eastAsia="Calibri"/>
          <w:snapToGrid/>
          <w:kern w:val="0"/>
          <w:szCs w:val="22"/>
        </w:rPr>
        <w:t xml:space="preserve">paragraph 247, and </w:t>
      </w:r>
      <w:r w:rsidRPr="00CB31FB" w:rsidR="00231DE2">
        <w:rPr>
          <w:rFonts w:eastAsia="Calibri"/>
          <w:snapToGrid/>
          <w:kern w:val="0"/>
          <w:szCs w:val="22"/>
        </w:rPr>
        <w:t xml:space="preserve">Appendices A and B of that release as </w:t>
      </w:r>
      <w:r w:rsidRPr="00CB31FB" w:rsidR="0035495C">
        <w:rPr>
          <w:rFonts w:eastAsia="Calibri"/>
          <w:snapToGrid/>
          <w:kern w:val="0"/>
          <w:szCs w:val="22"/>
        </w:rPr>
        <w:t>indicated</w:t>
      </w:r>
      <w:r w:rsidRPr="00CB31FB" w:rsidR="00231DE2">
        <w:rPr>
          <w:rFonts w:eastAsia="Calibri"/>
          <w:snapToGrid/>
          <w:kern w:val="0"/>
          <w:szCs w:val="22"/>
        </w:rPr>
        <w:t xml:space="preserve"> below. </w:t>
      </w:r>
    </w:p>
    <w:p w:rsidR="003C7710" w:rsidRPr="00CB31FB" w:rsidP="0033543C" w14:paraId="69522FC8" w14:textId="15994487">
      <w:pPr>
        <w:pStyle w:val="ListParagraph"/>
        <w:widowControl/>
        <w:numPr>
          <w:ilvl w:val="0"/>
          <w:numId w:val="8"/>
        </w:numPr>
        <w:spacing w:before="120" w:after="120"/>
        <w:contextualSpacing w:val="0"/>
        <w:rPr>
          <w:snapToGrid/>
        </w:rPr>
      </w:pPr>
      <w:r w:rsidRPr="00CB31FB">
        <w:rPr>
          <w:snapToGrid/>
        </w:rPr>
        <w:t>Paragraph 247 is corrected to read as follows:</w:t>
      </w:r>
    </w:p>
    <w:p w:rsidR="003C7710" w:rsidRPr="003C7710" w:rsidP="0033543C" w14:paraId="43515A78" w14:textId="46933648">
      <w:pPr>
        <w:pStyle w:val="ListParagraph"/>
        <w:widowControl/>
        <w:spacing w:before="120" w:after="120"/>
        <w:contextualSpacing w:val="0"/>
        <w:rPr>
          <w:snapToGrid/>
        </w:rPr>
      </w:pPr>
      <w:r w:rsidRPr="00CB31FB">
        <w:rPr>
          <w:snapToGrid/>
        </w:rPr>
        <w:t>“IT IS FURTHER ORDERED that part</w:t>
      </w:r>
      <w:r w:rsidRPr="00CB31FB" w:rsidR="00803017">
        <w:rPr>
          <w:snapToGrid/>
        </w:rPr>
        <w:t>s</w:t>
      </w:r>
      <w:r w:rsidRPr="00CB31FB" w:rsidR="00682BF6">
        <w:rPr>
          <w:snapToGrid/>
        </w:rPr>
        <w:t xml:space="preserve"> 0 and </w:t>
      </w:r>
      <w:r w:rsidRPr="00CB31FB">
        <w:rPr>
          <w:snapToGrid/>
        </w:rPr>
        <w:t xml:space="preserve">64 of the Commission’s rules </w:t>
      </w:r>
      <w:r w:rsidRPr="00CB31FB" w:rsidR="00803017">
        <w:rPr>
          <w:snapToGrid/>
        </w:rPr>
        <w:t xml:space="preserve">ARE </w:t>
      </w:r>
      <w:r w:rsidRPr="00CB31FB">
        <w:rPr>
          <w:snapToGrid/>
        </w:rPr>
        <w:t xml:space="preserve">AMENDED </w:t>
      </w:r>
      <w:r w:rsidRPr="00CB31FB" w:rsidR="00803017">
        <w:rPr>
          <w:snapToGrid/>
        </w:rPr>
        <w:t>a</w:t>
      </w:r>
      <w:r w:rsidRPr="00CB31FB">
        <w:rPr>
          <w:snapToGrid/>
        </w:rPr>
        <w:t>s set forth in Appendix A.”</w:t>
      </w:r>
      <w:r>
        <w:rPr>
          <w:snapToGrid/>
        </w:rPr>
        <w:t xml:space="preserve"> </w:t>
      </w:r>
    </w:p>
    <w:p w:rsidR="008B3DE5" w:rsidRPr="006252E6" w:rsidP="006307A7" w14:paraId="06EBD962" w14:textId="4E923D54">
      <w:pPr>
        <w:widowControl/>
        <w:spacing w:after="120"/>
        <w:ind w:left="720" w:hanging="360"/>
        <w:rPr>
          <w:rFonts w:eastAsia="Calibri"/>
          <w:snapToGrid/>
          <w:kern w:val="0"/>
          <w:szCs w:val="22"/>
        </w:rPr>
      </w:pPr>
      <w:r>
        <w:rPr>
          <w:snapToGrid/>
        </w:rPr>
        <w:t xml:space="preserve">2.    </w:t>
      </w:r>
      <w:r w:rsidR="00752591">
        <w:rPr>
          <w:snapToGrid/>
        </w:rPr>
        <w:t>Paragraph (</w:t>
      </w:r>
      <w:r w:rsidR="00231DE2">
        <w:rPr>
          <w:snapToGrid/>
        </w:rPr>
        <w:t>d</w:t>
      </w:r>
      <w:r w:rsidR="00752591">
        <w:rPr>
          <w:snapToGrid/>
        </w:rPr>
        <w:t>) of final rule</w:t>
      </w:r>
      <w:r w:rsidR="0035495C">
        <w:rPr>
          <w:snapToGrid/>
        </w:rPr>
        <w:t xml:space="preserve"> (Appendix A)</w:t>
      </w:r>
      <w:r w:rsidR="00752591">
        <w:rPr>
          <w:snapToGrid/>
        </w:rPr>
        <w:t xml:space="preserve"> </w:t>
      </w:r>
      <w:r w:rsidR="008C696D">
        <w:rPr>
          <w:rFonts w:eastAsia="Calibri"/>
          <w:snapToGrid/>
          <w:kern w:val="0"/>
          <w:szCs w:val="22"/>
        </w:rPr>
        <w:t>s</w:t>
      </w:r>
      <w:r w:rsidR="00183B56">
        <w:rPr>
          <w:rFonts w:eastAsia="Calibri"/>
          <w:snapToGrid/>
          <w:kern w:val="0"/>
          <w:szCs w:val="22"/>
        </w:rPr>
        <w:t>ection</w:t>
      </w:r>
      <w:r w:rsidRPr="00653425" w:rsidR="00183B56">
        <w:rPr>
          <w:snapToGrid/>
        </w:rPr>
        <w:t xml:space="preserve"> </w:t>
      </w:r>
      <w:r w:rsidR="00231DE2">
        <w:rPr>
          <w:snapToGrid/>
        </w:rPr>
        <w:t>64.6300 on page</w:t>
      </w:r>
      <w:r w:rsidR="00752591">
        <w:rPr>
          <w:snapToGrid/>
        </w:rPr>
        <w:t xml:space="preserve"> </w:t>
      </w:r>
      <w:r w:rsidR="00231DE2">
        <w:rPr>
          <w:snapToGrid/>
        </w:rPr>
        <w:t>9</w:t>
      </w:r>
      <w:r w:rsidR="007E16DC">
        <w:rPr>
          <w:snapToGrid/>
        </w:rPr>
        <w:t>9</w:t>
      </w:r>
      <w:r w:rsidR="00752591">
        <w:rPr>
          <w:snapToGrid/>
        </w:rPr>
        <w:t xml:space="preserve">, </w:t>
      </w:r>
      <w:r w:rsidR="00183B56">
        <w:rPr>
          <w:snapToGrid/>
        </w:rPr>
        <w:t>is corrected to read as follows:</w:t>
      </w:r>
      <w:r w:rsidR="00183B56">
        <w:rPr>
          <w:rFonts w:eastAsia="Calibri"/>
          <w:snapToGrid/>
          <w:kern w:val="0"/>
          <w:szCs w:val="22"/>
        </w:rPr>
        <w:t xml:space="preserve">  </w:t>
      </w:r>
    </w:p>
    <w:p w:rsidR="00752591" w:rsidP="006307A7" w14:paraId="736F6E83" w14:textId="189647C4">
      <w:pPr>
        <w:widowControl/>
        <w:shd w:val="clear" w:color="auto" w:fill="FFFFFF"/>
        <w:spacing w:after="120"/>
        <w:ind w:left="720"/>
        <w:rPr>
          <w:b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>“</w:t>
      </w:r>
      <w:r w:rsidRPr="00752591">
        <w:rPr>
          <w:bCs/>
          <w:snapToGrid/>
          <w:kern w:val="0"/>
          <w:szCs w:val="22"/>
        </w:rPr>
        <w:t xml:space="preserve">(d) </w:t>
      </w:r>
      <w:r w:rsidRPr="00752591">
        <w:rPr>
          <w:bCs/>
          <w:i/>
          <w:iCs/>
          <w:snapToGrid/>
          <w:kern w:val="0"/>
          <w:szCs w:val="22"/>
        </w:rPr>
        <w:t>Gateway provider.</w:t>
      </w:r>
      <w:r w:rsidRPr="00752591">
        <w:rPr>
          <w:bCs/>
          <w:snapToGrid/>
          <w:kern w:val="0"/>
          <w:szCs w:val="22"/>
        </w:rPr>
        <w:t xml:space="preserve">  The term </w:t>
      </w:r>
      <w:r>
        <w:rPr>
          <w:bCs/>
          <w:snapToGrid/>
          <w:kern w:val="0"/>
          <w:szCs w:val="22"/>
        </w:rPr>
        <w:t>‘</w:t>
      </w:r>
      <w:r w:rsidRPr="00752591">
        <w:rPr>
          <w:bCs/>
          <w:snapToGrid/>
          <w:kern w:val="0"/>
          <w:szCs w:val="22"/>
        </w:rPr>
        <w:t>gateway provider</w:t>
      </w:r>
      <w:r>
        <w:rPr>
          <w:bCs/>
          <w:snapToGrid/>
          <w:kern w:val="0"/>
          <w:szCs w:val="22"/>
        </w:rPr>
        <w:t>’</w:t>
      </w:r>
      <w:r w:rsidRPr="00752591">
        <w:rPr>
          <w:bCs/>
          <w:snapToGrid/>
          <w:kern w:val="0"/>
          <w:szCs w:val="22"/>
        </w:rPr>
        <w:t xml:space="preserve"> means a U.S.-based intermediate provider that receives a call directly from a foreign originating provider or foreign intermediate provider at its U.S.-based facilities before transmitting the call downstream to another U.S.-based provider.  For purposes of this rule, (</w:t>
      </w:r>
      <w:r w:rsidRPr="00752591">
        <w:rPr>
          <w:bCs/>
          <w:snapToGrid/>
          <w:kern w:val="0"/>
          <w:szCs w:val="22"/>
        </w:rPr>
        <w:t>i</w:t>
      </w:r>
      <w:r w:rsidRPr="00752591">
        <w:rPr>
          <w:bCs/>
          <w:snapToGrid/>
          <w:kern w:val="0"/>
          <w:szCs w:val="22"/>
        </w:rPr>
        <w:t>) “U.S.-based” means that the provider has facilities located in the United States, including a point of presence capable of processing the call; and (</w:t>
      </w:r>
      <w:r>
        <w:rPr>
          <w:bCs/>
          <w:snapToGrid/>
          <w:kern w:val="0"/>
          <w:szCs w:val="22"/>
        </w:rPr>
        <w:t>ii</w:t>
      </w:r>
      <w:r w:rsidRPr="00752591">
        <w:rPr>
          <w:bCs/>
          <w:snapToGrid/>
          <w:kern w:val="0"/>
          <w:szCs w:val="22"/>
        </w:rPr>
        <w:t xml:space="preserve">) </w:t>
      </w:r>
      <w:r>
        <w:rPr>
          <w:bCs/>
          <w:snapToGrid/>
          <w:kern w:val="0"/>
          <w:szCs w:val="22"/>
        </w:rPr>
        <w:t>‘</w:t>
      </w:r>
      <w:r w:rsidRPr="00752591">
        <w:rPr>
          <w:bCs/>
          <w:snapToGrid/>
          <w:kern w:val="0"/>
          <w:szCs w:val="22"/>
        </w:rPr>
        <w:t>receives a call directly</w:t>
      </w:r>
      <w:r>
        <w:rPr>
          <w:bCs/>
          <w:snapToGrid/>
          <w:kern w:val="0"/>
          <w:szCs w:val="22"/>
        </w:rPr>
        <w:t>’</w:t>
      </w:r>
      <w:r w:rsidRPr="00752591">
        <w:rPr>
          <w:bCs/>
          <w:snapToGrid/>
          <w:kern w:val="0"/>
          <w:szCs w:val="22"/>
        </w:rPr>
        <w:t xml:space="preserve"> from a provider means the foreign provider directly upstream of the gateway provider in the call path sent the call to the gateway provider, with no providers in-between.</w:t>
      </w:r>
      <w:r>
        <w:rPr>
          <w:bCs/>
          <w:snapToGrid/>
          <w:kern w:val="0"/>
          <w:szCs w:val="22"/>
        </w:rPr>
        <w:t>”</w:t>
      </w:r>
    </w:p>
    <w:p w:rsidR="00752591" w:rsidRPr="006252E6" w:rsidP="0035495C" w14:paraId="4450C200" w14:textId="18DDA888">
      <w:pPr>
        <w:widowControl/>
        <w:spacing w:after="120"/>
        <w:ind w:left="720" w:hanging="300"/>
        <w:rPr>
          <w:rFonts w:eastAsia="Calibri"/>
          <w:snapToGrid/>
          <w:kern w:val="0"/>
          <w:szCs w:val="22"/>
        </w:rPr>
      </w:pPr>
      <w:r>
        <w:rPr>
          <w:snapToGrid/>
        </w:rPr>
        <w:t>3</w:t>
      </w:r>
      <w:r>
        <w:rPr>
          <w:snapToGrid/>
        </w:rPr>
        <w:t>.</w:t>
      </w:r>
      <w:r>
        <w:rPr>
          <w:snapToGrid/>
        </w:rPr>
        <w:tab/>
        <w:t xml:space="preserve">Paragraph (d)(5) of final rule </w:t>
      </w:r>
      <w:r w:rsidR="0035495C">
        <w:rPr>
          <w:snapToGrid/>
        </w:rPr>
        <w:t xml:space="preserve">(Appendix A) </w:t>
      </w:r>
      <w:r w:rsidR="008C696D">
        <w:rPr>
          <w:rFonts w:eastAsia="Calibri"/>
          <w:snapToGrid/>
          <w:kern w:val="0"/>
          <w:szCs w:val="22"/>
        </w:rPr>
        <w:t>s</w:t>
      </w:r>
      <w:r>
        <w:rPr>
          <w:rFonts w:eastAsia="Calibri"/>
          <w:snapToGrid/>
          <w:kern w:val="0"/>
          <w:szCs w:val="22"/>
        </w:rPr>
        <w:t>ection</w:t>
      </w:r>
      <w:r w:rsidRPr="00653425">
        <w:rPr>
          <w:snapToGrid/>
        </w:rPr>
        <w:t xml:space="preserve"> </w:t>
      </w:r>
      <w:r>
        <w:rPr>
          <w:snapToGrid/>
        </w:rPr>
        <w:t xml:space="preserve">64.6305 on page </w:t>
      </w:r>
      <w:r w:rsidR="0035495C">
        <w:rPr>
          <w:snapToGrid/>
        </w:rPr>
        <w:t>10</w:t>
      </w:r>
      <w:r w:rsidR="007E16DC">
        <w:rPr>
          <w:snapToGrid/>
        </w:rPr>
        <w:t>4</w:t>
      </w:r>
      <w:r>
        <w:rPr>
          <w:snapToGrid/>
        </w:rPr>
        <w:t>, is corrected to</w:t>
      </w:r>
      <w:r w:rsidR="00F02846">
        <w:rPr>
          <w:snapToGrid/>
        </w:rPr>
        <w:t xml:space="preserve"> </w:t>
      </w:r>
      <w:r>
        <w:rPr>
          <w:snapToGrid/>
        </w:rPr>
        <w:t>read as follows:</w:t>
      </w:r>
      <w:r>
        <w:rPr>
          <w:rFonts w:eastAsia="Calibri"/>
          <w:snapToGrid/>
          <w:kern w:val="0"/>
          <w:szCs w:val="22"/>
        </w:rPr>
        <w:t xml:space="preserve">  </w:t>
      </w:r>
    </w:p>
    <w:p w:rsidR="00752591" w:rsidP="00B33A24" w14:paraId="55391FA9" w14:textId="584BFB59">
      <w:pPr>
        <w:widowControl/>
        <w:shd w:val="clear" w:color="auto" w:fill="FFFFFF"/>
        <w:spacing w:after="120"/>
        <w:ind w:left="720"/>
        <w:rPr>
          <w:snapToGrid/>
          <w:color w:val="000000"/>
        </w:rPr>
      </w:pPr>
      <w:r>
        <w:rPr>
          <w:bCs/>
          <w:snapToGrid/>
          <w:kern w:val="0"/>
          <w:szCs w:val="22"/>
        </w:rPr>
        <w:t>“</w:t>
      </w:r>
      <w:r w:rsidRPr="00070DDE">
        <w:rPr>
          <w:snapToGrid/>
          <w:color w:val="000000"/>
        </w:rPr>
        <w:t>(5) A gateway provider shall update its filings within 10 business days of any change to the information it must provide pursuant to paragraphs (d)(</w:t>
      </w:r>
      <w:r>
        <w:rPr>
          <w:snapToGrid/>
          <w:color w:val="000000"/>
        </w:rPr>
        <w:t>1</w:t>
      </w:r>
      <w:r w:rsidRPr="00070DDE">
        <w:rPr>
          <w:snapToGrid/>
          <w:color w:val="000000"/>
        </w:rPr>
        <w:t>) through (4) of this section, subject to the conditions set forth in paragraphs (c)(5)(</w:t>
      </w:r>
      <w:r w:rsidRPr="00070DDE">
        <w:rPr>
          <w:snapToGrid/>
          <w:color w:val="000000"/>
        </w:rPr>
        <w:t>i</w:t>
      </w:r>
      <w:r w:rsidRPr="00070DDE">
        <w:rPr>
          <w:snapToGrid/>
          <w:color w:val="000000"/>
        </w:rPr>
        <w:t>)-(ii) of this section.</w:t>
      </w:r>
      <w:r>
        <w:rPr>
          <w:snapToGrid/>
          <w:color w:val="000000"/>
        </w:rPr>
        <w:t>”</w:t>
      </w:r>
    </w:p>
    <w:p w:rsidR="00752591" w:rsidRPr="006252E6" w:rsidP="00446CAA" w14:paraId="2C901AD6" w14:textId="23FD8F22">
      <w:pPr>
        <w:keepNext/>
        <w:widowControl/>
        <w:spacing w:after="120"/>
        <w:ind w:left="720" w:hanging="360"/>
        <w:rPr>
          <w:rFonts w:eastAsia="Calibri"/>
          <w:snapToGrid/>
          <w:kern w:val="0"/>
          <w:szCs w:val="22"/>
        </w:rPr>
      </w:pPr>
      <w:r>
        <w:rPr>
          <w:snapToGrid/>
        </w:rPr>
        <w:t>4</w:t>
      </w:r>
      <w:r>
        <w:rPr>
          <w:snapToGrid/>
        </w:rPr>
        <w:t>.</w:t>
      </w:r>
      <w:r>
        <w:rPr>
          <w:snapToGrid/>
        </w:rPr>
        <w:tab/>
        <w:t xml:space="preserve">Paragraph (e)(5) of proposed </w:t>
      </w:r>
      <w:r w:rsidR="0035495C">
        <w:rPr>
          <w:snapToGrid/>
        </w:rPr>
        <w:t xml:space="preserve">rule (Appendix B) </w:t>
      </w:r>
      <w:r>
        <w:rPr>
          <w:rFonts w:eastAsia="Calibri"/>
          <w:snapToGrid/>
          <w:kern w:val="0"/>
          <w:szCs w:val="22"/>
        </w:rPr>
        <w:t>Section</w:t>
      </w:r>
      <w:r w:rsidRPr="00653425">
        <w:rPr>
          <w:snapToGrid/>
        </w:rPr>
        <w:t xml:space="preserve"> </w:t>
      </w:r>
      <w:r>
        <w:rPr>
          <w:snapToGrid/>
        </w:rPr>
        <w:t>64.6305 on page 10</w:t>
      </w:r>
      <w:r w:rsidR="007E16DC">
        <w:rPr>
          <w:snapToGrid/>
        </w:rPr>
        <w:t>7</w:t>
      </w:r>
      <w:r>
        <w:rPr>
          <w:snapToGrid/>
        </w:rPr>
        <w:t>, is corrected to</w:t>
      </w:r>
      <w:r w:rsidR="00F02846">
        <w:rPr>
          <w:snapToGrid/>
        </w:rPr>
        <w:t xml:space="preserve"> </w:t>
      </w:r>
      <w:r>
        <w:rPr>
          <w:snapToGrid/>
        </w:rPr>
        <w:t>read as follows:</w:t>
      </w:r>
      <w:r>
        <w:rPr>
          <w:rFonts w:eastAsia="Calibri"/>
          <w:snapToGrid/>
          <w:kern w:val="0"/>
          <w:szCs w:val="22"/>
        </w:rPr>
        <w:t xml:space="preserve">  </w:t>
      </w:r>
    </w:p>
    <w:p w:rsidR="00446CAA" w:rsidP="00446CAA" w14:paraId="00829FF8" w14:textId="77777777">
      <w:pPr>
        <w:keepNext/>
        <w:widowControl/>
        <w:ind w:left="720"/>
      </w:pPr>
      <w:r>
        <w:rPr>
          <w:bCs/>
          <w:snapToGrid/>
          <w:kern w:val="0"/>
          <w:szCs w:val="22"/>
        </w:rPr>
        <w:t>“</w:t>
      </w:r>
      <w:r w:rsidRPr="00070DDE" w:rsidR="00752591">
        <w:rPr>
          <w:snapToGrid/>
          <w:color w:val="000000"/>
        </w:rPr>
        <w:t>(5) A</w:t>
      </w:r>
      <w:r w:rsidR="00752591">
        <w:rPr>
          <w:snapToGrid/>
          <w:color w:val="000000"/>
        </w:rPr>
        <w:t>n</w:t>
      </w:r>
      <w:r w:rsidRPr="00070DDE" w:rsidR="00752591">
        <w:rPr>
          <w:snapToGrid/>
          <w:color w:val="000000"/>
        </w:rPr>
        <w:t xml:space="preserve"> </w:t>
      </w:r>
      <w:r w:rsidR="00752591">
        <w:rPr>
          <w:snapToGrid/>
          <w:color w:val="000000"/>
        </w:rPr>
        <w:t>intermediate</w:t>
      </w:r>
      <w:r w:rsidRPr="00070DDE" w:rsidR="00752591">
        <w:rPr>
          <w:snapToGrid/>
          <w:color w:val="000000"/>
        </w:rPr>
        <w:t xml:space="preserve"> provider shall update its filings within 10 business days of any change to the information it must provide pursuant to paragraphs (</w:t>
      </w:r>
      <w:r w:rsidR="00752591">
        <w:rPr>
          <w:snapToGrid/>
          <w:color w:val="000000"/>
        </w:rPr>
        <w:t>e</w:t>
      </w:r>
      <w:r w:rsidRPr="00070DDE" w:rsidR="00752591">
        <w:rPr>
          <w:snapToGrid/>
          <w:color w:val="000000"/>
        </w:rPr>
        <w:t>)(</w:t>
      </w:r>
      <w:r w:rsidR="00752591">
        <w:rPr>
          <w:snapToGrid/>
          <w:color w:val="000000"/>
        </w:rPr>
        <w:t>1</w:t>
      </w:r>
      <w:r w:rsidRPr="00070DDE" w:rsidR="00752591">
        <w:rPr>
          <w:snapToGrid/>
          <w:color w:val="000000"/>
        </w:rPr>
        <w:t>) through (4) of this section, subject to the conditions set forth in paragraphs (c)(5)(</w:t>
      </w:r>
      <w:r w:rsidRPr="00070DDE" w:rsidR="00752591">
        <w:rPr>
          <w:snapToGrid/>
          <w:color w:val="000000"/>
        </w:rPr>
        <w:t>i</w:t>
      </w:r>
      <w:r w:rsidRPr="00070DDE" w:rsidR="00752591">
        <w:rPr>
          <w:snapToGrid/>
          <w:color w:val="000000"/>
        </w:rPr>
        <w:t>)-(ii) of this section.</w:t>
      </w:r>
      <w:r w:rsidR="00752591">
        <w:rPr>
          <w:snapToGrid/>
          <w:color w:val="000000"/>
        </w:rPr>
        <w:t>”</w:t>
      </w:r>
      <w:r w:rsidR="00ED0907">
        <w:tab/>
      </w:r>
    </w:p>
    <w:p w:rsidR="00803017" w:rsidP="00446CAA" w14:paraId="76F84706" w14:textId="02B8A445">
      <w:pPr>
        <w:keepNext/>
        <w:widowControl/>
        <w:ind w:left="720"/>
      </w:pPr>
      <w:r>
        <w:tab/>
      </w:r>
    </w:p>
    <w:p w:rsidR="00803017" w:rsidP="00446CAA" w14:paraId="02464720" w14:textId="77777777">
      <w:pPr>
        <w:keepNext/>
        <w:widowControl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446CAA" w:rsidP="00446CAA" w14:paraId="44C2FD67" w14:textId="77777777">
      <w:pPr>
        <w:keepNext/>
        <w:widowControl/>
        <w:ind w:left="3600" w:firstLine="720"/>
      </w:pPr>
      <w:r>
        <w:t>FEDERAL COMMUNICATIONS COMMISSION</w:t>
      </w:r>
    </w:p>
    <w:p w:rsidR="00446CAA" w:rsidP="00446CAA" w14:paraId="07802466" w14:textId="77777777">
      <w:pPr>
        <w:keepNext/>
        <w:widowControl/>
      </w:pPr>
    </w:p>
    <w:p w:rsidR="00446CAA" w:rsidP="00446CAA" w14:paraId="5A011793" w14:textId="77777777">
      <w:pPr>
        <w:keepNext/>
        <w:widowControl/>
      </w:pPr>
    </w:p>
    <w:p w:rsidR="00446CAA" w:rsidP="00446CAA" w14:paraId="76F236EB" w14:textId="77777777">
      <w:pPr>
        <w:keepNext/>
        <w:widowControl/>
      </w:pPr>
    </w:p>
    <w:p w:rsidR="00446CAA" w:rsidP="00446CAA" w14:paraId="4531D161" w14:textId="77777777">
      <w:pPr>
        <w:keepNext/>
        <w:widowControl/>
      </w:pPr>
    </w:p>
    <w:p w:rsidR="00446CAA" w:rsidP="00446CAA" w14:paraId="233A4165" w14:textId="77777777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Trent B. Harkrader </w:t>
      </w:r>
    </w:p>
    <w:p w:rsidR="00446CAA" w:rsidP="00446CAA" w14:paraId="0CEB7A4A" w14:textId="77777777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:rsidR="00446CAA" w:rsidP="00446CAA" w14:paraId="40BF1E02" w14:textId="77777777">
      <w:pPr>
        <w:keepNext/>
        <w:ind w:left="3600" w:firstLine="720"/>
      </w:pPr>
      <w:r>
        <w:t>Wireline Competition Bureau</w:t>
      </w:r>
    </w:p>
    <w:p w:rsidR="00412FC5" w:rsidP="00ED0907" w14:paraId="71F4F337" w14:textId="291FD1DE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C62520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2F2C8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B3DE5" w14:paraId="74F49443" w14:textId="38267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D99F397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2360D62" w14:textId="21A0FD6A">
    <w:pPr>
      <w:pStyle w:val="Header"/>
      <w:rPr>
        <w:b w:val="0"/>
      </w:rPr>
    </w:pPr>
    <w:r>
      <w:tab/>
      <w:t>Federal Communications Commission</w:t>
    </w:r>
    <w:r>
      <w:tab/>
    </w:r>
  </w:p>
  <w:p w:rsidR="00D25FB5" w14:paraId="7EAC5B0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v:path arrowok="t"/>
              <w10:wrap anchorx="margin"/>
            </v:rect>
          </w:pict>
        </mc:Fallback>
      </mc:AlternateContent>
    </w:r>
  </w:p>
  <w:p w:rsidR="00D25FB5" w14:paraId="352C904E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00633B5" w14:textId="0AA50E9B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v:path arrowok="t"/>
              <w10:wrap anchorx="margin"/>
            </v:rect>
          </w:pict>
        </mc:Fallback>
      </mc:AlternateContent>
    </w:r>
    <w:r w:rsidR="00183B56">
      <w:tab/>
      <w:t>Federal Communications Commission</w:t>
    </w:r>
    <w:r w:rsidR="00183B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7C4B74"/>
    <w:multiLevelType w:val="hybridMultilevel"/>
    <w:tmpl w:val="7ADE3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F1943DC"/>
    <w:multiLevelType w:val="hybridMultilevel"/>
    <w:tmpl w:val="EE5026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E5"/>
    <w:rsid w:val="00000ACF"/>
    <w:rsid w:val="00036039"/>
    <w:rsid w:val="00037F90"/>
    <w:rsid w:val="00055E49"/>
    <w:rsid w:val="00061068"/>
    <w:rsid w:val="00070DDE"/>
    <w:rsid w:val="000875BF"/>
    <w:rsid w:val="00096D8C"/>
    <w:rsid w:val="000A188A"/>
    <w:rsid w:val="000B3EA0"/>
    <w:rsid w:val="000C0B65"/>
    <w:rsid w:val="000E05FE"/>
    <w:rsid w:val="000E3D42"/>
    <w:rsid w:val="000F721A"/>
    <w:rsid w:val="00101510"/>
    <w:rsid w:val="00122BD5"/>
    <w:rsid w:val="00133F79"/>
    <w:rsid w:val="00145AB9"/>
    <w:rsid w:val="00156695"/>
    <w:rsid w:val="00183B56"/>
    <w:rsid w:val="00194A66"/>
    <w:rsid w:val="00195151"/>
    <w:rsid w:val="001D1355"/>
    <w:rsid w:val="001D6BCF"/>
    <w:rsid w:val="001E01CA"/>
    <w:rsid w:val="002215EA"/>
    <w:rsid w:val="00224024"/>
    <w:rsid w:val="00231DE2"/>
    <w:rsid w:val="00275CF5"/>
    <w:rsid w:val="00282EDB"/>
    <w:rsid w:val="0028301F"/>
    <w:rsid w:val="00285017"/>
    <w:rsid w:val="00285A65"/>
    <w:rsid w:val="002A2D2E"/>
    <w:rsid w:val="002A5154"/>
    <w:rsid w:val="002C00E8"/>
    <w:rsid w:val="002E3164"/>
    <w:rsid w:val="002F4CEA"/>
    <w:rsid w:val="0030487B"/>
    <w:rsid w:val="00330F74"/>
    <w:rsid w:val="0033543C"/>
    <w:rsid w:val="00343749"/>
    <w:rsid w:val="0034665F"/>
    <w:rsid w:val="0035495C"/>
    <w:rsid w:val="00357E63"/>
    <w:rsid w:val="003660ED"/>
    <w:rsid w:val="00376972"/>
    <w:rsid w:val="003845EB"/>
    <w:rsid w:val="003B0550"/>
    <w:rsid w:val="003B694F"/>
    <w:rsid w:val="003C1356"/>
    <w:rsid w:val="003C7710"/>
    <w:rsid w:val="003E3FAA"/>
    <w:rsid w:val="003F0F32"/>
    <w:rsid w:val="003F171C"/>
    <w:rsid w:val="00401D62"/>
    <w:rsid w:val="00412FC5"/>
    <w:rsid w:val="00422276"/>
    <w:rsid w:val="004242F1"/>
    <w:rsid w:val="00441E0B"/>
    <w:rsid w:val="00445A00"/>
    <w:rsid w:val="00446CAA"/>
    <w:rsid w:val="00451B0F"/>
    <w:rsid w:val="004B5E4D"/>
    <w:rsid w:val="004C1681"/>
    <w:rsid w:val="004C2EE3"/>
    <w:rsid w:val="004E4A22"/>
    <w:rsid w:val="004F0A06"/>
    <w:rsid w:val="00511968"/>
    <w:rsid w:val="00521EC1"/>
    <w:rsid w:val="0055614C"/>
    <w:rsid w:val="00566D06"/>
    <w:rsid w:val="005B6488"/>
    <w:rsid w:val="005E12AE"/>
    <w:rsid w:val="005E14C2"/>
    <w:rsid w:val="00607BA5"/>
    <w:rsid w:val="0061180A"/>
    <w:rsid w:val="006252E6"/>
    <w:rsid w:val="00626EB6"/>
    <w:rsid w:val="006307A7"/>
    <w:rsid w:val="00632EC9"/>
    <w:rsid w:val="00653425"/>
    <w:rsid w:val="00655D03"/>
    <w:rsid w:val="00656633"/>
    <w:rsid w:val="00682BF6"/>
    <w:rsid w:val="00683388"/>
    <w:rsid w:val="00683F84"/>
    <w:rsid w:val="006A5C4B"/>
    <w:rsid w:val="006A6A81"/>
    <w:rsid w:val="006B5244"/>
    <w:rsid w:val="006D10DA"/>
    <w:rsid w:val="006F7393"/>
    <w:rsid w:val="0070224F"/>
    <w:rsid w:val="0070682A"/>
    <w:rsid w:val="007115F7"/>
    <w:rsid w:val="00724009"/>
    <w:rsid w:val="00737556"/>
    <w:rsid w:val="00740257"/>
    <w:rsid w:val="00752591"/>
    <w:rsid w:val="007669B2"/>
    <w:rsid w:val="00785689"/>
    <w:rsid w:val="0079754B"/>
    <w:rsid w:val="007A1E6D"/>
    <w:rsid w:val="007A7C9C"/>
    <w:rsid w:val="007B0EB2"/>
    <w:rsid w:val="007B3C34"/>
    <w:rsid w:val="007E16DC"/>
    <w:rsid w:val="007E434B"/>
    <w:rsid w:val="007E601F"/>
    <w:rsid w:val="00803017"/>
    <w:rsid w:val="00810B6F"/>
    <w:rsid w:val="00822CE0"/>
    <w:rsid w:val="008331C8"/>
    <w:rsid w:val="00841AB1"/>
    <w:rsid w:val="00893902"/>
    <w:rsid w:val="008A198D"/>
    <w:rsid w:val="008B3DE5"/>
    <w:rsid w:val="008C68F1"/>
    <w:rsid w:val="008C696D"/>
    <w:rsid w:val="008C7912"/>
    <w:rsid w:val="00902CEB"/>
    <w:rsid w:val="00921803"/>
    <w:rsid w:val="00926503"/>
    <w:rsid w:val="00953A7E"/>
    <w:rsid w:val="009662EA"/>
    <w:rsid w:val="009726D8"/>
    <w:rsid w:val="00973D89"/>
    <w:rsid w:val="00990BC1"/>
    <w:rsid w:val="009A18E3"/>
    <w:rsid w:val="009A4BE0"/>
    <w:rsid w:val="009C529F"/>
    <w:rsid w:val="009D05BD"/>
    <w:rsid w:val="009D7308"/>
    <w:rsid w:val="009F76DB"/>
    <w:rsid w:val="00A32C3B"/>
    <w:rsid w:val="00A45F4F"/>
    <w:rsid w:val="00A600A9"/>
    <w:rsid w:val="00A6509F"/>
    <w:rsid w:val="00A95900"/>
    <w:rsid w:val="00AA55B7"/>
    <w:rsid w:val="00AA5B9E"/>
    <w:rsid w:val="00AB15F3"/>
    <w:rsid w:val="00AB2407"/>
    <w:rsid w:val="00AB53DF"/>
    <w:rsid w:val="00AC38BD"/>
    <w:rsid w:val="00AD2938"/>
    <w:rsid w:val="00AD6C17"/>
    <w:rsid w:val="00B07E5C"/>
    <w:rsid w:val="00B237FD"/>
    <w:rsid w:val="00B25471"/>
    <w:rsid w:val="00B33A24"/>
    <w:rsid w:val="00B720B4"/>
    <w:rsid w:val="00B75DC7"/>
    <w:rsid w:val="00B811F7"/>
    <w:rsid w:val="00BA1627"/>
    <w:rsid w:val="00BA5DC6"/>
    <w:rsid w:val="00BA6196"/>
    <w:rsid w:val="00BC667C"/>
    <w:rsid w:val="00BC6D8C"/>
    <w:rsid w:val="00C071C8"/>
    <w:rsid w:val="00C139B6"/>
    <w:rsid w:val="00C24A19"/>
    <w:rsid w:val="00C34006"/>
    <w:rsid w:val="00C34726"/>
    <w:rsid w:val="00C36B4C"/>
    <w:rsid w:val="00C426B1"/>
    <w:rsid w:val="00C614BB"/>
    <w:rsid w:val="00C66160"/>
    <w:rsid w:val="00C721AC"/>
    <w:rsid w:val="00C7354B"/>
    <w:rsid w:val="00C90D6A"/>
    <w:rsid w:val="00CA247E"/>
    <w:rsid w:val="00CA6D21"/>
    <w:rsid w:val="00CB31FB"/>
    <w:rsid w:val="00CC72B6"/>
    <w:rsid w:val="00CE13C6"/>
    <w:rsid w:val="00CE1FB4"/>
    <w:rsid w:val="00D0218D"/>
    <w:rsid w:val="00D16003"/>
    <w:rsid w:val="00D259A4"/>
    <w:rsid w:val="00D25FB5"/>
    <w:rsid w:val="00D44223"/>
    <w:rsid w:val="00D57020"/>
    <w:rsid w:val="00D64112"/>
    <w:rsid w:val="00D66182"/>
    <w:rsid w:val="00DA2529"/>
    <w:rsid w:val="00DA7651"/>
    <w:rsid w:val="00DB130A"/>
    <w:rsid w:val="00DB2EBB"/>
    <w:rsid w:val="00DB3FDA"/>
    <w:rsid w:val="00DC10A1"/>
    <w:rsid w:val="00DC655F"/>
    <w:rsid w:val="00DD0B59"/>
    <w:rsid w:val="00DD7EBD"/>
    <w:rsid w:val="00DE5BD4"/>
    <w:rsid w:val="00DF62B6"/>
    <w:rsid w:val="00E022E1"/>
    <w:rsid w:val="00E07225"/>
    <w:rsid w:val="00E5409F"/>
    <w:rsid w:val="00E72C8F"/>
    <w:rsid w:val="00E83794"/>
    <w:rsid w:val="00E877B8"/>
    <w:rsid w:val="00E93FAB"/>
    <w:rsid w:val="00ED0907"/>
    <w:rsid w:val="00EE6488"/>
    <w:rsid w:val="00EF42F2"/>
    <w:rsid w:val="00F021FA"/>
    <w:rsid w:val="00F02846"/>
    <w:rsid w:val="00F20350"/>
    <w:rsid w:val="00F33F40"/>
    <w:rsid w:val="00F62E97"/>
    <w:rsid w:val="00F633D6"/>
    <w:rsid w:val="00F64209"/>
    <w:rsid w:val="00F835AD"/>
    <w:rsid w:val="00F93BF5"/>
    <w:rsid w:val="00FE5042"/>
    <w:rsid w:val="3DC607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DA0BF9"/>
  <w15:chartTrackingRefBased/>
  <w15:docId w15:val="{5F34B84E-9E45-4A6A-AEA9-C987F39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752591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3549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9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495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54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495C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3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