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23BB" w14:paraId="3A596738" w14:textId="77777777">
      <w:pPr>
        <w:spacing w:before="60"/>
        <w:rPr>
          <w:b/>
          <w:sz w:val="24"/>
        </w:rPr>
      </w:pPr>
    </w:p>
    <w:p w:rsidR="00B923BB" w14:paraId="4483F301" w14:textId="5B73F446">
      <w:pPr>
        <w:spacing w:before="60"/>
        <w:jc w:val="right"/>
        <w:rPr>
          <w:b/>
          <w:sz w:val="24"/>
        </w:rPr>
      </w:pPr>
      <w:r>
        <w:rPr>
          <w:b/>
          <w:sz w:val="24"/>
        </w:rPr>
        <w:t xml:space="preserve">Released:  </w:t>
      </w:r>
      <w:r w:rsidR="00CA157A">
        <w:rPr>
          <w:b/>
          <w:sz w:val="24"/>
        </w:rPr>
        <w:t>June 12, 2022</w:t>
      </w:r>
    </w:p>
    <w:p w:rsidR="00B923BB" w14:paraId="150E3D51" w14:textId="77777777">
      <w:pPr>
        <w:jc w:val="right"/>
        <w:rPr>
          <w:sz w:val="24"/>
        </w:rPr>
      </w:pPr>
    </w:p>
    <w:p w:rsidR="00B923BB" w:rsidP="00B91E41" w14:paraId="5E52F8A2" w14:textId="143723D7">
      <w:pPr>
        <w:jc w:val="center"/>
        <w:rPr>
          <w:b/>
          <w:sz w:val="24"/>
        </w:rPr>
      </w:pPr>
      <w:r>
        <w:rPr>
          <w:b/>
          <w:sz w:val="24"/>
        </w:rPr>
        <w:t>ERRATUM</w:t>
      </w:r>
    </w:p>
    <w:p w:rsidR="00B91E41" w:rsidP="00B91E41" w14:paraId="2266A821" w14:textId="77777777">
      <w:pPr>
        <w:jc w:val="center"/>
        <w:rPr>
          <w:b/>
          <w:sz w:val="24"/>
        </w:rPr>
      </w:pPr>
    </w:p>
    <w:p w:rsidR="00B923BB" w:rsidP="00B91E41" w14:paraId="30193F23" w14:textId="574CB63B">
      <w:pPr>
        <w:jc w:val="center"/>
        <w:rPr>
          <w:b/>
          <w:bCs/>
          <w:caps/>
          <w:szCs w:val="22"/>
        </w:rPr>
      </w:pPr>
      <w:r w:rsidRPr="00434914">
        <w:rPr>
          <w:b/>
          <w:szCs w:val="22"/>
        </w:rPr>
        <w:t>APPLICATION</w:t>
      </w:r>
      <w:r>
        <w:rPr>
          <w:b/>
          <w:szCs w:val="22"/>
        </w:rPr>
        <w:t>S</w:t>
      </w:r>
      <w:r w:rsidRPr="00434914">
        <w:rPr>
          <w:b/>
          <w:szCs w:val="22"/>
        </w:rPr>
        <w:t xml:space="preserve"> GRANTED FOR THE TRANSFER OF CONTROL OF </w:t>
      </w:r>
      <w:r w:rsidRPr="00434914">
        <w:rPr>
          <w:b/>
          <w:bCs/>
          <w:caps/>
          <w:szCs w:val="22"/>
        </w:rPr>
        <w:t xml:space="preserve">Global Crossing Americas Solutions, LLC, </w:t>
      </w:r>
      <w:r w:rsidRPr="00BF7E4B">
        <w:rPr>
          <w:b/>
          <w:bCs/>
          <w:caps/>
          <w:szCs w:val="22"/>
        </w:rPr>
        <w:t xml:space="preserve">CenturyLink Latin AmericaN Solutions, LLC, and Level 3 Communications St. Croix, Inc. TO PATAGONIA HOLDCO LLC, AND </w:t>
      </w:r>
      <w:r w:rsidRPr="00434914">
        <w:rPr>
          <w:b/>
          <w:bCs/>
          <w:caps/>
          <w:szCs w:val="22"/>
        </w:rPr>
        <w:t xml:space="preserve">APPLICATION FOR </w:t>
      </w:r>
      <w:r w:rsidRPr="00BF7E4B">
        <w:rPr>
          <w:b/>
          <w:bCs/>
          <w:caps/>
          <w:szCs w:val="22"/>
        </w:rPr>
        <w:t xml:space="preserve">INTERNATIONAL SECTION 214 AUTHORITY </w:t>
      </w:r>
      <w:r>
        <w:rPr>
          <w:b/>
          <w:bCs/>
          <w:caps/>
          <w:szCs w:val="22"/>
        </w:rPr>
        <w:t xml:space="preserve">GRANTED </w:t>
      </w:r>
      <w:r w:rsidRPr="00BF7E4B">
        <w:rPr>
          <w:b/>
          <w:bCs/>
          <w:caps/>
          <w:szCs w:val="22"/>
        </w:rPr>
        <w:t xml:space="preserve">TO </w:t>
      </w:r>
      <w:r w:rsidRPr="00434914">
        <w:rPr>
          <w:b/>
          <w:bCs/>
          <w:caps/>
          <w:szCs w:val="22"/>
        </w:rPr>
        <w:t>CENTURYLINK LATIN AMERICAN SOLUTIONS, LLC</w:t>
      </w:r>
    </w:p>
    <w:p w:rsidR="00B91E41" w:rsidP="00B91E41" w14:paraId="34F7D0C6" w14:textId="77777777">
      <w:pPr>
        <w:jc w:val="center"/>
        <w:rPr>
          <w:b/>
          <w:bCs/>
          <w:caps/>
          <w:szCs w:val="22"/>
        </w:rPr>
      </w:pPr>
    </w:p>
    <w:p w:rsidR="00B923BB" w:rsidP="00B91E41" w14:paraId="05334F73" w14:textId="38A00BA4">
      <w:pPr>
        <w:jc w:val="center"/>
        <w:rPr>
          <w:b/>
          <w:szCs w:val="22"/>
        </w:rPr>
      </w:pPr>
      <w:r w:rsidRPr="00307030">
        <w:rPr>
          <w:b/>
          <w:szCs w:val="22"/>
        </w:rPr>
        <w:t xml:space="preserve">WC Docket No. </w:t>
      </w:r>
      <w:r>
        <w:rPr>
          <w:b/>
          <w:szCs w:val="22"/>
        </w:rPr>
        <w:t>21-340</w:t>
      </w:r>
    </w:p>
    <w:p w:rsidR="00B91E41" w:rsidP="00B91E41" w14:paraId="6EEB685E" w14:textId="77777777">
      <w:pPr>
        <w:spacing w:after="120"/>
        <w:jc w:val="center"/>
        <w:rPr>
          <w:b/>
          <w:sz w:val="24"/>
        </w:rPr>
      </w:pPr>
    </w:p>
    <w:p w:rsidR="00B923BB" w:rsidP="004928CD" w14:paraId="1C7B907F" w14:textId="736405A9">
      <w:pPr>
        <w:spacing w:after="120"/>
        <w:ind w:firstLine="720"/>
      </w:pPr>
      <w:r>
        <w:t xml:space="preserve">On </w:t>
      </w:r>
      <w:r w:rsidRPr="00037949" w:rsidR="00037949">
        <w:t>June 29, 2022</w:t>
      </w:r>
      <w:r>
        <w:t xml:space="preserve">, the </w:t>
      </w:r>
      <w:r w:rsidRPr="00690C10" w:rsidR="00690C10">
        <w:t>Wireline Competition Bureau and the International Bureau</w:t>
      </w:r>
      <w:r>
        <w:t xml:space="preserve"> released a </w:t>
      </w:r>
      <w:bookmarkStart w:id="0" w:name="_Hlk108440272"/>
      <w:r>
        <w:rPr>
          <w:i/>
        </w:rPr>
        <w:t>Public Notice</w:t>
      </w:r>
      <w:bookmarkEnd w:id="0"/>
      <w:r w:rsidR="00B25F0A">
        <w:rPr>
          <w:iCs/>
        </w:rPr>
        <w:t>, DA 22-685,</w:t>
      </w:r>
      <w:r>
        <w:t xml:space="preserve"> in the above captioned proceeding.  This Erratum </w:t>
      </w:r>
      <w:r w:rsidR="007A4EB8">
        <w:t xml:space="preserve">amends the </w:t>
      </w:r>
      <w:r w:rsidR="00B25F0A">
        <w:rPr>
          <w:i/>
        </w:rPr>
        <w:t>Public Notice</w:t>
      </w:r>
      <w:r w:rsidR="007A4EB8">
        <w:t xml:space="preserve"> as indicated below</w:t>
      </w:r>
      <w:r w:rsidR="00FF69F3">
        <w:t>.</w:t>
      </w:r>
    </w:p>
    <w:p w:rsidR="00964F96" w:rsidRPr="001465CD" w:rsidP="0084082E" w14:paraId="61928FC7" w14:textId="0642AC69">
      <w:pPr>
        <w:pStyle w:val="ListParagraph"/>
        <w:numPr>
          <w:ilvl w:val="0"/>
          <w:numId w:val="8"/>
        </w:numPr>
        <w:spacing w:after="120"/>
        <w:contextualSpacing w:val="0"/>
      </w:pPr>
      <w:r>
        <w:t xml:space="preserve">In footnote 4, </w:t>
      </w:r>
      <w:r w:rsidR="00397933">
        <w:t xml:space="preserve">following “May 10, 2022,” in </w:t>
      </w:r>
      <w:r w:rsidR="009F77EB">
        <w:t>the third sentence</w:t>
      </w:r>
      <w:r w:rsidR="00397933">
        <w:t>,</w:t>
      </w:r>
      <w:r w:rsidR="001C70E6">
        <w:t xml:space="preserve"> add “May 13, 2022,”</w:t>
      </w:r>
      <w:r w:rsidR="009F77EB">
        <w:t xml:space="preserve"> </w:t>
      </w:r>
      <w:r w:rsidR="00920F55">
        <w:t xml:space="preserve">and </w:t>
      </w:r>
      <w:r w:rsidRPr="001465CD" w:rsidR="00A92E7B">
        <w:t xml:space="preserve">the </w:t>
      </w:r>
      <w:r w:rsidRPr="001465CD" w:rsidR="006A7A34">
        <w:t>penultimate</w:t>
      </w:r>
      <w:r w:rsidRPr="001465CD" w:rsidR="00A92E7B">
        <w:t xml:space="preserve"> sentence is corrected to read as follows:</w:t>
      </w:r>
    </w:p>
    <w:p w:rsidR="00A92E7B" w:rsidP="0084082E" w14:paraId="0CF0A20A" w14:textId="694E3CF8">
      <w:pPr>
        <w:spacing w:after="120"/>
        <w:ind w:left="720"/>
      </w:pPr>
      <w:r>
        <w:t>“</w:t>
      </w:r>
      <w:r w:rsidRPr="001465CD">
        <w:t xml:space="preserve">Letter from Nicholas Alexander, Counsel to Lumen </w:t>
      </w:r>
      <w:r w:rsidRPr="001465CD">
        <w:rPr>
          <w:szCs w:val="22"/>
        </w:rPr>
        <w:t>Technologies, Inc.</w:t>
      </w:r>
      <w:r w:rsidRPr="001465CD">
        <w:t xml:space="preserve">, and Wayne D. Johnsen, Counsel to Patagonia Holdco LLC, to Marlene H. Dortch, Secretary, FCC, WC Docket No. 21-340, </w:t>
      </w:r>
      <w:bookmarkStart w:id="1" w:name="_Hlk102380161"/>
      <w:r w:rsidRPr="001465CD">
        <w:t xml:space="preserve">IB File Nos. ITC-T/C-20210820-00121, ITC-T/C-20210824-00124, SCL-T/C-20210821-00035, ITC-214-20210824-00125 </w:t>
      </w:r>
      <w:bookmarkEnd w:id="1"/>
      <w:r w:rsidRPr="001465CD">
        <w:t>(filed Sept. 20, 2021) (Sept. 20, 2021 Supplement); Letter from Wayne D. Johnsen, Counsel to Patagonia Holdco LLC, to Marlene H. Dortch, Secretary, FCC, WC Docket No. 21-340, IB File Nos. ITC-T/C-20210820-00121, ITC-T/C-20210824-00124, SCL-T/C-20210821-00035, ITC-214-20210824-00125 (filed May 2, 2022) (May 2, 2022 Supplement); Letter from Wayne D. Johnsen, Counsel to Patagonia Holdco LLC, to Marlene H. Dortch, Secretary, FCC, WC Docket No. 21-340, IB File Nos. ITC-T/C-20210820-00121, ITC-T/C-20210824-00124, SCL-T/C-20210821-00035, ITC-214-20210824-00125 (filed May 9, 2022) (May 9, 2022 Supplement); Letter from Karen L. Milne, Counsel to Lumen Technologies, Inc. et al.</w:t>
      </w:r>
      <w:r w:rsidRPr="001465CD">
        <w:rPr>
          <w:szCs w:val="22"/>
        </w:rPr>
        <w:t xml:space="preserve">, </w:t>
      </w:r>
      <w:r w:rsidRPr="001465CD">
        <w:t xml:space="preserve">to Marlene H. Dortch, Secretary, FCC, WC Docket No. 21-340, IB File Nos. ITC-T/C-20210820-00121, ITC-T/C-20210824-00124, SCL-T/C-20210821-00035, ITC-214-20210824-00125 (filed May 10, 2022) (May 10, 2022 Supplement); </w:t>
      </w:r>
      <w:r w:rsidRPr="001465CD" w:rsidR="00252B2A">
        <w:t xml:space="preserve">Letter from Karen L. Milne, Counsel to Lumen Technologies, Inc., to Marlene H. Dortch, Secretary, FCC, IB File No. SCL-ASG-20220323-00012 (filed May 13, 2022) (May 13, 2022 Supplement); </w:t>
      </w:r>
      <w:r w:rsidRPr="001465CD">
        <w:t xml:space="preserve">Letter from Karen L. Milne, Counsel to Lumen Technologies, Inc. and Wayne D. Johnsen, Counsel to Patagonia Holdco LLC, to Marlene H. Dortch, Secretary, FCC, WC Docket No. 21-340, IB File Nos. ITC-T/C-20210820-00121, ITC-T/C-20210824-00124, SCL-T/C-20210821-00035, ITC-214-20210824-00125 (filed May 19, 2022) (May 19, 2022 Supplement); </w:t>
      </w:r>
      <w:r w:rsidRPr="001465CD" w:rsidR="002C2F5A">
        <w:t xml:space="preserve">Letter from Karen L. Milne, Counsel to Lumen Technologies, Inc., to Marlene H. Dortch, Secretary, FCC, IB File No. SCL-ASG-20220323-00012 (filed June 15, 2022) (June 15, 2022 </w:t>
      </w:r>
      <w:r w:rsidRPr="001465CD" w:rsidR="002C2F5A">
        <w:rPr>
          <w:i/>
          <w:iCs/>
        </w:rPr>
        <w:t>Pro Forma</w:t>
      </w:r>
      <w:r w:rsidRPr="001465CD" w:rsidR="002C2F5A">
        <w:t xml:space="preserve"> Supplement);</w:t>
      </w:r>
      <w:r w:rsidR="002C2F5A">
        <w:t xml:space="preserve"> </w:t>
      </w:r>
      <w:r>
        <w:t xml:space="preserve">Letter from Karen L. Milne, Counsel to </w:t>
      </w:r>
      <w:r w:rsidRPr="00044D45">
        <w:t xml:space="preserve">Lumen Technologies, Inc. </w:t>
      </w:r>
      <w:r>
        <w:t xml:space="preserve">and </w:t>
      </w:r>
      <w:r w:rsidRPr="00F452D4">
        <w:t xml:space="preserve">Wayne D. Johnsen, Counsel </w:t>
      </w:r>
      <w:r>
        <w:t>to</w:t>
      </w:r>
      <w:r w:rsidRPr="00F452D4">
        <w:t xml:space="preserve"> Patagonia Holdco LLC, to Marlene H. Dortch, Secretary, FCC, WC Docket No. 21-340, </w:t>
      </w:r>
      <w:r>
        <w:t xml:space="preserve">IB </w:t>
      </w:r>
      <w:r w:rsidRPr="00F452D4">
        <w:t>File Nos. ITC-T/C-20210820-00121, ITC-T/C-20210824-00124, SCL-T/C-20210821-00035, ITC-214-20210824-00125 (filed</w:t>
      </w:r>
      <w:r>
        <w:t xml:space="preserve"> June 15, 2022) (June 15, 2022 Transfer of Control Supplement); </w:t>
      </w:r>
      <w:r w:rsidRPr="00F452D4">
        <w:t xml:space="preserve">Letter from Wayne D. Johnsen, </w:t>
      </w:r>
      <w:r w:rsidRPr="00F452D4">
        <w:t xml:space="preserve">Counsel </w:t>
      </w:r>
      <w:r>
        <w:t>to</w:t>
      </w:r>
      <w:r w:rsidRPr="00F452D4">
        <w:t xml:space="preserve"> Patagonia Holdco LLC, to Marlene H. Dortch, Secretary, FCC, WC Docket No. 21-340, </w:t>
      </w:r>
      <w:r>
        <w:t xml:space="preserve">IB </w:t>
      </w:r>
      <w:r w:rsidRPr="00F452D4">
        <w:t>File Nos. ITC-T/C-20210820-00121, ITC-T/C-20210824-00124, SCL-T/C-20210821-00035, ITC-214-20210824-00125 (filed</w:t>
      </w:r>
      <w:r>
        <w:t xml:space="preserve"> June 21, 2022) (June 21, 2022 Supplement)</w:t>
      </w:r>
      <w:r w:rsidRPr="00F452D4">
        <w:t>.</w:t>
      </w:r>
      <w:r>
        <w:t>”</w:t>
      </w:r>
    </w:p>
    <w:p w:rsidR="00C4494D" w:rsidP="0084082E" w14:paraId="2674A26B" w14:textId="685356EA">
      <w:pPr>
        <w:pStyle w:val="ListParagraph"/>
        <w:numPr>
          <w:ilvl w:val="0"/>
          <w:numId w:val="8"/>
        </w:numPr>
        <w:spacing w:after="120"/>
        <w:contextualSpacing w:val="0"/>
      </w:pPr>
      <w:r>
        <w:t>Footnote 8 is corrected to read as follows:</w:t>
      </w:r>
    </w:p>
    <w:p w:rsidR="009120A2" w:rsidP="0084082E" w14:paraId="4D29F022" w14:textId="41218116">
      <w:pPr>
        <w:pStyle w:val="ListParagraph"/>
        <w:spacing w:after="120"/>
        <w:contextualSpacing w:val="0"/>
      </w:pPr>
      <w:r>
        <w:t>“</w:t>
      </w:r>
      <w:r w:rsidRPr="00A21A39" w:rsidR="00FA3A94">
        <w:t>National Telecommunications and Information Administration</w:t>
      </w:r>
      <w:r w:rsidR="00FA3A94">
        <w:t>,</w:t>
      </w:r>
      <w:r w:rsidRPr="00A21A39" w:rsidR="00FA3A94">
        <w:t xml:space="preserve"> </w:t>
      </w:r>
      <w:r w:rsidRPr="00C8480D" w:rsidR="00FA3A94">
        <w:t>Petition to Adopt Conditions to Authorization and License, WC Docket No. 21-340, IB File Nos. ITC-T/C-20210820-00121, ITC-T/C-20210824-00124, SCL-T/C-20210821-00035, ITC-214-20210824-00125 (filed May 9, 2022)</w:t>
      </w:r>
      <w:r w:rsidR="00FA3A94">
        <w:t xml:space="preserve"> (filing original Petition</w:t>
      </w:r>
      <w:r w:rsidRPr="008F4ED0" w:rsidR="00FA3A94">
        <w:t xml:space="preserve"> to Adopt Conditions to Authorization and </w:t>
      </w:r>
      <w:r w:rsidRPr="001465CD" w:rsidR="00FA3A94">
        <w:t>License); National</w:t>
      </w:r>
      <w:r w:rsidRPr="00A21A39" w:rsidR="00FA3A94">
        <w:t xml:space="preserve"> Telecommunications and Information Administration</w:t>
      </w:r>
      <w:r w:rsidR="00FA3A94">
        <w:t>,</w:t>
      </w:r>
      <w:r w:rsidRPr="00A21A39" w:rsidR="00FA3A94">
        <w:t xml:space="preserve"> </w:t>
      </w:r>
      <w:r w:rsidRPr="008F4ED0" w:rsidR="00FA3A94">
        <w:t>Petition to Adopt Conditions to Authorization and License, WC Docket No. 21-340, IB File Nos. ITC-</w:t>
      </w:r>
      <w:r w:rsidRPr="008724BB" w:rsidR="00FA3A94">
        <w:t xml:space="preserve">T/C-20210820-00121, ITC-T/C-20210824-00124, SCL-T/C-20210821-00035, ITC-214-20210824-00125 (filed June 28, 2022) (filing revised Petition to Adopt Conditions to Authorization and License to reflect correction </w:t>
      </w:r>
      <w:r w:rsidRPr="001465CD" w:rsidR="00FA3A94">
        <w:t xml:space="preserve">of </w:t>
      </w:r>
      <w:r w:rsidRPr="001465CD" w:rsidR="00203E88">
        <w:t>Letter</w:t>
      </w:r>
      <w:r w:rsidRPr="001465CD" w:rsidR="00BE3AC2">
        <w:t>s</w:t>
      </w:r>
      <w:r w:rsidRPr="001465CD" w:rsidR="00203E88">
        <w:t xml:space="preserve"> of Agreement </w:t>
      </w:r>
      <w:r w:rsidRPr="001465CD" w:rsidR="00FA3A94">
        <w:t>signatories</w:t>
      </w:r>
      <w:r w:rsidRPr="008724BB" w:rsidR="00FA3A94">
        <w:t xml:space="preserve"> to remove </w:t>
      </w:r>
      <w:r w:rsidRPr="00681968" w:rsidR="00FA3A94">
        <w:t>Lumen Technologies, Inc. and</w:t>
      </w:r>
      <w:r w:rsidR="00FA3A94">
        <w:t xml:space="preserve"> </w:t>
      </w:r>
      <w:r w:rsidRPr="008724BB" w:rsidR="00FA3A94">
        <w:t>Level 3 Communications St. Croix, Inc.) (June 28 Committee Petition).</w:t>
      </w:r>
      <w:r w:rsidR="00FA3A94">
        <w:t>”</w:t>
      </w:r>
    </w:p>
    <w:p w:rsidR="00EF0A8E" w:rsidP="0084082E" w14:paraId="2B628035" w14:textId="1793D3CC">
      <w:pPr>
        <w:pStyle w:val="ListParagraph"/>
        <w:numPr>
          <w:ilvl w:val="0"/>
          <w:numId w:val="8"/>
        </w:numPr>
        <w:spacing w:after="120"/>
        <w:contextualSpacing w:val="0"/>
      </w:pPr>
      <w:r>
        <w:t>In paragraph 4, i</w:t>
      </w:r>
      <w:r w:rsidR="00CA59F8">
        <w:t>n the last line on page</w:t>
      </w:r>
      <w:r w:rsidR="005532CE">
        <w:t xml:space="preserve"> 2</w:t>
      </w:r>
      <w:r w:rsidR="00CA59F8">
        <w:t xml:space="preserve">, replace </w:t>
      </w:r>
      <w:r w:rsidR="001D5759">
        <w:t>“</w:t>
      </w:r>
      <w:r w:rsidRPr="00BC43BC" w:rsidR="001D5759">
        <w:t>Letter</w:t>
      </w:r>
      <w:r w:rsidR="001D5759">
        <w:t>s</w:t>
      </w:r>
      <w:r w:rsidRPr="00BC43BC" w:rsidR="001D5759">
        <w:t xml:space="preserve"> of Agreement</w:t>
      </w:r>
      <w:r w:rsidR="001D5759">
        <w:t>” with “</w:t>
      </w:r>
      <w:r w:rsidRPr="00BC43BC" w:rsidR="001D5759">
        <w:t>Letter</w:t>
      </w:r>
      <w:r w:rsidR="001D5759">
        <w:t>s</w:t>
      </w:r>
      <w:r w:rsidRPr="00BC43BC" w:rsidR="001D5759">
        <w:t xml:space="preserve"> of Agreement</w:t>
      </w:r>
      <w:r w:rsidR="001D5759">
        <w:t xml:space="preserve"> (LOAs).”</w:t>
      </w:r>
      <w:r>
        <w:t xml:space="preserve"> </w:t>
      </w:r>
    </w:p>
    <w:p w:rsidR="00BD3976" w:rsidP="0084082E" w14:paraId="157FD50D" w14:textId="214EEDC2">
      <w:pPr>
        <w:pStyle w:val="ListParagraph"/>
        <w:numPr>
          <w:ilvl w:val="0"/>
          <w:numId w:val="8"/>
        </w:numPr>
        <w:spacing w:after="120"/>
        <w:contextualSpacing w:val="0"/>
      </w:pPr>
      <w:r>
        <w:t xml:space="preserve">In footnote 14, </w:t>
      </w:r>
      <w:r>
        <w:t xml:space="preserve">the last sentence </w:t>
      </w:r>
      <w:r w:rsidR="00C445F0">
        <w:t xml:space="preserve">is corrected </w:t>
      </w:r>
      <w:r>
        <w:t>to read as follows:</w:t>
      </w:r>
    </w:p>
    <w:p w:rsidR="00A92E7B" w:rsidP="0084082E" w14:paraId="6BAAD932" w14:textId="54982942">
      <w:pPr>
        <w:pStyle w:val="ListParagraph"/>
        <w:spacing w:after="120"/>
        <w:contextualSpacing w:val="0"/>
      </w:pPr>
      <w:r>
        <w:t>“</w:t>
      </w:r>
      <w:r w:rsidRPr="00345921" w:rsidR="00DC1559">
        <w:t>May 13, 2022 Supplement at</w:t>
      </w:r>
      <w:r w:rsidR="00DC1559">
        <w:t xml:space="preserve"> 2 &amp; n.1; June 15, 2022 </w:t>
      </w:r>
      <w:r w:rsidRPr="00B40AD1" w:rsidR="00DC1559">
        <w:rPr>
          <w:i/>
          <w:iCs/>
        </w:rPr>
        <w:t>Pro Forma</w:t>
      </w:r>
      <w:r w:rsidRPr="00E31FF1" w:rsidR="00DC1559">
        <w:t xml:space="preserve"> </w:t>
      </w:r>
      <w:r w:rsidR="00DC1559">
        <w:t>Supplement at 1-2</w:t>
      </w:r>
      <w:r w:rsidR="00BD3976">
        <w:t>; June 15, 2022 Transfer of Control</w:t>
      </w:r>
      <w:r w:rsidR="00BD3976">
        <w:rPr>
          <w:i/>
        </w:rPr>
        <w:t xml:space="preserve"> </w:t>
      </w:r>
      <w:r w:rsidR="00BD3976">
        <w:t>Supplement at 2</w:t>
      </w:r>
      <w:r w:rsidR="00ED6E72">
        <w:t>.</w:t>
      </w:r>
      <w:r w:rsidR="00DC1559">
        <w:t>”</w:t>
      </w:r>
    </w:p>
    <w:p w:rsidR="002603F9" w:rsidP="0084082E" w14:paraId="2078A8A2" w14:textId="0D483B8F">
      <w:pPr>
        <w:pStyle w:val="ListParagraph"/>
        <w:numPr>
          <w:ilvl w:val="0"/>
          <w:numId w:val="8"/>
        </w:numPr>
        <w:spacing w:after="120"/>
        <w:contextualSpacing w:val="0"/>
      </w:pPr>
      <w:r>
        <w:t>I</w:t>
      </w:r>
      <w:r w:rsidR="00080883">
        <w:t xml:space="preserve">n </w:t>
      </w:r>
      <w:r w:rsidR="00E36DC0">
        <w:t xml:space="preserve">footnote 15, in </w:t>
      </w:r>
      <w:r w:rsidR="00080883">
        <w:t>the last sentence</w:t>
      </w:r>
      <w:r>
        <w:t>, replace “Aug. 13, 2022” with “</w:t>
      </w:r>
      <w:r w:rsidRPr="00345921">
        <w:t>May 13, 2022</w:t>
      </w:r>
      <w:r>
        <w:t>.”</w:t>
      </w:r>
    </w:p>
    <w:p w:rsidR="00C142A7" w:rsidP="0084082E" w14:paraId="446ED273" w14:textId="6C4C70B7">
      <w:pPr>
        <w:pStyle w:val="ListParagraph"/>
        <w:numPr>
          <w:ilvl w:val="0"/>
          <w:numId w:val="8"/>
        </w:numPr>
        <w:spacing w:after="120"/>
        <w:contextualSpacing w:val="0"/>
      </w:pPr>
      <w:r>
        <w:t>In</w:t>
      </w:r>
      <w:r w:rsidR="00C20FFE">
        <w:t xml:space="preserve"> </w:t>
      </w:r>
      <w:r w:rsidR="00E36DC0">
        <w:t xml:space="preserve">footnote 16, in </w:t>
      </w:r>
      <w:r w:rsidR="00C20FFE">
        <w:t>the last sentence</w:t>
      </w:r>
      <w:r>
        <w:t xml:space="preserve">, </w:t>
      </w:r>
      <w:r w:rsidR="00AE5380">
        <w:t>replace “Aug. 13, 2022” with “</w:t>
      </w:r>
      <w:r w:rsidRPr="00345921" w:rsidR="00AE5380">
        <w:t>May 13, 2022</w:t>
      </w:r>
      <w:r w:rsidR="00AE5380">
        <w:t>.”</w:t>
      </w:r>
    </w:p>
    <w:p w:rsidR="00EB3F71" w:rsidRPr="00323A2C" w:rsidP="0084082E" w14:paraId="71ECA44A" w14:textId="72F8B83E">
      <w:pPr>
        <w:pStyle w:val="ListParagraph"/>
        <w:numPr>
          <w:ilvl w:val="0"/>
          <w:numId w:val="8"/>
        </w:numPr>
        <w:spacing w:after="120"/>
        <w:contextualSpacing w:val="0"/>
        <w:rPr>
          <w:iCs/>
          <w:szCs w:val="22"/>
        </w:rPr>
      </w:pPr>
      <w:r>
        <w:t>In</w:t>
      </w:r>
      <w:r w:rsidR="00766558">
        <w:t xml:space="preserve"> footnote 17, in</w:t>
      </w:r>
      <w:r>
        <w:t xml:space="preserve"> </w:t>
      </w:r>
      <w:r w:rsidR="006842EF">
        <w:t>the fourth sentence</w:t>
      </w:r>
      <w:r>
        <w:t xml:space="preserve">, </w:t>
      </w:r>
      <w:r w:rsidR="006842EF">
        <w:t xml:space="preserve">replace </w:t>
      </w:r>
      <w:r w:rsidRPr="0084244A" w:rsidR="006842EF">
        <w:rPr>
          <w:szCs w:val="22"/>
        </w:rPr>
        <w:t>“August 13, 2022”</w:t>
      </w:r>
      <w:r w:rsidRPr="0084244A" w:rsidR="006842EF">
        <w:rPr>
          <w:sz w:val="20"/>
        </w:rPr>
        <w:t xml:space="preserve"> </w:t>
      </w:r>
      <w:r w:rsidRPr="0084244A" w:rsidR="006842EF">
        <w:rPr>
          <w:szCs w:val="22"/>
        </w:rPr>
        <w:t xml:space="preserve">with </w:t>
      </w:r>
      <w:r w:rsidR="006842EF">
        <w:t>“</w:t>
      </w:r>
      <w:r w:rsidRPr="00345921" w:rsidR="006842EF">
        <w:t>May 13, 2022</w:t>
      </w:r>
      <w:r w:rsidR="006842EF">
        <w:t>”</w:t>
      </w:r>
      <w:r w:rsidR="004F4137">
        <w:t>;</w:t>
      </w:r>
      <w:r w:rsidR="0029555D">
        <w:t xml:space="preserve"> </w:t>
      </w:r>
      <w:r w:rsidR="00766558">
        <w:t xml:space="preserve">in </w:t>
      </w:r>
      <w:r w:rsidR="006842EF">
        <w:t>the</w:t>
      </w:r>
      <w:r w:rsidR="00C82799">
        <w:t xml:space="preserve"> fi</w:t>
      </w:r>
      <w:r w:rsidR="00FA4C0F">
        <w:t>f</w:t>
      </w:r>
      <w:r w:rsidR="00C82799">
        <w:t xml:space="preserve">th </w:t>
      </w:r>
      <w:r>
        <w:t>sentence</w:t>
      </w:r>
      <w:r w:rsidR="006842EF">
        <w:t xml:space="preserve">, replace </w:t>
      </w:r>
      <w:r w:rsidRPr="0084244A" w:rsidR="00573DCE">
        <w:rPr>
          <w:szCs w:val="22"/>
        </w:rPr>
        <w:t>“Aug. 13, 2022” with “May 13, 2022”</w:t>
      </w:r>
      <w:r w:rsidR="004F4137">
        <w:rPr>
          <w:szCs w:val="22"/>
        </w:rPr>
        <w:t>;</w:t>
      </w:r>
      <w:r w:rsidRPr="0084244A" w:rsidR="0084244A">
        <w:rPr>
          <w:szCs w:val="22"/>
        </w:rPr>
        <w:t xml:space="preserve"> and </w:t>
      </w:r>
      <w:r w:rsidR="00766558">
        <w:rPr>
          <w:szCs w:val="22"/>
        </w:rPr>
        <w:t xml:space="preserve">in </w:t>
      </w:r>
      <w:r w:rsidR="00F35BDF">
        <w:rPr>
          <w:szCs w:val="22"/>
        </w:rPr>
        <w:t>the last sentence</w:t>
      </w:r>
      <w:r w:rsidRPr="00323A2C" w:rsidR="008743FA">
        <w:rPr>
          <w:szCs w:val="22"/>
        </w:rPr>
        <w:t xml:space="preserve">, </w:t>
      </w:r>
      <w:r w:rsidRPr="00544BE8" w:rsidR="00D07D10">
        <w:rPr>
          <w:szCs w:val="22"/>
        </w:rPr>
        <w:t xml:space="preserve">replace </w:t>
      </w:r>
      <w:r w:rsidRPr="003F678B" w:rsidR="00D07D10">
        <w:rPr>
          <w:szCs w:val="22"/>
        </w:rPr>
        <w:t>“</w:t>
      </w:r>
      <w:r w:rsidRPr="003F678B" w:rsidR="003F678B">
        <w:rPr>
          <w:i/>
          <w:szCs w:val="22"/>
        </w:rPr>
        <w:t xml:space="preserve">See also infra </w:t>
      </w:r>
      <w:r w:rsidRPr="003F678B" w:rsidR="003F678B">
        <w:rPr>
          <w:iCs/>
          <w:szCs w:val="22"/>
        </w:rPr>
        <w:t xml:space="preserve">note </w:t>
      </w:r>
      <w:r w:rsidRPr="003F678B" w:rsidR="00544BE8">
        <w:rPr>
          <w:szCs w:val="22"/>
        </w:rPr>
        <w:t>33</w:t>
      </w:r>
      <w:r w:rsidRPr="003F678B" w:rsidR="00323A2C">
        <w:rPr>
          <w:szCs w:val="22"/>
        </w:rPr>
        <w:t>”</w:t>
      </w:r>
      <w:r w:rsidRPr="003F678B" w:rsidR="00323A2C">
        <w:rPr>
          <w:iCs/>
          <w:szCs w:val="22"/>
        </w:rPr>
        <w:t xml:space="preserve"> with </w:t>
      </w:r>
      <w:r w:rsidRPr="003F678B">
        <w:rPr>
          <w:szCs w:val="22"/>
        </w:rPr>
        <w:t>“</w:t>
      </w:r>
      <w:r w:rsidRPr="003F678B" w:rsidR="003F678B">
        <w:rPr>
          <w:i/>
          <w:szCs w:val="22"/>
        </w:rPr>
        <w:t xml:space="preserve">See also infra </w:t>
      </w:r>
      <w:r w:rsidRPr="003F678B" w:rsidR="003F678B">
        <w:rPr>
          <w:iCs/>
          <w:szCs w:val="22"/>
        </w:rPr>
        <w:t xml:space="preserve">note </w:t>
      </w:r>
      <w:r w:rsidRPr="003F678B" w:rsidR="00DC6097">
        <w:rPr>
          <w:iCs/>
          <w:szCs w:val="22"/>
        </w:rPr>
        <w:t>32.”</w:t>
      </w:r>
    </w:p>
    <w:p w:rsidR="00F35BDF" w:rsidP="0084082E" w14:paraId="4385DE87" w14:textId="11F51066">
      <w:pPr>
        <w:pStyle w:val="ListParagraph"/>
        <w:numPr>
          <w:ilvl w:val="0"/>
          <w:numId w:val="8"/>
        </w:numPr>
        <w:spacing w:after="120"/>
        <w:contextualSpacing w:val="0"/>
        <w:rPr>
          <w:szCs w:val="22"/>
        </w:rPr>
      </w:pPr>
      <w:r w:rsidRPr="00286E1F">
        <w:rPr>
          <w:szCs w:val="22"/>
        </w:rPr>
        <w:t>In</w:t>
      </w:r>
      <w:r w:rsidRPr="00286E1F" w:rsidR="006A2AED">
        <w:rPr>
          <w:szCs w:val="22"/>
        </w:rPr>
        <w:t xml:space="preserve"> </w:t>
      </w:r>
      <w:r w:rsidRPr="00286E1F" w:rsidR="00D06DB8">
        <w:rPr>
          <w:szCs w:val="22"/>
        </w:rPr>
        <w:t>footnote</w:t>
      </w:r>
      <w:r w:rsidR="00D06DB8">
        <w:rPr>
          <w:szCs w:val="22"/>
        </w:rPr>
        <w:t xml:space="preserve"> 23, in </w:t>
      </w:r>
      <w:r w:rsidRPr="00286E1F" w:rsidR="006A2AED">
        <w:rPr>
          <w:szCs w:val="22"/>
        </w:rPr>
        <w:t>the</w:t>
      </w:r>
      <w:r w:rsidR="006A2AED">
        <w:rPr>
          <w:szCs w:val="22"/>
        </w:rPr>
        <w:t xml:space="preserve"> first sentence</w:t>
      </w:r>
      <w:r>
        <w:rPr>
          <w:szCs w:val="22"/>
        </w:rPr>
        <w:t xml:space="preserve">, </w:t>
      </w:r>
      <w:r w:rsidR="006A2AED">
        <w:rPr>
          <w:szCs w:val="22"/>
        </w:rPr>
        <w:t>replace “</w:t>
      </w:r>
      <w:r w:rsidRPr="00F452D4" w:rsidR="006A2AED">
        <w:rPr>
          <w:i/>
          <w:iCs/>
        </w:rPr>
        <w:t xml:space="preserve">Id. </w:t>
      </w:r>
      <w:r w:rsidRPr="00F452D4" w:rsidR="006A2AED">
        <w:t>at 6</w:t>
      </w:r>
      <w:r w:rsidR="006A2AED">
        <w:t>” with “</w:t>
      </w:r>
      <w:r w:rsidRPr="00F452D4" w:rsidR="00FD398D">
        <w:t>Lead Application</w:t>
      </w:r>
      <w:r w:rsidRPr="00F452D4" w:rsidR="00FD398D">
        <w:rPr>
          <w:i/>
          <w:iCs/>
        </w:rPr>
        <w:t xml:space="preserve"> </w:t>
      </w:r>
      <w:r w:rsidRPr="00F452D4" w:rsidR="00FD398D">
        <w:t>at</w:t>
      </w:r>
      <w:r w:rsidR="00FD398D">
        <w:t xml:space="preserve"> 6.”</w:t>
      </w:r>
    </w:p>
    <w:p w:rsidR="00F41118" w:rsidP="0084082E" w14:paraId="4F39AF97" w14:textId="414A8B1E">
      <w:pPr>
        <w:pStyle w:val="ListParagraph"/>
        <w:numPr>
          <w:ilvl w:val="0"/>
          <w:numId w:val="8"/>
        </w:numPr>
        <w:spacing w:after="120"/>
        <w:contextualSpacing w:val="0"/>
        <w:rPr>
          <w:szCs w:val="22"/>
        </w:rPr>
      </w:pPr>
      <w:r>
        <w:rPr>
          <w:szCs w:val="22"/>
        </w:rPr>
        <w:t>Fo</w:t>
      </w:r>
      <w:r w:rsidR="00F55310">
        <w:rPr>
          <w:szCs w:val="22"/>
        </w:rPr>
        <w:t>otnote 32</w:t>
      </w:r>
      <w:r w:rsidR="003C7760">
        <w:rPr>
          <w:szCs w:val="22"/>
        </w:rPr>
        <w:t xml:space="preserve"> is corrected</w:t>
      </w:r>
      <w:r>
        <w:rPr>
          <w:szCs w:val="22"/>
        </w:rPr>
        <w:t xml:space="preserve"> to read as follows:</w:t>
      </w:r>
    </w:p>
    <w:p w:rsidR="00EB3F71" w:rsidRPr="00F16B66" w:rsidP="0084082E" w14:paraId="205F7DB4" w14:textId="7465B6B5">
      <w:pPr>
        <w:pStyle w:val="ListParagraph"/>
        <w:spacing w:after="120"/>
        <w:contextualSpacing w:val="0"/>
        <w:rPr>
          <w:szCs w:val="22"/>
        </w:rPr>
      </w:pPr>
      <w:r>
        <w:rPr>
          <w:szCs w:val="22"/>
        </w:rPr>
        <w:t>“</w:t>
      </w:r>
      <w:r>
        <w:rPr>
          <w:iCs/>
        </w:rPr>
        <w:t>Lead Application</w:t>
      </w:r>
      <w:r w:rsidRPr="00F452D4">
        <w:rPr>
          <w:i/>
          <w:iCs/>
        </w:rPr>
        <w:t xml:space="preserve"> </w:t>
      </w:r>
      <w:r w:rsidRPr="00F452D4">
        <w:t xml:space="preserve">at </w:t>
      </w:r>
      <w:r>
        <w:t xml:space="preserve">4 &amp; </w:t>
      </w:r>
      <w:r w:rsidRPr="00F452D4">
        <w:t>n.8</w:t>
      </w:r>
      <w:r>
        <w:t xml:space="preserve">; </w:t>
      </w:r>
      <w:r>
        <w:rPr>
          <w:i/>
          <w:iCs/>
        </w:rPr>
        <w:t xml:space="preserve">id. </w:t>
      </w:r>
      <w:r w:rsidRPr="00E9336F">
        <w:t>a</w:t>
      </w:r>
      <w:r>
        <w:t xml:space="preserve">t 10; </w:t>
      </w:r>
      <w:r w:rsidRPr="00F452D4">
        <w:t xml:space="preserve">May 2, 2022 Supplement at </w:t>
      </w:r>
      <w:r>
        <w:t xml:space="preserve">1, </w:t>
      </w:r>
      <w:r w:rsidRPr="00F452D4">
        <w:t>n.2</w:t>
      </w:r>
      <w:r>
        <w:t xml:space="preserve">; </w:t>
      </w:r>
      <w:r>
        <w:rPr>
          <w:i/>
        </w:rPr>
        <w:t xml:space="preserve">Pro Forma </w:t>
      </w:r>
      <w:r>
        <w:t xml:space="preserve">Notification at 1-2; May 13, 2022 Supplement at 2-4; </w:t>
      </w:r>
      <w:bookmarkStart w:id="2" w:name="_Hlk102468616"/>
      <w:r>
        <w:rPr>
          <w:i/>
          <w:iCs/>
        </w:rPr>
        <w:t>s</w:t>
      </w:r>
      <w:r w:rsidRPr="00F452D4">
        <w:rPr>
          <w:i/>
          <w:iCs/>
        </w:rPr>
        <w:t>ee</w:t>
      </w:r>
      <w:r w:rsidRPr="00F452D4">
        <w:t xml:space="preserve"> </w:t>
      </w:r>
      <w:r w:rsidRPr="00A21848">
        <w:rPr>
          <w:i/>
          <w:iCs/>
        </w:rPr>
        <w:t>su</w:t>
      </w:r>
      <w:r>
        <w:rPr>
          <w:i/>
          <w:iCs/>
        </w:rPr>
        <w:t xml:space="preserve">pra </w:t>
      </w:r>
      <w:r w:rsidRPr="001465CD">
        <w:t>note 17;</w:t>
      </w:r>
      <w:bookmarkEnd w:id="2"/>
      <w:r>
        <w:t xml:space="preserve"> June 15, 2022 </w:t>
      </w:r>
      <w:r>
        <w:rPr>
          <w:i/>
        </w:rPr>
        <w:t xml:space="preserve">Pro Forma </w:t>
      </w:r>
      <w:r>
        <w:t>Supplement at 1-2 (describing ownership and control of U.S. cable landing stations); June 15, 2022 Transfer of Control</w:t>
      </w:r>
      <w:r>
        <w:rPr>
          <w:i/>
        </w:rPr>
        <w:t xml:space="preserve"> </w:t>
      </w:r>
      <w:r>
        <w:t>Supplement at 2-4 (describing ownership and control of U.S. cable landing stations).”</w:t>
      </w:r>
    </w:p>
    <w:p w:rsidR="00F16B66" w:rsidP="0084082E" w14:paraId="7B237D99" w14:textId="7E86BBC7">
      <w:pPr>
        <w:pStyle w:val="ListParagraph"/>
        <w:numPr>
          <w:ilvl w:val="0"/>
          <w:numId w:val="8"/>
        </w:numPr>
        <w:spacing w:after="120"/>
        <w:contextualSpacing w:val="0"/>
        <w:rPr>
          <w:szCs w:val="22"/>
        </w:rPr>
      </w:pPr>
      <w:r>
        <w:rPr>
          <w:szCs w:val="22"/>
        </w:rPr>
        <w:t>Fo</w:t>
      </w:r>
      <w:r>
        <w:rPr>
          <w:szCs w:val="22"/>
        </w:rPr>
        <w:t>otnote 33</w:t>
      </w:r>
      <w:r>
        <w:rPr>
          <w:szCs w:val="22"/>
        </w:rPr>
        <w:t xml:space="preserve"> is corrected to read as follows</w:t>
      </w:r>
      <w:r>
        <w:rPr>
          <w:szCs w:val="22"/>
        </w:rPr>
        <w:t xml:space="preserve">: </w:t>
      </w:r>
    </w:p>
    <w:p w:rsidR="00F16B66" w:rsidP="0084082E" w14:paraId="1FF05F46" w14:textId="66217D27">
      <w:pPr>
        <w:pStyle w:val="ListParagraph"/>
        <w:spacing w:after="120"/>
        <w:contextualSpacing w:val="0"/>
        <w:rPr>
          <w:szCs w:val="22"/>
        </w:rPr>
      </w:pPr>
      <w:r>
        <w:rPr>
          <w:szCs w:val="22"/>
        </w:rPr>
        <w:t>“</w:t>
      </w:r>
      <w:r w:rsidRPr="00F452D4" w:rsidR="00164B17">
        <w:t>Lead Application</w:t>
      </w:r>
      <w:r w:rsidRPr="00F452D4" w:rsidR="00164B17">
        <w:rPr>
          <w:i/>
          <w:iCs/>
        </w:rPr>
        <w:t xml:space="preserve"> </w:t>
      </w:r>
      <w:r w:rsidRPr="001465CD" w:rsidR="00164B17">
        <w:t>at 10</w:t>
      </w:r>
      <w:r w:rsidRPr="001465CD" w:rsidR="007F71DB">
        <w:t>;</w:t>
      </w:r>
      <w:r w:rsidRPr="001465CD" w:rsidR="00164B17">
        <w:t xml:space="preserve"> June</w:t>
      </w:r>
      <w:r w:rsidR="00164B17">
        <w:t xml:space="preserve"> 15, 2022 Transfer of Control</w:t>
      </w:r>
      <w:r w:rsidR="00164B17">
        <w:rPr>
          <w:i/>
        </w:rPr>
        <w:t xml:space="preserve"> </w:t>
      </w:r>
      <w:r w:rsidR="00164B17">
        <w:t>Supplement at 2-4 (describing ownership and control of U.S. cable landing stations).”</w:t>
      </w:r>
    </w:p>
    <w:p w:rsidR="00F16B66" w:rsidP="0084082E" w14:paraId="2C67EA77" w14:textId="6E7FA4C0">
      <w:pPr>
        <w:pStyle w:val="ListParagraph"/>
        <w:numPr>
          <w:ilvl w:val="0"/>
          <w:numId w:val="8"/>
        </w:numPr>
        <w:spacing w:after="120"/>
        <w:contextualSpacing w:val="0"/>
        <w:rPr>
          <w:szCs w:val="22"/>
        </w:rPr>
      </w:pPr>
      <w:r>
        <w:rPr>
          <w:szCs w:val="22"/>
        </w:rPr>
        <w:t>P</w:t>
      </w:r>
      <w:r w:rsidR="0073786E">
        <w:rPr>
          <w:szCs w:val="22"/>
        </w:rPr>
        <w:t>aragraph</w:t>
      </w:r>
      <w:r w:rsidR="00ED5D2E">
        <w:rPr>
          <w:szCs w:val="22"/>
        </w:rPr>
        <w:t xml:space="preserve"> 12</w:t>
      </w:r>
      <w:r w:rsidR="0073786E">
        <w:rPr>
          <w:szCs w:val="22"/>
        </w:rPr>
        <w:t>, on page 7</w:t>
      </w:r>
      <w:r w:rsidR="00ED5D2E">
        <w:rPr>
          <w:szCs w:val="22"/>
        </w:rPr>
        <w:t xml:space="preserve">, </w:t>
      </w:r>
      <w:r>
        <w:rPr>
          <w:szCs w:val="22"/>
        </w:rPr>
        <w:t>is corrected to read as follows:</w:t>
      </w:r>
    </w:p>
    <w:p w:rsidR="00FF2787" w:rsidP="0084082E" w14:paraId="4D658C1A" w14:textId="28B4F723">
      <w:pPr>
        <w:pStyle w:val="ListParagraph"/>
        <w:spacing w:after="120"/>
        <w:contextualSpacing w:val="0"/>
        <w:rPr>
          <w:szCs w:val="22"/>
        </w:rPr>
      </w:pPr>
      <w:r>
        <w:rPr>
          <w:szCs w:val="22"/>
        </w:rPr>
        <w:t>“</w:t>
      </w:r>
      <w:r w:rsidRPr="00B64D5D" w:rsidR="006C4FB2">
        <w:rPr>
          <w:rFonts w:ascii="TimesNewRomanPSMT" w:hAnsi="TimesNewRomanPSMT" w:cs="TimesNewRomanPSMT"/>
          <w:snapToGrid/>
          <w:kern w:val="0"/>
          <w:szCs w:val="22"/>
        </w:rPr>
        <w:t xml:space="preserve">In the </w:t>
      </w:r>
      <w:r w:rsidR="006C4FB2">
        <w:rPr>
          <w:rFonts w:ascii="TimesNewRomanPSMT" w:hAnsi="TimesNewRomanPSMT" w:cs="TimesNewRomanPSMT"/>
          <w:snapToGrid/>
          <w:kern w:val="0"/>
          <w:szCs w:val="22"/>
        </w:rPr>
        <w:t xml:space="preserve">June 28 </w:t>
      </w:r>
      <w:r w:rsidRPr="00B64D5D" w:rsidR="006C4FB2">
        <w:rPr>
          <w:rFonts w:ascii="TimesNewRomanPSMT" w:hAnsi="TimesNewRomanPSMT" w:cs="TimesNewRomanPSMT"/>
          <w:snapToGrid/>
          <w:kern w:val="0"/>
          <w:szCs w:val="22"/>
        </w:rPr>
        <w:t>Committee Petition, the Committee advises the Commission that it has no objection to the Commission granting the Applications</w:t>
      </w:r>
      <w:r w:rsidR="006C4FB2">
        <w:rPr>
          <w:rFonts w:ascii="TimesNewRomanPSMT" w:hAnsi="TimesNewRomanPSMT" w:cs="TimesNewRomanPSMT"/>
          <w:snapToGrid/>
          <w:kern w:val="0"/>
          <w:szCs w:val="22"/>
        </w:rPr>
        <w:t>,</w:t>
      </w:r>
      <w:r w:rsidRPr="00B64D5D" w:rsidR="006C4FB2">
        <w:rPr>
          <w:rFonts w:ascii="TimesNewRomanPSMT" w:hAnsi="TimesNewRomanPSMT" w:cs="TimesNewRomanPSMT"/>
          <w:snapToGrid/>
          <w:kern w:val="0"/>
          <w:szCs w:val="22"/>
        </w:rPr>
        <w:t xml:space="preserve"> “provided that the Commission conditions its approval on the assurance of </w:t>
      </w:r>
      <w:r w:rsidR="006C4FB2">
        <w:rPr>
          <w:rFonts w:ascii="TimesNewRomanPSMT" w:hAnsi="TimesNewRomanPSMT" w:cs="TimesNewRomanPSMT"/>
          <w:snapToGrid/>
          <w:kern w:val="0"/>
          <w:szCs w:val="22"/>
        </w:rPr>
        <w:t xml:space="preserve">the applicants </w:t>
      </w:r>
      <w:r w:rsidRPr="001465CD" w:rsidR="006C4FB2">
        <w:rPr>
          <w:rFonts w:ascii="TimesNewRomanPSMT" w:hAnsi="TimesNewRomanPSMT" w:cs="TimesNewRomanPSMT"/>
          <w:snapToGrid/>
          <w:kern w:val="0"/>
          <w:szCs w:val="22"/>
        </w:rPr>
        <w:t xml:space="preserve">– [GCAS, Patagonia Holdco, and </w:t>
      </w:r>
      <w:r w:rsidRPr="001465CD" w:rsidR="006C4FB2">
        <w:rPr>
          <w:rFonts w:ascii="TimesNewRomanPSMT" w:hAnsi="TimesNewRomanPSMT" w:cs="TimesNewRomanPSMT"/>
          <w:snapToGrid/>
          <w:kern w:val="0"/>
          <w:szCs w:val="22"/>
        </w:rPr>
        <w:t>CLAS]</w:t>
      </w:r>
      <w:r w:rsidRPr="00DF6074" w:rsidR="006C4FB2">
        <w:rPr>
          <w:rFonts w:ascii="TimesNewRomanPSMT" w:hAnsi="TimesNewRomanPSMT" w:cs="TimesNewRomanPSMT"/>
          <w:snapToGrid/>
          <w:kern w:val="0"/>
          <w:szCs w:val="22"/>
        </w:rPr>
        <w:t xml:space="preserve"> (collectively, the </w:t>
      </w:r>
      <w:r w:rsidR="006C4FB2">
        <w:rPr>
          <w:rFonts w:ascii="TimesNewRomanPSMT" w:hAnsi="TimesNewRomanPSMT" w:cs="TimesNewRomanPSMT"/>
          <w:snapToGrid/>
          <w:kern w:val="0"/>
          <w:szCs w:val="22"/>
        </w:rPr>
        <w:t>‘</w:t>
      </w:r>
      <w:r w:rsidRPr="00DF6074" w:rsidR="006C4FB2">
        <w:rPr>
          <w:rFonts w:ascii="TimesNewRomanPSMT" w:hAnsi="TimesNewRomanPSMT" w:cs="TimesNewRomanPSMT"/>
          <w:snapToGrid/>
          <w:kern w:val="0"/>
          <w:szCs w:val="22"/>
        </w:rPr>
        <w:t>Parties</w:t>
      </w:r>
      <w:r w:rsidR="006C4FB2">
        <w:rPr>
          <w:rFonts w:ascii="TimesNewRomanPSMT" w:hAnsi="TimesNewRomanPSMT" w:cs="TimesNewRomanPSMT"/>
          <w:snapToGrid/>
          <w:kern w:val="0"/>
          <w:szCs w:val="22"/>
        </w:rPr>
        <w:t>’</w:t>
      </w:r>
      <w:r w:rsidRPr="00DF6074" w:rsidR="006C4FB2">
        <w:rPr>
          <w:rFonts w:ascii="TimesNewRomanPSMT" w:hAnsi="TimesNewRomanPSMT" w:cs="TimesNewRomanPSMT"/>
          <w:snapToGrid/>
          <w:kern w:val="0"/>
          <w:szCs w:val="22"/>
        </w:rPr>
        <w:t>)</w:t>
      </w:r>
      <w:r w:rsidRPr="009E39C3" w:rsidR="006C4FB2">
        <w:rPr>
          <w:rFonts w:ascii="TimesNewRomanPSMT" w:hAnsi="TimesNewRomanPSMT" w:cs="TimesNewRomanPSMT"/>
          <w:snapToGrid/>
          <w:kern w:val="0"/>
          <w:szCs w:val="22"/>
        </w:rPr>
        <w:t xml:space="preserve"> to abide by the commitments and undertakings set forth in the April 21, 2022, </w:t>
      </w:r>
      <w:r w:rsidRPr="00EC453E" w:rsidR="006C4FB2">
        <w:rPr>
          <w:rFonts w:ascii="TimesNewRomanPSMT" w:hAnsi="TimesNewRomanPSMT" w:cs="TimesNewRomanPSMT"/>
          <w:snapToGrid/>
          <w:kern w:val="0"/>
          <w:szCs w:val="22"/>
        </w:rPr>
        <w:t>Letters of Agreement (LOAs)” attached to the Committee Petition</w:t>
      </w:r>
      <w:r w:rsidR="006C4FB2">
        <w:rPr>
          <w:rFonts w:ascii="TimesNewRomanPSMT" w:hAnsi="TimesNewRomanPSMT" w:cs="TimesNewRomanPSMT"/>
          <w:snapToGrid/>
          <w:kern w:val="0"/>
          <w:szCs w:val="22"/>
        </w:rPr>
        <w:t>.</w:t>
      </w:r>
      <w:r w:rsidRPr="006C4FB2" w:rsidR="006C4FB2">
        <w:rPr>
          <w:rFonts w:ascii="TimesNewRomanPSMT" w:hAnsi="TimesNewRomanPSMT" w:cs="TimesNewRomanPSMT"/>
          <w:snapToGrid/>
          <w:kern w:val="0"/>
          <w:szCs w:val="22"/>
          <w:vertAlign w:val="superscript"/>
        </w:rPr>
        <w:t>45</w:t>
      </w:r>
      <w:r w:rsidR="006C4FB2">
        <w:rPr>
          <w:rFonts w:ascii="TimesNewRomanPSMT" w:hAnsi="TimesNewRomanPSMT" w:cs="TimesNewRomanPSMT"/>
          <w:snapToGrid/>
          <w:kern w:val="0"/>
          <w:szCs w:val="22"/>
        </w:rPr>
        <w:t>”</w:t>
      </w:r>
    </w:p>
    <w:p w:rsidR="00B923BB" w:rsidP="00B91E41" w14:paraId="4B6327EF" w14:textId="77777777">
      <w:pPr>
        <w:spacing w:after="120"/>
      </w:pPr>
    </w:p>
    <w:p w:rsidR="00B923BB" w:rsidP="00B91E41" w14:paraId="35FFE6D3" w14:textId="77777777">
      <w:pPr>
        <w:jc w:val="center"/>
      </w:pPr>
      <w:r>
        <w:t xml:space="preserve">- </w:t>
      </w:r>
      <w:r>
        <w:rPr>
          <w:b/>
        </w:rPr>
        <w:t>FCC</w:t>
      </w:r>
      <w:r>
        <w:t xml:space="preserve"> -</w:t>
      </w:r>
    </w:p>
    <w:p w:rsidR="00CE47F5" w14:paraId="3546EED1" w14:textId="77777777"/>
    <w:sectPr>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3BB" w14:paraId="4BB830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B923BB" w14:paraId="7437D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3BB" w14:paraId="3096D2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3BB" w14:paraId="6F7C39A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3BB" w14:paraId="4E98CCB1" w14:textId="62C0CF08">
    <w:pPr>
      <w:tabs>
        <w:tab w:val="center" w:pos="4680"/>
        <w:tab w:val="right" w:pos="9360"/>
      </w:tabs>
    </w:pPr>
    <w:r>
      <w:rPr>
        <w:b/>
      </w:rPr>
      <w:tab/>
      <w:t>Federal Communications Commission</w:t>
    </w:r>
    <w:r>
      <w:rPr>
        <w:b/>
      </w:rPr>
      <w:tab/>
    </w:r>
  </w:p>
  <w:p w:rsidR="00B923BB" w14:paraId="56F1910B" w14:textId="68AABF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923BB" w14:paraId="0C563E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3BB" w14:paraId="5CB1128C" w14:textId="25C2C9A0">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4115B"/>
    <w:multiLevelType w:val="hybridMultilevel"/>
    <w:tmpl w:val="6332E2B8"/>
    <w:lvl w:ilvl="0">
      <w:start w:val="1"/>
      <w:numFmt w:val="decimal"/>
      <w:lvlText w:val="%1."/>
      <w:lvlJc w:val="left"/>
      <w:pPr>
        <w:tabs>
          <w:tab w:val="num" w:pos="720"/>
        </w:tabs>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F5"/>
    <w:rsid w:val="00037949"/>
    <w:rsid w:val="00044D45"/>
    <w:rsid w:val="00056364"/>
    <w:rsid w:val="000756B1"/>
    <w:rsid w:val="00080883"/>
    <w:rsid w:val="00087B27"/>
    <w:rsid w:val="00091788"/>
    <w:rsid w:val="00095808"/>
    <w:rsid w:val="000D74C9"/>
    <w:rsid w:val="000E4611"/>
    <w:rsid w:val="00100B32"/>
    <w:rsid w:val="001350CB"/>
    <w:rsid w:val="00142C8D"/>
    <w:rsid w:val="001465CD"/>
    <w:rsid w:val="00164B17"/>
    <w:rsid w:val="001C70E6"/>
    <w:rsid w:val="001D5759"/>
    <w:rsid w:val="00200CC7"/>
    <w:rsid w:val="00203E88"/>
    <w:rsid w:val="00211019"/>
    <w:rsid w:val="00216E8A"/>
    <w:rsid w:val="00252B2A"/>
    <w:rsid w:val="00257783"/>
    <w:rsid w:val="002603F9"/>
    <w:rsid w:val="00286E1F"/>
    <w:rsid w:val="0029555D"/>
    <w:rsid w:val="002B2A3D"/>
    <w:rsid w:val="002B42BD"/>
    <w:rsid w:val="002C2F5A"/>
    <w:rsid w:val="002D3758"/>
    <w:rsid w:val="00305083"/>
    <w:rsid w:val="00307030"/>
    <w:rsid w:val="003166AD"/>
    <w:rsid w:val="00316E57"/>
    <w:rsid w:val="00323A2C"/>
    <w:rsid w:val="00345921"/>
    <w:rsid w:val="00377F72"/>
    <w:rsid w:val="00397933"/>
    <w:rsid w:val="003A0CE6"/>
    <w:rsid w:val="003C7760"/>
    <w:rsid w:val="003F678B"/>
    <w:rsid w:val="004264DE"/>
    <w:rsid w:val="00434914"/>
    <w:rsid w:val="00490A01"/>
    <w:rsid w:val="004928CD"/>
    <w:rsid w:val="004C00F7"/>
    <w:rsid w:val="004E6AAE"/>
    <w:rsid w:val="004F4137"/>
    <w:rsid w:val="00530166"/>
    <w:rsid w:val="00544BE8"/>
    <w:rsid w:val="005532CE"/>
    <w:rsid w:val="005731A5"/>
    <w:rsid w:val="00573DCE"/>
    <w:rsid w:val="00584B6A"/>
    <w:rsid w:val="005A3D32"/>
    <w:rsid w:val="005C355B"/>
    <w:rsid w:val="005E02AF"/>
    <w:rsid w:val="00613CF4"/>
    <w:rsid w:val="00651D2D"/>
    <w:rsid w:val="00681968"/>
    <w:rsid w:val="00681EF7"/>
    <w:rsid w:val="006842EF"/>
    <w:rsid w:val="00690C10"/>
    <w:rsid w:val="00693B89"/>
    <w:rsid w:val="00695A3C"/>
    <w:rsid w:val="006A2AED"/>
    <w:rsid w:val="006A7A34"/>
    <w:rsid w:val="006C4FB2"/>
    <w:rsid w:val="006F22C3"/>
    <w:rsid w:val="0072574A"/>
    <w:rsid w:val="0073786E"/>
    <w:rsid w:val="0075224A"/>
    <w:rsid w:val="00766558"/>
    <w:rsid w:val="00795C73"/>
    <w:rsid w:val="007A2126"/>
    <w:rsid w:val="007A4EB8"/>
    <w:rsid w:val="007E0B0E"/>
    <w:rsid w:val="007E242B"/>
    <w:rsid w:val="007F0CC8"/>
    <w:rsid w:val="007F71DB"/>
    <w:rsid w:val="008069DB"/>
    <w:rsid w:val="0084082E"/>
    <w:rsid w:val="0084244A"/>
    <w:rsid w:val="00864521"/>
    <w:rsid w:val="008724BB"/>
    <w:rsid w:val="008743FA"/>
    <w:rsid w:val="00882842"/>
    <w:rsid w:val="008F4ED0"/>
    <w:rsid w:val="009075A8"/>
    <w:rsid w:val="009120A2"/>
    <w:rsid w:val="00920E1E"/>
    <w:rsid w:val="00920F55"/>
    <w:rsid w:val="00921A39"/>
    <w:rsid w:val="009302FA"/>
    <w:rsid w:val="00951506"/>
    <w:rsid w:val="0095314B"/>
    <w:rsid w:val="00964F96"/>
    <w:rsid w:val="009679F4"/>
    <w:rsid w:val="009C32A8"/>
    <w:rsid w:val="009D450D"/>
    <w:rsid w:val="009E2A31"/>
    <w:rsid w:val="009E39C3"/>
    <w:rsid w:val="009E782F"/>
    <w:rsid w:val="009F77EB"/>
    <w:rsid w:val="00A041A1"/>
    <w:rsid w:val="00A15E1E"/>
    <w:rsid w:val="00A21848"/>
    <w:rsid w:val="00A21A39"/>
    <w:rsid w:val="00A412F9"/>
    <w:rsid w:val="00A92E7B"/>
    <w:rsid w:val="00AD641F"/>
    <w:rsid w:val="00AE02EA"/>
    <w:rsid w:val="00AE5380"/>
    <w:rsid w:val="00AF0E5E"/>
    <w:rsid w:val="00B17836"/>
    <w:rsid w:val="00B25F0A"/>
    <w:rsid w:val="00B40AD1"/>
    <w:rsid w:val="00B55620"/>
    <w:rsid w:val="00B64D5D"/>
    <w:rsid w:val="00B6654A"/>
    <w:rsid w:val="00B66C1C"/>
    <w:rsid w:val="00B904AD"/>
    <w:rsid w:val="00B91E41"/>
    <w:rsid w:val="00B923BB"/>
    <w:rsid w:val="00BC43BC"/>
    <w:rsid w:val="00BD3976"/>
    <w:rsid w:val="00BE3AC2"/>
    <w:rsid w:val="00BE6085"/>
    <w:rsid w:val="00BF7E4B"/>
    <w:rsid w:val="00C142A7"/>
    <w:rsid w:val="00C20FFE"/>
    <w:rsid w:val="00C445F0"/>
    <w:rsid w:val="00C4494D"/>
    <w:rsid w:val="00C807E9"/>
    <w:rsid w:val="00C82799"/>
    <w:rsid w:val="00C8480D"/>
    <w:rsid w:val="00CA157A"/>
    <w:rsid w:val="00CA59F8"/>
    <w:rsid w:val="00CE47F5"/>
    <w:rsid w:val="00D06DB8"/>
    <w:rsid w:val="00D07D10"/>
    <w:rsid w:val="00D10424"/>
    <w:rsid w:val="00D579D7"/>
    <w:rsid w:val="00D750F7"/>
    <w:rsid w:val="00D771CB"/>
    <w:rsid w:val="00DA2EBE"/>
    <w:rsid w:val="00DA68B6"/>
    <w:rsid w:val="00DB0147"/>
    <w:rsid w:val="00DB5C68"/>
    <w:rsid w:val="00DC1559"/>
    <w:rsid w:val="00DC6097"/>
    <w:rsid w:val="00DD6E12"/>
    <w:rsid w:val="00DD7D7D"/>
    <w:rsid w:val="00DF6074"/>
    <w:rsid w:val="00E2188C"/>
    <w:rsid w:val="00E31FF1"/>
    <w:rsid w:val="00E36DC0"/>
    <w:rsid w:val="00E53501"/>
    <w:rsid w:val="00E5519A"/>
    <w:rsid w:val="00E9336F"/>
    <w:rsid w:val="00E94267"/>
    <w:rsid w:val="00EA215D"/>
    <w:rsid w:val="00EB3F71"/>
    <w:rsid w:val="00EC453E"/>
    <w:rsid w:val="00ED1D8C"/>
    <w:rsid w:val="00ED3949"/>
    <w:rsid w:val="00ED5D2E"/>
    <w:rsid w:val="00ED6E72"/>
    <w:rsid w:val="00EF0513"/>
    <w:rsid w:val="00EF0A8E"/>
    <w:rsid w:val="00EF67B4"/>
    <w:rsid w:val="00F02769"/>
    <w:rsid w:val="00F1587F"/>
    <w:rsid w:val="00F16B66"/>
    <w:rsid w:val="00F32810"/>
    <w:rsid w:val="00F35BDF"/>
    <w:rsid w:val="00F41118"/>
    <w:rsid w:val="00F452D4"/>
    <w:rsid w:val="00F55310"/>
    <w:rsid w:val="00F672DE"/>
    <w:rsid w:val="00F82493"/>
    <w:rsid w:val="00F931B0"/>
    <w:rsid w:val="00FA3A94"/>
    <w:rsid w:val="00FA4C0F"/>
    <w:rsid w:val="00FC06FF"/>
    <w:rsid w:val="00FD398D"/>
    <w:rsid w:val="00FD407B"/>
    <w:rsid w:val="00FE141B"/>
    <w:rsid w:val="00FE37E2"/>
    <w:rsid w:val="00FE5C16"/>
    <w:rsid w:val="00FE78F4"/>
    <w:rsid w:val="00FF2787"/>
    <w:rsid w:val="00FF3E6B"/>
    <w:rsid w:val="00FF69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11DB88"/>
  <w15:chartTrackingRefBased/>
  <w15:docId w15:val="{3B5A9586-4FDC-4B19-9E47-058482FB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4082E"/>
    <w:pPr>
      <w:widowControl w:val="0"/>
    </w:pPr>
    <w:rPr>
      <w:snapToGrid w:val="0"/>
      <w:kern w:val="28"/>
      <w:sz w:val="22"/>
    </w:rPr>
  </w:style>
  <w:style w:type="paragraph" w:styleId="Heading1">
    <w:name w:val="heading 1"/>
    <w:basedOn w:val="Normal"/>
    <w:next w:val="ParaNum"/>
    <w:qFormat/>
    <w:rsid w:val="0084082E"/>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082E"/>
    <w:pPr>
      <w:keepNext/>
      <w:numPr>
        <w:ilvl w:val="1"/>
        <w:numId w:val="7"/>
      </w:numPr>
      <w:spacing w:after="120"/>
      <w:outlineLvl w:val="1"/>
    </w:pPr>
    <w:rPr>
      <w:b/>
    </w:rPr>
  </w:style>
  <w:style w:type="paragraph" w:styleId="Heading3">
    <w:name w:val="heading 3"/>
    <w:basedOn w:val="Normal"/>
    <w:next w:val="ParaNum"/>
    <w:qFormat/>
    <w:rsid w:val="0084082E"/>
    <w:pPr>
      <w:keepNext/>
      <w:numPr>
        <w:ilvl w:val="2"/>
        <w:numId w:val="7"/>
      </w:numPr>
      <w:tabs>
        <w:tab w:val="left" w:pos="2160"/>
      </w:tabs>
      <w:spacing w:after="120"/>
      <w:outlineLvl w:val="2"/>
    </w:pPr>
    <w:rPr>
      <w:b/>
    </w:rPr>
  </w:style>
  <w:style w:type="paragraph" w:styleId="Heading4">
    <w:name w:val="heading 4"/>
    <w:basedOn w:val="Normal"/>
    <w:next w:val="ParaNum"/>
    <w:qFormat/>
    <w:rsid w:val="0084082E"/>
    <w:pPr>
      <w:keepNext/>
      <w:numPr>
        <w:ilvl w:val="3"/>
        <w:numId w:val="7"/>
      </w:numPr>
      <w:tabs>
        <w:tab w:val="left" w:pos="2880"/>
      </w:tabs>
      <w:spacing w:after="120"/>
      <w:outlineLvl w:val="3"/>
    </w:pPr>
    <w:rPr>
      <w:b/>
    </w:rPr>
  </w:style>
  <w:style w:type="paragraph" w:styleId="Heading5">
    <w:name w:val="heading 5"/>
    <w:basedOn w:val="Normal"/>
    <w:next w:val="ParaNum"/>
    <w:qFormat/>
    <w:rsid w:val="0084082E"/>
    <w:pPr>
      <w:keepNext/>
      <w:numPr>
        <w:ilvl w:val="4"/>
        <w:numId w:val="7"/>
      </w:numPr>
      <w:tabs>
        <w:tab w:val="left" w:pos="3600"/>
        <w:tab w:val="clear" w:pos="3960"/>
      </w:tabs>
      <w:suppressAutoHyphens/>
      <w:spacing w:after="120"/>
      <w:outlineLvl w:val="4"/>
    </w:pPr>
    <w:rPr>
      <w:b/>
    </w:rPr>
  </w:style>
  <w:style w:type="paragraph" w:styleId="Heading6">
    <w:name w:val="heading 6"/>
    <w:basedOn w:val="Normal"/>
    <w:next w:val="ParaNum"/>
    <w:qFormat/>
    <w:rsid w:val="0084082E"/>
    <w:pPr>
      <w:numPr>
        <w:ilvl w:val="5"/>
        <w:numId w:val="7"/>
      </w:numPr>
      <w:tabs>
        <w:tab w:val="left" w:pos="4320"/>
      </w:tabs>
      <w:spacing w:after="120"/>
      <w:outlineLvl w:val="5"/>
    </w:pPr>
    <w:rPr>
      <w:b/>
    </w:rPr>
  </w:style>
  <w:style w:type="paragraph" w:styleId="Heading7">
    <w:name w:val="heading 7"/>
    <w:basedOn w:val="Normal"/>
    <w:next w:val="ParaNum"/>
    <w:qFormat/>
    <w:rsid w:val="0084082E"/>
    <w:pPr>
      <w:numPr>
        <w:ilvl w:val="7"/>
        <w:numId w:val="7"/>
      </w:numPr>
      <w:tabs>
        <w:tab w:val="left" w:pos="5040"/>
        <w:tab w:val="clear" w:pos="5400"/>
      </w:tabs>
      <w:spacing w:after="120"/>
      <w:ind w:hanging="720"/>
      <w:outlineLvl w:val="6"/>
    </w:pPr>
    <w:rPr>
      <w:b/>
    </w:rPr>
  </w:style>
  <w:style w:type="paragraph" w:styleId="Heading8">
    <w:name w:val="heading 8"/>
    <w:basedOn w:val="Normal"/>
    <w:next w:val="ParaNum"/>
    <w:qFormat/>
    <w:rsid w:val="008408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082E"/>
    <w:pPr>
      <w:numPr>
        <w:ilvl w:val="8"/>
        <w:numId w:val="7"/>
      </w:numPr>
      <w:tabs>
        <w:tab w:val="left" w:pos="6480"/>
      </w:tabs>
      <w:spacing w:after="120"/>
      <w:ind w:left="6480" w:hanging="720"/>
      <w:outlineLvl w:val="8"/>
    </w:pPr>
    <w:rPr>
      <w:b/>
    </w:rPr>
  </w:style>
  <w:style w:type="character" w:default="1" w:styleId="DefaultParagraphFont">
    <w:name w:val="Default Paragraph Font"/>
    <w:semiHidden/>
    <w:rsid w:val="008408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4082E"/>
  </w:style>
  <w:style w:type="paragraph" w:customStyle="1" w:styleId="ParaNum">
    <w:name w:val="ParaNum"/>
    <w:basedOn w:val="Normal"/>
    <w:rsid w:val="0084082E"/>
    <w:pPr>
      <w:numPr>
        <w:numId w:val="2"/>
      </w:numPr>
      <w:tabs>
        <w:tab w:val="clear" w:pos="1080"/>
        <w:tab w:val="num" w:pos="1440"/>
      </w:tabs>
      <w:spacing w:after="120"/>
    </w:pPr>
  </w:style>
  <w:style w:type="paragraph" w:styleId="EndnoteText">
    <w:name w:val="endnote text"/>
    <w:basedOn w:val="Normal"/>
    <w:semiHidden/>
    <w:rsid w:val="0084082E"/>
    <w:rPr>
      <w:sz w:val="20"/>
    </w:rPr>
  </w:style>
  <w:style w:type="character" w:styleId="EndnoteReference">
    <w:name w:val="endnote reference"/>
    <w:semiHidden/>
    <w:rsid w:val="0084082E"/>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84082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4082E"/>
    <w:rPr>
      <w:rFonts w:ascii="Times New Roman" w:hAnsi="Times New Roman"/>
      <w:dstrike w:val="0"/>
      <w:color w:val="auto"/>
      <w:sz w:val="22"/>
      <w:vertAlign w:val="superscript"/>
    </w:rPr>
  </w:style>
  <w:style w:type="paragraph" w:styleId="TOC1">
    <w:name w:val="toc 1"/>
    <w:basedOn w:val="Normal"/>
    <w:next w:val="Normal"/>
    <w:uiPriority w:val="39"/>
    <w:rsid w:val="008408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082E"/>
    <w:pPr>
      <w:tabs>
        <w:tab w:val="left" w:pos="720"/>
        <w:tab w:val="right" w:leader="dot" w:pos="9360"/>
      </w:tabs>
      <w:suppressAutoHyphens/>
      <w:ind w:left="720" w:right="720" w:hanging="360"/>
    </w:pPr>
    <w:rPr>
      <w:noProof/>
    </w:rPr>
  </w:style>
  <w:style w:type="paragraph" w:styleId="TOC3">
    <w:name w:val="toc 3"/>
    <w:basedOn w:val="Normal"/>
    <w:next w:val="Normal"/>
    <w:semiHidden/>
    <w:rsid w:val="008408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08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08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08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08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08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08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082E"/>
    <w:pPr>
      <w:tabs>
        <w:tab w:val="right" w:pos="9360"/>
      </w:tabs>
      <w:suppressAutoHyphens/>
    </w:pPr>
  </w:style>
  <w:style w:type="character" w:customStyle="1" w:styleId="EquationCaption">
    <w:name w:val="_Equation Caption"/>
    <w:rsid w:val="0084082E"/>
  </w:style>
  <w:style w:type="paragraph" w:styleId="Header">
    <w:name w:val="header"/>
    <w:basedOn w:val="Normal"/>
    <w:autoRedefine/>
    <w:rsid w:val="0084082E"/>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84082E"/>
    <w:pPr>
      <w:tabs>
        <w:tab w:val="center" w:pos="4320"/>
        <w:tab w:val="right" w:pos="8640"/>
      </w:tabs>
    </w:pPr>
  </w:style>
  <w:style w:type="character" w:styleId="PageNumber">
    <w:name w:val="page number"/>
    <w:basedOn w:val="DefaultParagraphFont"/>
    <w:rsid w:val="0084082E"/>
  </w:style>
  <w:style w:type="paragraph" w:styleId="BlockText">
    <w:name w:val="Block Text"/>
    <w:basedOn w:val="Normal"/>
    <w:rsid w:val="0084082E"/>
    <w:pPr>
      <w:spacing w:after="240"/>
      <w:ind w:left="1440" w:right="1440"/>
    </w:pPr>
  </w:style>
  <w:style w:type="paragraph" w:customStyle="1" w:styleId="Paratitle">
    <w:name w:val="Para title"/>
    <w:basedOn w:val="Normal"/>
    <w:rsid w:val="0084082E"/>
    <w:pPr>
      <w:tabs>
        <w:tab w:val="center" w:pos="9270"/>
      </w:tabs>
      <w:spacing w:after="240"/>
    </w:pPr>
    <w:rPr>
      <w:spacing w:val="-2"/>
    </w:rPr>
  </w:style>
  <w:style w:type="paragraph" w:customStyle="1" w:styleId="Bullet">
    <w:name w:val="Bullet"/>
    <w:basedOn w:val="Normal"/>
    <w:rsid w:val="0084082E"/>
    <w:pPr>
      <w:numPr>
        <w:numId w:val="1"/>
      </w:numPr>
      <w:tabs>
        <w:tab w:val="clear" w:pos="360"/>
        <w:tab w:val="left" w:pos="2160"/>
      </w:tabs>
      <w:spacing w:after="220"/>
      <w:ind w:left="2160" w:hanging="720"/>
    </w:pPr>
  </w:style>
  <w:style w:type="paragraph" w:customStyle="1" w:styleId="TableFormat">
    <w:name w:val="TableFormat"/>
    <w:basedOn w:val="Bullet"/>
    <w:rsid w:val="0084082E"/>
    <w:pPr>
      <w:numPr>
        <w:numId w:val="0"/>
      </w:numPr>
      <w:tabs>
        <w:tab w:val="clear" w:pos="2160"/>
        <w:tab w:val="left" w:pos="5040"/>
      </w:tabs>
      <w:ind w:left="5040" w:hanging="3600"/>
    </w:pPr>
  </w:style>
  <w:style w:type="paragraph" w:customStyle="1" w:styleId="TOCTitle">
    <w:name w:val="TOC Title"/>
    <w:basedOn w:val="Normal"/>
    <w:rsid w:val="008408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082E"/>
    <w:pPr>
      <w:jc w:val="center"/>
    </w:pPr>
    <w:rPr>
      <w:rFonts w:ascii="Times New Roman Bold" w:hAnsi="Times New Roman Bold"/>
      <w:b/>
      <w:bCs/>
      <w:caps/>
      <w:szCs w:val="22"/>
    </w:rPr>
  </w:style>
  <w:style w:type="character" w:styleId="Hyperlink">
    <w:name w:val="Hyperlink"/>
    <w:rsid w:val="0084082E"/>
    <w:rPr>
      <w:color w:val="0000FF"/>
      <w:u w:val="single"/>
    </w:rPr>
  </w:style>
  <w:style w:type="character" w:customStyle="1" w:styleId="FooterChar">
    <w:name w:val="Footer Char"/>
    <w:link w:val="Footer"/>
    <w:uiPriority w:val="99"/>
    <w:rsid w:val="0084082E"/>
    <w:rPr>
      <w:snapToGrid w:val="0"/>
      <w:kern w:val="28"/>
      <w:sz w:val="22"/>
    </w:rPr>
  </w:style>
  <w:style w:type="character" w:customStyle="1" w:styleId="UnresolvedMention">
    <w:name w:val="Unresolved Mention"/>
    <w:uiPriority w:val="99"/>
    <w:semiHidden/>
    <w:unhideWhenUsed/>
    <w:rsid w:val="0084082E"/>
    <w:rPr>
      <w:color w:val="605E5C"/>
      <w:shd w:val="clear" w:color="auto" w:fill="E1DFDD"/>
    </w:rPr>
  </w:style>
  <w:style w:type="paragraph" w:styleId="ListParagraph">
    <w:name w:val="List Paragraph"/>
    <w:basedOn w:val="Normal"/>
    <w:uiPriority w:val="34"/>
    <w:qFormat/>
    <w:rsid w:val="00FF69F3"/>
    <w:pPr>
      <w:ind w:left="720"/>
      <w:contextualSpacing/>
    </w:pPr>
  </w:style>
  <w:style w:type="character" w:styleId="CommentReference">
    <w:name w:val="annotation reference"/>
    <w:basedOn w:val="DefaultParagraphFont"/>
    <w:uiPriority w:val="99"/>
    <w:semiHidden/>
    <w:unhideWhenUsed/>
    <w:rsid w:val="00AF0E5E"/>
    <w:rPr>
      <w:sz w:val="16"/>
      <w:szCs w:val="16"/>
    </w:rPr>
  </w:style>
  <w:style w:type="paragraph" w:styleId="CommentText">
    <w:name w:val="annotation text"/>
    <w:basedOn w:val="Normal"/>
    <w:link w:val="CommentTextChar"/>
    <w:uiPriority w:val="99"/>
    <w:semiHidden/>
    <w:unhideWhenUsed/>
    <w:rsid w:val="00AF0E5E"/>
    <w:rPr>
      <w:sz w:val="20"/>
    </w:rPr>
  </w:style>
  <w:style w:type="character" w:customStyle="1" w:styleId="CommentTextChar">
    <w:name w:val="Comment Text Char"/>
    <w:basedOn w:val="DefaultParagraphFont"/>
    <w:link w:val="CommentText"/>
    <w:uiPriority w:val="99"/>
    <w:semiHidden/>
    <w:rsid w:val="00AF0E5E"/>
    <w:rPr>
      <w:snapToGrid w:val="0"/>
      <w:kern w:val="28"/>
    </w:rPr>
  </w:style>
  <w:style w:type="paragraph" w:styleId="CommentSubject">
    <w:name w:val="annotation subject"/>
    <w:basedOn w:val="CommentText"/>
    <w:next w:val="CommentText"/>
    <w:link w:val="CommentSubjectChar"/>
    <w:uiPriority w:val="99"/>
    <w:semiHidden/>
    <w:unhideWhenUsed/>
    <w:rsid w:val="00AF0E5E"/>
    <w:rPr>
      <w:b/>
      <w:bCs/>
    </w:rPr>
  </w:style>
  <w:style w:type="character" w:customStyle="1" w:styleId="CommentSubjectChar">
    <w:name w:val="Comment Subject Char"/>
    <w:basedOn w:val="CommentTextChar"/>
    <w:link w:val="CommentSubject"/>
    <w:uiPriority w:val="99"/>
    <w:semiHidden/>
    <w:rsid w:val="00AF0E5E"/>
    <w:rPr>
      <w:b/>
      <w:bCs/>
      <w:snapToGrid w:val="0"/>
      <w:kern w:val="2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6C4FB2"/>
  </w:style>
  <w:style w:type="paragraph" w:styleId="Revision">
    <w:name w:val="Revision"/>
    <w:hidden/>
    <w:uiPriority w:val="99"/>
    <w:semiHidden/>
    <w:rsid w:val="00681E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public%20notic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erratum-public notice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