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182BE44D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Ju</w:t>
      </w:r>
      <w:r w:rsidR="00E30572">
        <w:rPr>
          <w:rFonts w:ascii="Times New Roman" w:hAnsi="Times New Roman"/>
        </w:rPr>
        <w:t>l</w:t>
      </w:r>
      <w:r w:rsidR="00AA2574">
        <w:rPr>
          <w:rFonts w:ascii="Times New Roman" w:hAnsi="Times New Roman"/>
        </w:rPr>
        <w:t xml:space="preserve">y </w:t>
      </w:r>
      <w:r w:rsidR="00DD4A36">
        <w:rPr>
          <w:rFonts w:ascii="Times New Roman" w:hAnsi="Times New Roman"/>
        </w:rPr>
        <w:t>1</w:t>
      </w:r>
      <w:r w:rsidR="00AA0DB6">
        <w:rPr>
          <w:rFonts w:ascii="Times New Roman" w:hAnsi="Times New Roman"/>
        </w:rPr>
        <w:t>3</w:t>
      </w:r>
      <w:r w:rsidR="00AA2574">
        <w:rPr>
          <w:rFonts w:ascii="Times New Roman" w:hAnsi="Times New Roman"/>
        </w:rPr>
        <w:t>,</w:t>
      </w:r>
      <w:r w:rsidR="00E30572">
        <w:rPr>
          <w:rFonts w:ascii="Times New Roman" w:hAnsi="Times New Roman"/>
        </w:rPr>
        <w:t xml:space="preserve">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553D82CE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150A8">
        <w:rPr>
          <w:rFonts w:ascii="Times New Roman" w:hAnsi="Times New Roman"/>
        </w:rPr>
        <w:t>JU</w:t>
      </w:r>
      <w:r w:rsidR="00E30572">
        <w:rPr>
          <w:rFonts w:ascii="Times New Roman" w:hAnsi="Times New Roman"/>
        </w:rPr>
        <w:t>LY</w:t>
      </w:r>
      <w:r w:rsidR="000D6D97">
        <w:rPr>
          <w:rFonts w:ascii="Times New Roman" w:hAnsi="Times New Roman"/>
        </w:rPr>
        <w:t xml:space="preserve"> </w:t>
      </w:r>
      <w:r w:rsidR="00E30572">
        <w:rPr>
          <w:rFonts w:ascii="Times New Roman" w:hAnsi="Times New Roman"/>
        </w:rPr>
        <w:t>14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B53CF8" w14:paraId="53C2D309" w14:textId="3CA72AD1">
      <w:pPr>
        <w:pStyle w:val="BodyText"/>
        <w:tabs>
          <w:tab w:val="clear" w:pos="-720"/>
        </w:tabs>
        <w:spacing w:line="48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A51FCA">
        <w:t>as</w:t>
      </w:r>
      <w:r>
        <w:t xml:space="preserve"> </w:t>
      </w:r>
      <w:r w:rsidR="00E122CE">
        <w:t>adopted</w:t>
      </w:r>
      <w:r>
        <w:t xml:space="preserve"> by the Commission </w:t>
      </w:r>
      <w:r w:rsidR="00D50A54">
        <w:t xml:space="preserve">on </w:t>
      </w:r>
      <w:r w:rsidRPr="00406A00" w:rsidR="00406A00">
        <w:t>Ju</w:t>
      </w:r>
      <w:r w:rsidR="00E30572">
        <w:t>ly</w:t>
      </w:r>
      <w:r w:rsidRPr="00406A00" w:rsidR="00406A00">
        <w:t xml:space="preserve"> </w:t>
      </w:r>
      <w:r w:rsidR="00DD4A36">
        <w:t>12</w:t>
      </w:r>
      <w:r w:rsidRPr="00406A00" w:rsidR="00D50A54">
        <w:t>,</w:t>
      </w:r>
      <w:r w:rsidR="00D50A54">
        <w:t xml:space="preserve"> 2022 </w:t>
      </w:r>
      <w:r>
        <w:t xml:space="preserve">and </w:t>
      </w:r>
      <w:r w:rsidRPr="007A1E25">
        <w:t xml:space="preserve">deleted from the list of items scheduled for consideration at the </w:t>
      </w:r>
      <w:r w:rsidR="00E30572">
        <w:t>Thursday</w:t>
      </w:r>
      <w:r>
        <w:t xml:space="preserve">, </w:t>
      </w:r>
      <w:r w:rsidR="000150A8">
        <w:t>Ju</w:t>
      </w:r>
      <w:r w:rsidR="00EF0FE3">
        <w:t>ly</w:t>
      </w:r>
      <w:r w:rsidR="00A51FCA">
        <w:t xml:space="preserve"> 14</w:t>
      </w:r>
      <w:r w:rsidR="000D6D97">
        <w:t xml:space="preserve">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E122CE">
        <w:t>is</w:t>
      </w:r>
      <w:r>
        <w:t xml:space="preserve"> item</w:t>
      </w:r>
      <w:r w:rsidR="00BA7EA5">
        <w:t xml:space="preserve"> w</w:t>
      </w:r>
      <w:r w:rsidR="00E122CE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EF0FE3">
        <w:t>Thursday</w:t>
      </w:r>
      <w:r w:rsidR="000D6D97">
        <w:t xml:space="preserve">, </w:t>
      </w:r>
      <w:r w:rsidR="000150A8">
        <w:t>Ju</w:t>
      </w:r>
      <w:r w:rsidR="00EF0FE3">
        <w:t>ly 7</w:t>
      </w:r>
      <w:r>
        <w:t>, 202</w:t>
      </w:r>
      <w:r w:rsidR="0024711D">
        <w:t>2</w:t>
      </w:r>
      <w:r>
        <w:t>.</w:t>
      </w:r>
    </w:p>
    <w:p w:rsidR="00E86C8C" w:rsidP="00B53CF8" w14:paraId="3EF0EDEC" w14:textId="3BE44DE0">
      <w:pPr>
        <w:pStyle w:val="BodyText"/>
        <w:tabs>
          <w:tab w:val="clear" w:pos="-720"/>
        </w:tabs>
        <w:spacing w:line="480" w:lineRule="auto"/>
        <w:jc w:val="left"/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636F1876" w14:textId="77777777" w:rsidTr="0084533F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E86C8C" w:rsidRPr="00986C70" w:rsidP="0084533F" w14:paraId="665A733A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E86C8C" w:rsidRPr="00986C70" w:rsidP="0084533F" w14:paraId="37035F2C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E86C8C" w:rsidRPr="00986C70" w:rsidP="00E86C8C" w14:paraId="1766F26E" w14:textId="77777777">
            <w:pPr>
              <w:suppressAutoHyphens/>
              <w:spacing w:before="90" w:after="54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</w:tbl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FB352B" w:rsidP="00B53CF8" w14:paraId="78F8E264" w14:textId="272EC1A0">
            <w:pPr>
              <w:suppressAutoHyphens/>
              <w:spacing w:before="90" w:after="54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  <w:hideMark/>
          </w:tcPr>
          <w:p w:rsidR="00FB352B" w:rsidP="00B53CF8" w14:paraId="7F12188D" w14:textId="4F943CA6">
            <w:pPr>
              <w:widowControl/>
              <w:suppressAutoHyphens/>
              <w:autoSpaceDE/>
              <w:adjustRightInd/>
              <w:spacing w:before="90" w:after="54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B352B" w:rsidP="00B53CF8" w14:paraId="7444CDBC" w14:textId="77777777">
            <w:pPr>
              <w:widowControl/>
              <w:suppressAutoHyphens/>
              <w:autoSpaceDE/>
              <w:adjustRightInd/>
              <w:spacing w:before="90" w:after="54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A51FCA" w:rsidP="00B53CF8" w14:paraId="307EFCC2" w14:textId="77777777">
            <w:pPr>
              <w:widowControl/>
              <w:suppressAutoHyphens/>
              <w:autoSpaceDE/>
              <w:adjustRightInd/>
              <w:spacing w:before="90" w:after="54" w:line="480" w:lineRule="auto"/>
              <w:rPr>
                <w:rFonts w:ascii="Times New Roman" w:hAnsi="Times New Roman"/>
                <w:bCs/>
              </w:rPr>
            </w:pPr>
            <w:r w:rsidRPr="00825518">
              <w:rPr>
                <w:rFonts w:ascii="Times New Roman" w:hAnsi="Times New Roman"/>
                <w:b/>
              </w:rPr>
              <w:t xml:space="preserve">TITLE:  </w:t>
            </w:r>
            <w:r w:rsidRPr="00C4040D">
              <w:rPr>
                <w:rFonts w:ascii="Times New Roman" w:hAnsi="Times New Roman"/>
                <w:bCs/>
              </w:rPr>
              <w:t>Removing Obsolete Analog-Era Provisions from Part 74 Rules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4040D">
              <w:rPr>
                <w:rFonts w:ascii="Times New Roman" w:hAnsi="Times New Roman"/>
                <w:bCs/>
              </w:rPr>
              <w:t>(MB Docket No. 03-185)</w:t>
            </w:r>
          </w:p>
          <w:p w:rsidR="00FB352B" w:rsidP="00B53CF8" w14:paraId="22020CDC" w14:textId="76590593">
            <w:pPr>
              <w:widowControl/>
              <w:suppressAutoHyphens/>
              <w:autoSpaceDE/>
              <w:adjustRightInd/>
              <w:spacing w:before="90" w:after="54" w:line="480" w:lineRule="auto"/>
              <w:rPr>
                <w:rFonts w:ascii="Times New Roman" w:hAnsi="Times New Roman"/>
                <w:bCs/>
              </w:rPr>
            </w:pPr>
            <w:r w:rsidRPr="00825518">
              <w:rPr>
                <w:rFonts w:ascii="Times New Roman" w:hAnsi="Times New Roman"/>
                <w:b/>
              </w:rPr>
              <w:t xml:space="preserve">SUMMARY:  </w:t>
            </w:r>
            <w:r w:rsidRPr="00C4040D" w:rsidR="00A51FCA">
              <w:rPr>
                <w:rFonts w:ascii="Times New Roman" w:hAnsi="Times New Roman"/>
                <w:bCs/>
              </w:rPr>
              <w:t>The Commission will consider an Order and Sixth Notice of Proposed Rulemaking that would amend its Part 74 rules for low-power television and television translators to remove obsolete rules for analog TV operations</w:t>
            </w: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406A00" w14:paraId="7177AD14" w14:textId="51EE794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hideMark/>
          </w:tcPr>
          <w:p w:rsidR="00406A00" w14:paraId="1737D613" w14:textId="44AF7D1F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0" w:type="dxa"/>
          </w:tcPr>
          <w:p w:rsidR="00406A00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406A00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06A0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A51FCA" w14:paraId="70A4FC9B" w14:textId="25F7EE2E">
      <w:pPr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F10808"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83886410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38864103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3D30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533F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86C70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1FCA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0DB6"/>
    <w:rsid w:val="00AA2574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3CF8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40D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4A36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22CE"/>
    <w:rsid w:val="00E16A1C"/>
    <w:rsid w:val="00E209D9"/>
    <w:rsid w:val="00E22527"/>
    <w:rsid w:val="00E22BBB"/>
    <w:rsid w:val="00E22DA6"/>
    <w:rsid w:val="00E23086"/>
    <w:rsid w:val="00E26373"/>
    <w:rsid w:val="00E30134"/>
    <w:rsid w:val="00E30572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86C8C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0FE3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