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4FB60263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7F31152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2EC76D7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74980BAA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080478D0" w14:textId="4ECBDC05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 Wiquist</w:t>
            </w:r>
          </w:p>
          <w:p w:rsidR="00FF232D" w:rsidRPr="008A3940" w:rsidP="00BB4E29" w14:paraId="2E9B8760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1FA5301D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1F3391E4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1870AB0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355CEA4E" w14:textId="1622BBAC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707E86">
              <w:rPr>
                <w:b/>
                <w:bCs/>
                <w:sz w:val="26"/>
                <w:szCs w:val="26"/>
              </w:rPr>
              <w:t xml:space="preserve">FINES </w:t>
            </w:r>
            <w:r w:rsidR="00716C55">
              <w:rPr>
                <w:b/>
                <w:bCs/>
                <w:sz w:val="26"/>
                <w:szCs w:val="26"/>
              </w:rPr>
              <w:t xml:space="preserve">NEW YORK </w:t>
            </w:r>
            <w:r w:rsidR="00707E86">
              <w:rPr>
                <w:b/>
                <w:bCs/>
                <w:sz w:val="26"/>
                <w:szCs w:val="26"/>
              </w:rPr>
              <w:t>ELECTRO</w:t>
            </w:r>
            <w:r w:rsidR="00B4533B">
              <w:rPr>
                <w:b/>
                <w:bCs/>
                <w:sz w:val="26"/>
                <w:szCs w:val="26"/>
              </w:rPr>
              <w:t xml:space="preserve">NICS MARKETER FOR SELLING </w:t>
            </w:r>
            <w:r w:rsidR="00C04EFE">
              <w:rPr>
                <w:b/>
                <w:bCs/>
                <w:sz w:val="26"/>
                <w:szCs w:val="26"/>
              </w:rPr>
              <w:t>NONCOMPLIANT</w:t>
            </w:r>
            <w:r w:rsidR="00707E86">
              <w:rPr>
                <w:b/>
                <w:bCs/>
                <w:sz w:val="26"/>
                <w:szCs w:val="26"/>
              </w:rPr>
              <w:t xml:space="preserve"> WIRELESS </w:t>
            </w:r>
            <w:r w:rsidR="00C04EFE">
              <w:rPr>
                <w:b/>
                <w:bCs/>
                <w:sz w:val="26"/>
                <w:szCs w:val="26"/>
              </w:rPr>
              <w:t>DEVICES</w:t>
            </w:r>
            <w:r w:rsidR="00707E86">
              <w:rPr>
                <w:b/>
                <w:bCs/>
                <w:sz w:val="26"/>
                <w:szCs w:val="26"/>
              </w:rPr>
              <w:t xml:space="preserve"> </w:t>
            </w:r>
          </w:p>
          <w:p w:rsidR="00CC5E08" w:rsidRPr="008A3940" w:rsidP="00040127" w14:paraId="48957ADE" w14:textId="57CB67A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Ignored Warnings, Incomplete Responses to Investigators, and </w:t>
            </w:r>
            <w:r w:rsidR="00C04EFE">
              <w:rPr>
                <w:b/>
                <w:bCs/>
                <w:i/>
              </w:rPr>
              <w:t>Selling</w:t>
            </w:r>
            <w:r>
              <w:rPr>
                <w:b/>
                <w:bCs/>
                <w:i/>
              </w:rPr>
              <w:t xml:space="preserve"> Devices Operating in </w:t>
            </w:r>
            <w:r w:rsidR="00201CBA">
              <w:rPr>
                <w:b/>
                <w:bCs/>
                <w:i/>
              </w:rPr>
              <w:t xml:space="preserve">Unauthorized </w:t>
            </w:r>
            <w:r>
              <w:rPr>
                <w:b/>
                <w:bCs/>
                <w:i/>
              </w:rPr>
              <w:t xml:space="preserve">Spectrum Bands </w:t>
            </w:r>
            <w:r w:rsidR="00C04EFE">
              <w:rPr>
                <w:b/>
                <w:bCs/>
                <w:i/>
              </w:rPr>
              <w:t>Result</w:t>
            </w:r>
            <w:r w:rsidR="00BE1915">
              <w:rPr>
                <w:b/>
                <w:bCs/>
                <w:i/>
              </w:rPr>
              <w:t>s</w:t>
            </w:r>
            <w:r w:rsidR="00C04EFE">
              <w:rPr>
                <w:b/>
                <w:bCs/>
                <w:i/>
              </w:rPr>
              <w:t xml:space="preserve"> in </w:t>
            </w:r>
            <w:r w:rsidR="00B4533B">
              <w:rPr>
                <w:b/>
                <w:bCs/>
                <w:i/>
              </w:rPr>
              <w:t xml:space="preserve">a </w:t>
            </w:r>
            <w:r w:rsidR="00C04EFE">
              <w:rPr>
                <w:b/>
                <w:bCs/>
                <w:i/>
              </w:rPr>
              <w:t>Nearly $700K Fine</w:t>
            </w:r>
          </w:p>
          <w:p w:rsidR="00F61155" w:rsidRPr="006B0A70" w:rsidP="00BB4E29" w14:paraId="299769E5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787B9E" w:rsidRPr="00892747" w:rsidP="00787B9E" w14:paraId="201D7791" w14:textId="03A47693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1861FA">
              <w:rPr>
                <w:sz w:val="22"/>
                <w:szCs w:val="22"/>
              </w:rPr>
              <w:t xml:space="preserve">August </w:t>
            </w:r>
            <w:r w:rsidR="004C3CBA">
              <w:rPr>
                <w:sz w:val="22"/>
                <w:szCs w:val="22"/>
              </w:rPr>
              <w:t>1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286596">
              <w:rPr>
                <w:sz w:val="22"/>
                <w:szCs w:val="22"/>
              </w:rPr>
              <w:t>2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The Federal Communications Commission today</w:t>
            </w:r>
            <w:r w:rsidRPr="002E165B" w:rsidR="00040127">
              <w:rPr>
                <w:sz w:val="22"/>
                <w:szCs w:val="22"/>
              </w:rPr>
              <w:t xml:space="preserve"> </w:t>
            </w:r>
            <w:r w:rsidR="00C40DE4">
              <w:rPr>
                <w:sz w:val="22"/>
                <w:szCs w:val="22"/>
              </w:rPr>
              <w:t xml:space="preserve">fined Sound Around, a Brooklyn-based seller of </w:t>
            </w:r>
            <w:r w:rsidRPr="00C40DE4" w:rsidR="00C40DE4">
              <w:rPr>
                <w:sz w:val="22"/>
                <w:szCs w:val="22"/>
              </w:rPr>
              <w:t>audio and video electronics and accessories</w:t>
            </w:r>
            <w:r w:rsidR="00C40DE4">
              <w:rPr>
                <w:sz w:val="22"/>
                <w:szCs w:val="22"/>
              </w:rPr>
              <w:t xml:space="preserve">, </w:t>
            </w:r>
            <w:r w:rsidRPr="00C40DE4" w:rsidR="00C40DE4">
              <w:rPr>
                <w:sz w:val="22"/>
                <w:szCs w:val="22"/>
              </w:rPr>
              <w:t>$685,338</w:t>
            </w:r>
            <w:r w:rsidR="00C40DE4">
              <w:rPr>
                <w:sz w:val="22"/>
                <w:szCs w:val="22"/>
              </w:rPr>
              <w:t xml:space="preserve"> for marketing thirty-two noncompliant radio frequency device</w:t>
            </w:r>
            <w:r w:rsidR="00393715">
              <w:rPr>
                <w:sz w:val="22"/>
                <w:szCs w:val="22"/>
              </w:rPr>
              <w:t xml:space="preserve"> model</w:t>
            </w:r>
            <w:r w:rsidR="00C40DE4">
              <w:rPr>
                <w:sz w:val="22"/>
                <w:szCs w:val="22"/>
              </w:rPr>
              <w:t>s</w:t>
            </w:r>
            <w:r w:rsidR="00DC65AA">
              <w:rPr>
                <w:sz w:val="22"/>
                <w:szCs w:val="22"/>
              </w:rPr>
              <w:t xml:space="preserve">, specifically </w:t>
            </w:r>
            <w:r w:rsidR="00C40DE4">
              <w:rPr>
                <w:sz w:val="22"/>
                <w:szCs w:val="22"/>
              </w:rPr>
              <w:t xml:space="preserve">wireless microphones.  </w:t>
            </w:r>
            <w:r>
              <w:rPr>
                <w:sz w:val="22"/>
                <w:szCs w:val="22"/>
              </w:rPr>
              <w:t>The FCC significantly increased the forfeiture as a result of Sound Around’s repeated, continuous, and more than a decade-long</w:t>
            </w:r>
            <w:r w:rsidRPr="00C40DE4">
              <w:rPr>
                <w:sz w:val="22"/>
                <w:szCs w:val="22"/>
              </w:rPr>
              <w:t xml:space="preserve"> marketing </w:t>
            </w:r>
            <w:r>
              <w:rPr>
                <w:sz w:val="22"/>
                <w:szCs w:val="22"/>
              </w:rPr>
              <w:t xml:space="preserve">of </w:t>
            </w:r>
            <w:r w:rsidRPr="00C40DE4">
              <w:rPr>
                <w:sz w:val="22"/>
                <w:szCs w:val="22"/>
              </w:rPr>
              <w:t>noncompliant radio frequency devices</w:t>
            </w:r>
            <w:r>
              <w:rPr>
                <w:sz w:val="22"/>
                <w:szCs w:val="22"/>
              </w:rPr>
              <w:t xml:space="preserve">.  </w:t>
            </w:r>
          </w:p>
          <w:p w:rsidR="008C552A" w:rsidP="002E165B" w14:paraId="7F340153" w14:textId="77777777">
            <w:pPr>
              <w:rPr>
                <w:sz w:val="22"/>
                <w:szCs w:val="22"/>
              </w:rPr>
            </w:pPr>
          </w:p>
          <w:p w:rsidR="00BD19E8" w:rsidP="002E165B" w14:paraId="30C64877" w14:textId="01EDAE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protect against harmful interference between spectrum use</w:t>
            </w:r>
            <w:r w:rsidR="002517AE">
              <w:rPr>
                <w:sz w:val="22"/>
                <w:szCs w:val="22"/>
              </w:rPr>
              <w:t>rs</w:t>
            </w:r>
            <w:r>
              <w:rPr>
                <w:sz w:val="22"/>
                <w:szCs w:val="22"/>
              </w:rPr>
              <w:t>, t</w:t>
            </w:r>
            <w:r w:rsidR="00C04EFE">
              <w:rPr>
                <w:sz w:val="22"/>
                <w:szCs w:val="22"/>
              </w:rPr>
              <w:t xml:space="preserve">he FCC </w:t>
            </w:r>
            <w:r w:rsidR="003C5B13">
              <w:rPr>
                <w:sz w:val="22"/>
                <w:szCs w:val="22"/>
              </w:rPr>
              <w:t>requires</w:t>
            </w:r>
            <w:r w:rsidR="00C04EFE">
              <w:rPr>
                <w:sz w:val="22"/>
                <w:szCs w:val="22"/>
              </w:rPr>
              <w:t xml:space="preserve"> that wireless devices sold in the United States </w:t>
            </w:r>
            <w:r w:rsidR="006A0269">
              <w:rPr>
                <w:sz w:val="22"/>
                <w:szCs w:val="22"/>
              </w:rPr>
              <w:t>go through the agency</w:t>
            </w:r>
            <w:r w:rsidR="003C5B13">
              <w:rPr>
                <w:sz w:val="22"/>
                <w:szCs w:val="22"/>
              </w:rPr>
              <w:t>’s</w:t>
            </w:r>
            <w:r w:rsidR="006A0269">
              <w:rPr>
                <w:sz w:val="22"/>
                <w:szCs w:val="22"/>
              </w:rPr>
              <w:t xml:space="preserve"> equipment authorization process and </w:t>
            </w:r>
            <w:r w:rsidR="00C04EFE">
              <w:rPr>
                <w:sz w:val="22"/>
                <w:szCs w:val="22"/>
              </w:rPr>
              <w:t xml:space="preserve">abide by </w:t>
            </w:r>
            <w:r w:rsidR="006A0269">
              <w:rPr>
                <w:sz w:val="22"/>
                <w:szCs w:val="22"/>
              </w:rPr>
              <w:t>emission</w:t>
            </w:r>
            <w:r w:rsidR="002517AE">
              <w:rPr>
                <w:sz w:val="22"/>
                <w:szCs w:val="22"/>
              </w:rPr>
              <w:t>s</w:t>
            </w:r>
            <w:r w:rsidR="006A0269">
              <w:rPr>
                <w:sz w:val="22"/>
                <w:szCs w:val="22"/>
              </w:rPr>
              <w:t xml:space="preserve"> power and </w:t>
            </w:r>
            <w:r w:rsidR="002517AE">
              <w:rPr>
                <w:sz w:val="22"/>
                <w:szCs w:val="22"/>
              </w:rPr>
              <w:t xml:space="preserve">spectrum band </w:t>
            </w:r>
            <w:r w:rsidR="006A0269">
              <w:rPr>
                <w:sz w:val="22"/>
                <w:szCs w:val="22"/>
              </w:rPr>
              <w:t xml:space="preserve">requirements. </w:t>
            </w:r>
            <w:r w:rsidR="008C552A">
              <w:rPr>
                <w:sz w:val="22"/>
                <w:szCs w:val="22"/>
              </w:rPr>
              <w:t xml:space="preserve"> </w:t>
            </w:r>
            <w:r w:rsidR="00371FFF">
              <w:rPr>
                <w:sz w:val="22"/>
                <w:szCs w:val="22"/>
              </w:rPr>
              <w:t xml:space="preserve">It is unlawful to manufacture, advertise, or sell radio frequency devices that that do not comply with the Commission’s rules. </w:t>
            </w:r>
            <w:r w:rsidRPr="008C552A" w:rsidR="008C552A">
              <w:rPr>
                <w:sz w:val="22"/>
                <w:szCs w:val="22"/>
              </w:rPr>
              <w:t xml:space="preserve"> </w:t>
            </w:r>
          </w:p>
          <w:p w:rsidR="00833B74" w:rsidP="006E5ABA" w14:paraId="1A719E5B" w14:textId="13D4CF1F">
            <w:pPr>
              <w:rPr>
                <w:sz w:val="22"/>
                <w:szCs w:val="22"/>
              </w:rPr>
            </w:pPr>
          </w:p>
          <w:p w:rsidR="004F119B" w:rsidP="004F119B" w14:paraId="515FE0BD" w14:textId="40649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Pr="004F119B">
              <w:rPr>
                <w:sz w:val="22"/>
                <w:szCs w:val="22"/>
              </w:rPr>
              <w:t xml:space="preserve">Enforcement Bureau’s Spectrum Enforcement Division </w:t>
            </w:r>
            <w:r w:rsidR="00892747">
              <w:rPr>
                <w:sz w:val="22"/>
                <w:szCs w:val="22"/>
              </w:rPr>
              <w:t xml:space="preserve">first </w:t>
            </w:r>
            <w:r>
              <w:rPr>
                <w:sz w:val="22"/>
                <w:szCs w:val="22"/>
              </w:rPr>
              <w:t xml:space="preserve">issued a citation </w:t>
            </w:r>
            <w:r w:rsidR="0093553C">
              <w:rPr>
                <w:sz w:val="22"/>
                <w:szCs w:val="22"/>
              </w:rPr>
              <w:t xml:space="preserve">to </w:t>
            </w:r>
            <w:r>
              <w:rPr>
                <w:sz w:val="22"/>
                <w:szCs w:val="22"/>
              </w:rPr>
              <w:t xml:space="preserve">Sound Around for </w:t>
            </w:r>
            <w:r w:rsidR="0093553C">
              <w:rPr>
                <w:sz w:val="22"/>
                <w:szCs w:val="22"/>
              </w:rPr>
              <w:t xml:space="preserve">equipment </w:t>
            </w:r>
            <w:r>
              <w:rPr>
                <w:sz w:val="22"/>
                <w:szCs w:val="22"/>
              </w:rPr>
              <w:t>marketing violation</w:t>
            </w:r>
            <w:r w:rsidR="00892747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.  The company was </w:t>
            </w:r>
            <w:r w:rsidRPr="004F119B">
              <w:rPr>
                <w:sz w:val="22"/>
                <w:szCs w:val="22"/>
              </w:rPr>
              <w:t xml:space="preserve">warned </w:t>
            </w:r>
            <w:r>
              <w:rPr>
                <w:sz w:val="22"/>
                <w:szCs w:val="22"/>
              </w:rPr>
              <w:t>of its rule violations and ordered</w:t>
            </w:r>
            <w:r w:rsidRPr="004F119B">
              <w:rPr>
                <w:sz w:val="22"/>
                <w:szCs w:val="22"/>
              </w:rPr>
              <w:t xml:space="preserve"> to take the appropriate steps to ensure that its marketing of wireless microphones complied with the </w:t>
            </w:r>
            <w:r>
              <w:rPr>
                <w:sz w:val="22"/>
                <w:szCs w:val="22"/>
              </w:rPr>
              <w:t>law</w:t>
            </w:r>
            <w:r w:rsidRPr="004F119B">
              <w:rPr>
                <w:sz w:val="22"/>
                <w:szCs w:val="22"/>
              </w:rPr>
              <w:t xml:space="preserve"> going forward</w:t>
            </w:r>
            <w:r>
              <w:rPr>
                <w:sz w:val="22"/>
                <w:szCs w:val="22"/>
              </w:rPr>
              <w:t xml:space="preserve">.  </w:t>
            </w:r>
            <w:r w:rsidRPr="004F119B">
              <w:rPr>
                <w:sz w:val="22"/>
                <w:szCs w:val="22"/>
              </w:rPr>
              <w:t xml:space="preserve">Sound Around never </w:t>
            </w:r>
            <w:r w:rsidR="00892747">
              <w:rPr>
                <w:sz w:val="22"/>
                <w:szCs w:val="22"/>
              </w:rPr>
              <w:t>responded</w:t>
            </w:r>
            <w:r w:rsidRPr="004F119B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 xml:space="preserve">Two of the five </w:t>
            </w:r>
            <w:r w:rsidRPr="004F119B">
              <w:rPr>
                <w:sz w:val="22"/>
                <w:szCs w:val="22"/>
              </w:rPr>
              <w:t>models of wireless microphones</w:t>
            </w:r>
            <w:r>
              <w:rPr>
                <w:sz w:val="22"/>
                <w:szCs w:val="22"/>
              </w:rPr>
              <w:t xml:space="preserve"> included in that citation were </w:t>
            </w:r>
            <w:r w:rsidR="00892747">
              <w:rPr>
                <w:sz w:val="22"/>
                <w:szCs w:val="22"/>
              </w:rPr>
              <w:t xml:space="preserve">still being marketed and </w:t>
            </w:r>
            <w:r w:rsidR="00BE1915">
              <w:rPr>
                <w:sz w:val="22"/>
                <w:szCs w:val="22"/>
              </w:rPr>
              <w:t xml:space="preserve">included </w:t>
            </w:r>
            <w:r w:rsidR="00892747">
              <w:rPr>
                <w:sz w:val="22"/>
                <w:szCs w:val="22"/>
              </w:rPr>
              <w:t xml:space="preserve">in the agency’s </w:t>
            </w:r>
            <w:r>
              <w:rPr>
                <w:sz w:val="22"/>
                <w:szCs w:val="22"/>
              </w:rPr>
              <w:t xml:space="preserve">2020 proposed fine </w:t>
            </w:r>
            <w:r w:rsidR="00892747">
              <w:rPr>
                <w:sz w:val="22"/>
                <w:szCs w:val="22"/>
              </w:rPr>
              <w:t>which</w:t>
            </w:r>
            <w:r>
              <w:rPr>
                <w:sz w:val="22"/>
                <w:szCs w:val="22"/>
              </w:rPr>
              <w:t xml:space="preserve"> it </w:t>
            </w:r>
            <w:r w:rsidR="00393715">
              <w:rPr>
                <w:sz w:val="22"/>
                <w:szCs w:val="22"/>
              </w:rPr>
              <w:t xml:space="preserve">affirmed </w:t>
            </w:r>
            <w:r>
              <w:rPr>
                <w:sz w:val="22"/>
                <w:szCs w:val="22"/>
              </w:rPr>
              <w:t xml:space="preserve">today.  </w:t>
            </w:r>
          </w:p>
          <w:p w:rsidR="004F119B" w:rsidRPr="004F119B" w:rsidP="004F119B" w14:paraId="4EEF4C51" w14:textId="77777777">
            <w:pPr>
              <w:rPr>
                <w:sz w:val="22"/>
                <w:szCs w:val="22"/>
              </w:rPr>
            </w:pPr>
          </w:p>
          <w:p w:rsidR="006E5ABA" w:rsidP="006E5ABA" w14:paraId="6158B7DF" w14:textId="244AD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Following a c</w:t>
            </w:r>
            <w:r w:rsidRPr="004F119B">
              <w:rPr>
                <w:sz w:val="22"/>
                <w:szCs w:val="22"/>
              </w:rPr>
              <w:t>omplaint in 2016</w:t>
            </w:r>
            <w:r>
              <w:rPr>
                <w:sz w:val="22"/>
                <w:szCs w:val="22"/>
              </w:rPr>
              <w:t>, the FCC began a new investigation into Sound Around.  During this years</w:t>
            </w:r>
            <w:r w:rsidR="00F751EF">
              <w:rPr>
                <w:sz w:val="22"/>
                <w:szCs w:val="22"/>
              </w:rPr>
              <w:t xml:space="preserve">-long investigation, </w:t>
            </w:r>
            <w:r w:rsidRPr="004F119B">
              <w:rPr>
                <w:sz w:val="22"/>
                <w:szCs w:val="22"/>
              </w:rPr>
              <w:t xml:space="preserve">the </w:t>
            </w:r>
            <w:r w:rsidR="00F751EF">
              <w:rPr>
                <w:sz w:val="22"/>
                <w:szCs w:val="22"/>
              </w:rPr>
              <w:t>c</w:t>
            </w:r>
            <w:r w:rsidRPr="004F119B">
              <w:rPr>
                <w:sz w:val="22"/>
                <w:szCs w:val="22"/>
              </w:rPr>
              <w:t xml:space="preserve">ompany provided incomplete answers about whether the wireless microphones it was selling were authorized.  </w:t>
            </w:r>
            <w:r w:rsidR="00892747">
              <w:rPr>
                <w:sz w:val="22"/>
                <w:szCs w:val="22"/>
              </w:rPr>
              <w:t>Following</w:t>
            </w:r>
            <w:r w:rsidR="00B55A44">
              <w:rPr>
                <w:sz w:val="22"/>
                <w:szCs w:val="22"/>
              </w:rPr>
              <w:t xml:space="preserve"> the FCC’s 2020 proposed fine, the company </w:t>
            </w:r>
            <w:r w:rsidR="00892747">
              <w:rPr>
                <w:sz w:val="22"/>
                <w:szCs w:val="22"/>
              </w:rPr>
              <w:t>did respond, arguing</w:t>
            </w:r>
            <w:r w:rsidR="00B55A44">
              <w:rPr>
                <w:sz w:val="22"/>
                <w:szCs w:val="22"/>
              </w:rPr>
              <w:t xml:space="preserve"> that photos of marketing websites did not prove an item could be purchased, that a decade of warnings and notices </w:t>
            </w:r>
            <w:r w:rsidR="001A0DC0">
              <w:rPr>
                <w:sz w:val="22"/>
                <w:szCs w:val="22"/>
              </w:rPr>
              <w:t>were</w:t>
            </w:r>
            <w:r w:rsidR="00146DFD">
              <w:rPr>
                <w:sz w:val="22"/>
                <w:szCs w:val="22"/>
              </w:rPr>
              <w:t xml:space="preserve"> </w:t>
            </w:r>
            <w:r w:rsidR="00B55A44">
              <w:rPr>
                <w:sz w:val="22"/>
                <w:szCs w:val="22"/>
              </w:rPr>
              <w:t xml:space="preserve">insufficient notice, and that the proposed </w:t>
            </w:r>
            <w:r w:rsidR="0093553C">
              <w:rPr>
                <w:sz w:val="22"/>
                <w:szCs w:val="22"/>
              </w:rPr>
              <w:t>forfeiture amount</w:t>
            </w:r>
            <w:r w:rsidR="00B55A44">
              <w:rPr>
                <w:sz w:val="22"/>
                <w:szCs w:val="22"/>
              </w:rPr>
              <w:t xml:space="preserve"> was too high.  The FCC today reject</w:t>
            </w:r>
            <w:r w:rsidR="0093553C">
              <w:rPr>
                <w:sz w:val="22"/>
                <w:szCs w:val="22"/>
              </w:rPr>
              <w:t>ed</w:t>
            </w:r>
            <w:r w:rsidR="00B55A44">
              <w:rPr>
                <w:sz w:val="22"/>
                <w:szCs w:val="22"/>
              </w:rPr>
              <w:t xml:space="preserve"> these arguments.</w:t>
            </w:r>
          </w:p>
          <w:p w:rsidR="00F751EF" w:rsidP="006E5ABA" w14:paraId="1F7A0980" w14:textId="27CB2F5F">
            <w:pPr>
              <w:rPr>
                <w:sz w:val="22"/>
                <w:szCs w:val="22"/>
              </w:rPr>
            </w:pPr>
          </w:p>
          <w:p w:rsidR="00F751EF" w:rsidP="006E5ABA" w14:paraId="38E50802" w14:textId="33A09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fact that the company marketed </w:t>
            </w:r>
            <w:r w:rsidR="00DA5513">
              <w:rPr>
                <w:sz w:val="22"/>
                <w:szCs w:val="22"/>
              </w:rPr>
              <w:t xml:space="preserve">noncompliant </w:t>
            </w:r>
            <w:r>
              <w:rPr>
                <w:sz w:val="22"/>
                <w:szCs w:val="22"/>
              </w:rPr>
              <w:t xml:space="preserve">wireless devices – in some cases the same exact models – for more than a decade and repeatedly ignored warnings and failed to respond or fully respond to investigative inquiries led to a significantly higher fine.  Under the law, the FCC is expressly permitted to adjust fine totals upward based on egregious and/or repeated violations of the law.  Both apply to Sound Around and, as a result, </w:t>
            </w:r>
            <w:r w:rsidR="0093553C">
              <w:rPr>
                <w:sz w:val="22"/>
                <w:szCs w:val="22"/>
              </w:rPr>
              <w:t>the company is</w:t>
            </w:r>
            <w:r>
              <w:rPr>
                <w:sz w:val="22"/>
                <w:szCs w:val="22"/>
              </w:rPr>
              <w:t xml:space="preserve"> required to pay this </w:t>
            </w:r>
            <w:r w:rsidRPr="00C40DE4">
              <w:rPr>
                <w:sz w:val="22"/>
                <w:szCs w:val="22"/>
              </w:rPr>
              <w:t>$685,338</w:t>
            </w:r>
            <w:r>
              <w:rPr>
                <w:sz w:val="22"/>
                <w:szCs w:val="22"/>
              </w:rPr>
              <w:t xml:space="preserve"> fine to the U.S. Treasury.  </w:t>
            </w:r>
            <w:r w:rsidRPr="00121D41" w:rsidR="00121D41">
              <w:rPr>
                <w:sz w:val="22"/>
                <w:szCs w:val="22"/>
              </w:rPr>
              <w:t>If Sound Around does not pay th</w:t>
            </w:r>
            <w:r w:rsidR="0072247E">
              <w:rPr>
                <w:sz w:val="22"/>
                <w:szCs w:val="22"/>
              </w:rPr>
              <w:t>e</w:t>
            </w:r>
            <w:r w:rsidRPr="00121D41" w:rsidR="00121D41">
              <w:rPr>
                <w:sz w:val="22"/>
                <w:szCs w:val="22"/>
              </w:rPr>
              <w:t xml:space="preserve"> fine, </w:t>
            </w:r>
            <w:r w:rsidR="00121D41">
              <w:rPr>
                <w:sz w:val="22"/>
                <w:szCs w:val="22"/>
              </w:rPr>
              <w:t>this matter</w:t>
            </w:r>
            <w:r>
              <w:rPr>
                <w:sz w:val="22"/>
                <w:szCs w:val="22"/>
              </w:rPr>
              <w:t xml:space="preserve"> will be referred to the Department of Justice for collection.</w:t>
            </w:r>
          </w:p>
          <w:p w:rsidR="00BD19E8" w:rsidRPr="002E165B" w:rsidP="002E165B" w14:paraId="04D186DD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752F896C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3BB7FCD4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1C6B2FF4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71B5C6F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48677AB" w14:textId="77777777">
      <w:pPr>
        <w:rPr>
          <w:b/>
          <w:bCs/>
          <w:sz w:val="2"/>
          <w:szCs w:val="2"/>
        </w:rPr>
      </w:pPr>
    </w:p>
    <w:sectPr w:rsidSect="00892747">
      <w:headerReference w:type="default" r:id="rId5"/>
      <w:footerReference w:type="default" r:id="rId6"/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1D07" w:rsidP="00444CA4" w14:paraId="610DC793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1D07" w:rsidP="00444CA4" w14:paraId="1473A57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96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0F4FB2"/>
    <w:rsid w:val="00105DB6"/>
    <w:rsid w:val="0010799B"/>
    <w:rsid w:val="00117DB2"/>
    <w:rsid w:val="00121D41"/>
    <w:rsid w:val="00123ED2"/>
    <w:rsid w:val="00125BE0"/>
    <w:rsid w:val="00142C13"/>
    <w:rsid w:val="00146DFD"/>
    <w:rsid w:val="00152776"/>
    <w:rsid w:val="00153222"/>
    <w:rsid w:val="001577D3"/>
    <w:rsid w:val="00160BD2"/>
    <w:rsid w:val="001733A6"/>
    <w:rsid w:val="001861FA"/>
    <w:rsid w:val="001865A9"/>
    <w:rsid w:val="00187DB2"/>
    <w:rsid w:val="001A0DC0"/>
    <w:rsid w:val="001B20BB"/>
    <w:rsid w:val="001B518D"/>
    <w:rsid w:val="001C4370"/>
    <w:rsid w:val="001D3779"/>
    <w:rsid w:val="001F0469"/>
    <w:rsid w:val="00201CBA"/>
    <w:rsid w:val="00203A98"/>
    <w:rsid w:val="00206EDD"/>
    <w:rsid w:val="0021247E"/>
    <w:rsid w:val="002146F6"/>
    <w:rsid w:val="00231C32"/>
    <w:rsid w:val="00240345"/>
    <w:rsid w:val="002421F0"/>
    <w:rsid w:val="00247274"/>
    <w:rsid w:val="002517AE"/>
    <w:rsid w:val="00266966"/>
    <w:rsid w:val="00285C36"/>
    <w:rsid w:val="00286596"/>
    <w:rsid w:val="00294C0C"/>
    <w:rsid w:val="002A0934"/>
    <w:rsid w:val="002B1013"/>
    <w:rsid w:val="002D03E5"/>
    <w:rsid w:val="002E05B1"/>
    <w:rsid w:val="002E165B"/>
    <w:rsid w:val="002E3F1D"/>
    <w:rsid w:val="002F31D0"/>
    <w:rsid w:val="00300359"/>
    <w:rsid w:val="00316486"/>
    <w:rsid w:val="0031773E"/>
    <w:rsid w:val="00333871"/>
    <w:rsid w:val="00347716"/>
    <w:rsid w:val="003506E1"/>
    <w:rsid w:val="00371FFF"/>
    <w:rsid w:val="003727E3"/>
    <w:rsid w:val="00375BF7"/>
    <w:rsid w:val="003775F6"/>
    <w:rsid w:val="00385A93"/>
    <w:rsid w:val="003910F1"/>
    <w:rsid w:val="00393715"/>
    <w:rsid w:val="003C5B13"/>
    <w:rsid w:val="003D7499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CA4"/>
    <w:rsid w:val="00444E07"/>
    <w:rsid w:val="00444FA9"/>
    <w:rsid w:val="00473E9C"/>
    <w:rsid w:val="00480099"/>
    <w:rsid w:val="004832B4"/>
    <w:rsid w:val="004941A2"/>
    <w:rsid w:val="00497858"/>
    <w:rsid w:val="004A729A"/>
    <w:rsid w:val="004B4FEA"/>
    <w:rsid w:val="004C0ADA"/>
    <w:rsid w:val="004C3CBA"/>
    <w:rsid w:val="004C433E"/>
    <w:rsid w:val="004C4512"/>
    <w:rsid w:val="004C4F36"/>
    <w:rsid w:val="004D3D85"/>
    <w:rsid w:val="004E2BD8"/>
    <w:rsid w:val="004F0F1F"/>
    <w:rsid w:val="004F119B"/>
    <w:rsid w:val="004F70F4"/>
    <w:rsid w:val="005022AA"/>
    <w:rsid w:val="00504845"/>
    <w:rsid w:val="0050757F"/>
    <w:rsid w:val="00516AD2"/>
    <w:rsid w:val="00542BD8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0269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E5ABA"/>
    <w:rsid w:val="006F1DBD"/>
    <w:rsid w:val="00700556"/>
    <w:rsid w:val="0070589A"/>
    <w:rsid w:val="00707E86"/>
    <w:rsid w:val="007167DD"/>
    <w:rsid w:val="00716C55"/>
    <w:rsid w:val="0072247E"/>
    <w:rsid w:val="0072478B"/>
    <w:rsid w:val="0073414D"/>
    <w:rsid w:val="007475A1"/>
    <w:rsid w:val="0075235E"/>
    <w:rsid w:val="007528A5"/>
    <w:rsid w:val="007732CC"/>
    <w:rsid w:val="00774079"/>
    <w:rsid w:val="0077752B"/>
    <w:rsid w:val="00787B9E"/>
    <w:rsid w:val="007918DD"/>
    <w:rsid w:val="00793D6F"/>
    <w:rsid w:val="00794090"/>
    <w:rsid w:val="007A23BB"/>
    <w:rsid w:val="007A44F8"/>
    <w:rsid w:val="007D21BF"/>
    <w:rsid w:val="007F3C12"/>
    <w:rsid w:val="007F3C6B"/>
    <w:rsid w:val="007F5205"/>
    <w:rsid w:val="0080486B"/>
    <w:rsid w:val="008215E7"/>
    <w:rsid w:val="00830FC6"/>
    <w:rsid w:val="00833B74"/>
    <w:rsid w:val="00850E26"/>
    <w:rsid w:val="00865EAA"/>
    <w:rsid w:val="00866F06"/>
    <w:rsid w:val="008728F5"/>
    <w:rsid w:val="008824C2"/>
    <w:rsid w:val="00892747"/>
    <w:rsid w:val="008960E4"/>
    <w:rsid w:val="008A3940"/>
    <w:rsid w:val="008B13C9"/>
    <w:rsid w:val="008C248C"/>
    <w:rsid w:val="008C5432"/>
    <w:rsid w:val="008C552A"/>
    <w:rsid w:val="008C7BF1"/>
    <w:rsid w:val="008D00D6"/>
    <w:rsid w:val="008D4D00"/>
    <w:rsid w:val="008D4E5E"/>
    <w:rsid w:val="008D7ABD"/>
    <w:rsid w:val="008E55A2"/>
    <w:rsid w:val="008F1609"/>
    <w:rsid w:val="008F78D8"/>
    <w:rsid w:val="0092648B"/>
    <w:rsid w:val="0093373C"/>
    <w:rsid w:val="0093553C"/>
    <w:rsid w:val="00961620"/>
    <w:rsid w:val="009734B6"/>
    <w:rsid w:val="0098096F"/>
    <w:rsid w:val="0098437A"/>
    <w:rsid w:val="00986C92"/>
    <w:rsid w:val="00993C47"/>
    <w:rsid w:val="009972BC"/>
    <w:rsid w:val="009A3D10"/>
    <w:rsid w:val="009B4B16"/>
    <w:rsid w:val="009C6E24"/>
    <w:rsid w:val="009E54A1"/>
    <w:rsid w:val="009F4E25"/>
    <w:rsid w:val="009F5B1F"/>
    <w:rsid w:val="00A225A9"/>
    <w:rsid w:val="00A3308E"/>
    <w:rsid w:val="00A35DFD"/>
    <w:rsid w:val="00A6158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1969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4533B"/>
    <w:rsid w:val="00B55A44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BE1915"/>
    <w:rsid w:val="00C04EFE"/>
    <w:rsid w:val="00C31ED8"/>
    <w:rsid w:val="00C40DE4"/>
    <w:rsid w:val="00C432E4"/>
    <w:rsid w:val="00C70C26"/>
    <w:rsid w:val="00C72001"/>
    <w:rsid w:val="00C772B7"/>
    <w:rsid w:val="00C80347"/>
    <w:rsid w:val="00CA1D07"/>
    <w:rsid w:val="00CB24D2"/>
    <w:rsid w:val="00CB7C1A"/>
    <w:rsid w:val="00CC5E08"/>
    <w:rsid w:val="00CE14FD"/>
    <w:rsid w:val="00CE7F2E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55B68"/>
    <w:rsid w:val="00D723F0"/>
    <w:rsid w:val="00D8133F"/>
    <w:rsid w:val="00D861EE"/>
    <w:rsid w:val="00D95B05"/>
    <w:rsid w:val="00D97E2D"/>
    <w:rsid w:val="00DA103D"/>
    <w:rsid w:val="00DA45D3"/>
    <w:rsid w:val="00DA4772"/>
    <w:rsid w:val="00DA5513"/>
    <w:rsid w:val="00DA7B44"/>
    <w:rsid w:val="00DB2667"/>
    <w:rsid w:val="00DB67B7"/>
    <w:rsid w:val="00DC15A9"/>
    <w:rsid w:val="00DC40AA"/>
    <w:rsid w:val="00DC65AA"/>
    <w:rsid w:val="00DD1750"/>
    <w:rsid w:val="00DF7A47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9B8"/>
    <w:rsid w:val="00E94CD9"/>
    <w:rsid w:val="00E96A62"/>
    <w:rsid w:val="00EA1A76"/>
    <w:rsid w:val="00EA290B"/>
    <w:rsid w:val="00EA6937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37AE8"/>
    <w:rsid w:val="00F50D25"/>
    <w:rsid w:val="00F535D8"/>
    <w:rsid w:val="00F61155"/>
    <w:rsid w:val="00F708E3"/>
    <w:rsid w:val="00F751EF"/>
    <w:rsid w:val="00F76561"/>
    <w:rsid w:val="00F84736"/>
    <w:rsid w:val="00FB2019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19E3525"/>
  <w15:docId w15:val="{07341C1D-2218-412F-8A34-CD8E0C76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E1915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F3C6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F3C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3C6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3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3C6B"/>
    <w:rPr>
      <w:b/>
      <w:bCs/>
    </w:rPr>
  </w:style>
  <w:style w:type="paragraph" w:styleId="Header">
    <w:name w:val="header"/>
    <w:basedOn w:val="Normal"/>
    <w:link w:val="HeaderChar"/>
    <w:unhideWhenUsed/>
    <w:rsid w:val="00CA1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1D0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A1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A1D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