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F2C3C" w:rsidRPr="00592327" w14:paraId="5F69EE30" w14:textId="77777777">
      <w:pPr>
        <w:pStyle w:val="Title"/>
      </w:pPr>
      <w:r w:rsidRPr="0059232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839136</wp:posOffset>
            </wp:positionH>
            <wp:positionV relativeFrom="paragraph">
              <wp:posOffset>452</wp:posOffset>
            </wp:positionV>
            <wp:extent cx="688581" cy="70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81" cy="70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27">
        <w:t>FEDERAL</w:t>
      </w:r>
      <w:r w:rsidRPr="00592327">
        <w:rPr>
          <w:spacing w:val="-15"/>
        </w:rPr>
        <w:t xml:space="preserve"> </w:t>
      </w:r>
      <w:r w:rsidRPr="00592327">
        <w:t>COMMUNICATIONS</w:t>
      </w:r>
      <w:r w:rsidRPr="00592327">
        <w:rPr>
          <w:spacing w:val="-15"/>
        </w:rPr>
        <w:t xml:space="preserve"> </w:t>
      </w:r>
      <w:r w:rsidRPr="00592327">
        <w:t>COMMISSION WASHINGTON, DC 20554</w:t>
      </w:r>
    </w:p>
    <w:p w:rsidR="00EF2C3C" w:rsidRPr="00592327" w14:paraId="7DE38E76" w14:textId="77777777">
      <w:pPr>
        <w:pStyle w:val="BodyText"/>
        <w:rPr>
          <w:sz w:val="26"/>
        </w:rPr>
      </w:pPr>
    </w:p>
    <w:p w:rsidR="00EF2C3C" w:rsidRPr="00592327" w14:paraId="1DDD3BB5" w14:textId="0390B67D">
      <w:pPr>
        <w:pStyle w:val="BodyText"/>
        <w:spacing w:before="229"/>
        <w:ind w:left="2736" w:right="2000"/>
        <w:jc w:val="center"/>
      </w:pPr>
      <w:r w:rsidRPr="0035061F">
        <w:t xml:space="preserve">August </w:t>
      </w:r>
      <w:r w:rsidRPr="0035061F" w:rsidR="007519EA">
        <w:t>30</w:t>
      </w:r>
      <w:r w:rsidRPr="0035061F" w:rsidR="00272A8F">
        <w:t>, 2022</w:t>
      </w:r>
    </w:p>
    <w:p w:rsidR="00EF2C3C" w:rsidRPr="00592327" w14:paraId="4B484587" w14:textId="77777777">
      <w:pPr>
        <w:pStyle w:val="BodyText"/>
        <w:spacing w:before="1"/>
        <w:rPr>
          <w:sz w:val="14"/>
        </w:rPr>
      </w:pPr>
    </w:p>
    <w:p w:rsidR="0035061F" w:rsidP="00114DAB" w14:paraId="495161F4" w14:textId="77777777">
      <w:pPr>
        <w:pStyle w:val="BodyText"/>
        <w:ind w:right="187"/>
      </w:pPr>
    </w:p>
    <w:p w:rsidR="007E4CE8" w:rsidRPr="007E4CE8" w:rsidP="00477DC8" w14:paraId="7399B384" w14:textId="50B84C3B">
      <w:pPr>
        <w:pStyle w:val="BodyText"/>
        <w:ind w:left="180" w:right="187"/>
      </w:pPr>
      <w:r w:rsidRPr="007E4CE8">
        <w:t>Robert G. Morse</w:t>
      </w:r>
    </w:p>
    <w:p w:rsidR="007E4CE8" w:rsidRPr="007E4CE8" w:rsidP="00477DC8" w14:paraId="6A88BE72" w14:textId="77777777">
      <w:pPr>
        <w:pStyle w:val="BodyText"/>
        <w:ind w:left="180" w:right="187"/>
      </w:pPr>
      <w:r w:rsidRPr="007E4CE8">
        <w:t>Associate General Counsel</w:t>
      </w:r>
    </w:p>
    <w:p w:rsidR="007E4CE8" w:rsidRPr="007E4CE8" w:rsidP="00477DC8" w14:paraId="1AFF000C" w14:textId="77777777">
      <w:pPr>
        <w:pStyle w:val="BodyText"/>
        <w:ind w:left="180" w:right="187"/>
      </w:pPr>
      <w:r w:rsidRPr="007E4CE8">
        <w:t>Verizon</w:t>
      </w:r>
    </w:p>
    <w:p w:rsidR="007E4CE8" w:rsidRPr="007E4CE8" w:rsidP="00477DC8" w14:paraId="43B17DAA" w14:textId="77777777">
      <w:pPr>
        <w:pStyle w:val="BodyText"/>
        <w:ind w:left="180" w:right="187"/>
      </w:pPr>
      <w:r w:rsidRPr="007E4CE8">
        <w:t>1300 I Street NW, Suite 500 East</w:t>
      </w:r>
    </w:p>
    <w:p w:rsidR="000D7563" w:rsidP="000D7563" w14:paraId="799D821C" w14:textId="77777777">
      <w:pPr>
        <w:pStyle w:val="BodyText"/>
        <w:ind w:left="180" w:right="187"/>
      </w:pPr>
      <w:r w:rsidRPr="007E4CE8">
        <w:t>Washington, DC 20005</w:t>
      </w:r>
    </w:p>
    <w:p w:rsidR="000D7563" w:rsidP="000D7563" w14:paraId="10059AED" w14:textId="7E53F6B6">
      <w:pPr>
        <w:pStyle w:val="BodyText"/>
        <w:ind w:left="180" w:right="187"/>
      </w:pPr>
      <w:r>
        <w:t xml:space="preserve">Via Email:  </w:t>
      </w:r>
      <w:hyperlink r:id="rId6" w:history="1">
        <w:r>
          <w:rPr>
            <w:rStyle w:val="Hyperlink"/>
          </w:rPr>
          <w:t>Robert.Morse@verizon.com</w:t>
        </w:r>
      </w:hyperlink>
    </w:p>
    <w:p w:rsidR="00FC5021" w:rsidP="007153A4" w14:paraId="04886BAF" w14:textId="0097D0D9">
      <w:pPr>
        <w:pStyle w:val="BodyText"/>
        <w:ind w:right="187"/>
      </w:pPr>
    </w:p>
    <w:p w:rsidR="00FC5021" w:rsidP="00FC5021" w14:paraId="7AC2208E" w14:textId="77777777">
      <w:pPr>
        <w:pStyle w:val="BodyText"/>
        <w:ind w:left="180" w:right="187"/>
      </w:pPr>
      <w:r>
        <w:t>William H. Johnson</w:t>
      </w:r>
    </w:p>
    <w:p w:rsidR="00FC5021" w:rsidP="00FC5021" w14:paraId="0467E877" w14:textId="77777777">
      <w:pPr>
        <w:pStyle w:val="BodyText"/>
        <w:ind w:left="180" w:right="187"/>
      </w:pPr>
      <w:r>
        <w:t>Senior Vice President, Federal Regulatory and Legal Affairs</w:t>
      </w:r>
    </w:p>
    <w:p w:rsidR="00FC5021" w:rsidP="00FC5021" w14:paraId="214DE0E5" w14:textId="77777777">
      <w:pPr>
        <w:pStyle w:val="BodyText"/>
        <w:ind w:left="180" w:right="187"/>
      </w:pPr>
      <w:r>
        <w:t>Verizon</w:t>
      </w:r>
    </w:p>
    <w:p w:rsidR="00FC5021" w:rsidP="00FC5021" w14:paraId="43B9657E" w14:textId="77777777">
      <w:pPr>
        <w:pStyle w:val="BodyText"/>
        <w:ind w:left="180" w:right="187"/>
      </w:pPr>
      <w:r>
        <w:t>1320 North Courthouse Road, Ninth Floor</w:t>
      </w:r>
    </w:p>
    <w:p w:rsidR="00FC5021" w:rsidP="00FC5021" w14:paraId="3A77645F" w14:textId="2A957345">
      <w:pPr>
        <w:pStyle w:val="BodyText"/>
        <w:ind w:left="180" w:right="187"/>
      </w:pPr>
      <w:r>
        <w:t>Arlington, VA 22201</w:t>
      </w:r>
    </w:p>
    <w:p w:rsidR="00FC5021" w:rsidP="00FC5021" w14:paraId="20AA3D2C" w14:textId="24018A5B">
      <w:pPr>
        <w:pStyle w:val="BodyText"/>
        <w:ind w:left="180" w:right="187"/>
      </w:pPr>
      <w:r>
        <w:t xml:space="preserve">Via Email:   </w:t>
      </w:r>
      <w:hyperlink r:id="rId7" w:history="1">
        <w:r w:rsidRPr="00D5107A">
          <w:rPr>
            <w:rStyle w:val="Hyperlink"/>
          </w:rPr>
          <w:t>will.h.johnson@verizon.com</w:t>
        </w:r>
      </w:hyperlink>
    </w:p>
    <w:p w:rsidR="00FC5021" w:rsidP="00477DC8" w14:paraId="5B33D81E" w14:textId="77777777">
      <w:pPr>
        <w:pStyle w:val="BodyText"/>
        <w:ind w:left="180" w:right="187"/>
      </w:pPr>
    </w:p>
    <w:p w:rsidR="00DC742A" w:rsidP="00DC742A" w14:paraId="176CDD74" w14:textId="47E201D4">
      <w:pPr>
        <w:pStyle w:val="BodyText"/>
        <w:ind w:left="180" w:right="187"/>
      </w:pPr>
      <w:r w:rsidRPr="00592327">
        <w:t>Re:</w:t>
      </w:r>
      <w:r w:rsidRPr="00592327">
        <w:rPr>
          <w:spacing w:val="-6"/>
        </w:rPr>
        <w:t xml:space="preserve"> </w:t>
      </w:r>
      <w:r w:rsidRPr="00592327" w:rsidR="00B66EB6">
        <w:rPr>
          <w:spacing w:val="-6"/>
        </w:rPr>
        <w:t>Localized</w:t>
      </w:r>
      <w:r w:rsidRPr="00592327" w:rsidR="008040A7">
        <w:rPr>
          <w:spacing w:val="-6"/>
        </w:rPr>
        <w:t>,</w:t>
      </w:r>
      <w:r w:rsidRPr="00592327" w:rsidR="00B66EB6">
        <w:rPr>
          <w:spacing w:val="-6"/>
        </w:rPr>
        <w:t xml:space="preserve"> End-to-End </w:t>
      </w:r>
      <w:r w:rsidRPr="00592327">
        <w:t>Wireless</w:t>
      </w:r>
      <w:r w:rsidRPr="00592327">
        <w:rPr>
          <w:spacing w:val="-6"/>
        </w:rPr>
        <w:t xml:space="preserve"> </w:t>
      </w:r>
      <w:r w:rsidRPr="00592327">
        <w:t>Emergency</w:t>
      </w:r>
      <w:r w:rsidRPr="00592327">
        <w:rPr>
          <w:spacing w:val="-7"/>
        </w:rPr>
        <w:t xml:space="preserve"> </w:t>
      </w:r>
      <w:r w:rsidRPr="00592327">
        <w:t>Alert</w:t>
      </w:r>
      <w:r w:rsidRPr="00592327">
        <w:rPr>
          <w:spacing w:val="-4"/>
        </w:rPr>
        <w:t xml:space="preserve"> </w:t>
      </w:r>
      <w:r w:rsidRPr="00592327">
        <w:t>Performance</w:t>
      </w:r>
      <w:r w:rsidRPr="00592327">
        <w:rPr>
          <w:spacing w:val="-6"/>
        </w:rPr>
        <w:t xml:space="preserve"> </w:t>
      </w:r>
      <w:r w:rsidRPr="00592327" w:rsidR="00B66EB6">
        <w:rPr>
          <w:spacing w:val="-6"/>
        </w:rPr>
        <w:t xml:space="preserve">Testing </w:t>
      </w:r>
      <w:r w:rsidRPr="00592327" w:rsidR="008040A7">
        <w:rPr>
          <w:spacing w:val="-6"/>
        </w:rPr>
        <w:t>with</w:t>
      </w:r>
      <w:r w:rsidR="007E4CE8">
        <w:rPr>
          <w:spacing w:val="-6"/>
        </w:rPr>
        <w:t xml:space="preserve"> Geo-Targeting Enabled</w:t>
      </w:r>
    </w:p>
    <w:p w:rsidR="00DC742A" w:rsidP="00DC742A" w14:paraId="13BB7A99" w14:textId="77777777">
      <w:pPr>
        <w:pStyle w:val="BodyText"/>
        <w:ind w:left="180" w:right="187"/>
      </w:pPr>
    </w:p>
    <w:p w:rsidR="00EF2C3C" w:rsidRPr="00592327" w:rsidP="00DC742A" w14:paraId="4FE976CE" w14:textId="1441A78E">
      <w:pPr>
        <w:pStyle w:val="BodyText"/>
        <w:spacing w:after="240"/>
        <w:ind w:left="187" w:right="187"/>
      </w:pPr>
      <w:r w:rsidRPr="00592327">
        <w:t>Dear M</w:t>
      </w:r>
      <w:r w:rsidR="000E02D0">
        <w:t>e</w:t>
      </w:r>
      <w:r w:rsidR="000D7563">
        <w:t>ss</w:t>
      </w:r>
      <w:r w:rsidRPr="00592327">
        <w:t>r</w:t>
      </w:r>
      <w:r w:rsidR="000D7563">
        <w:t>s</w:t>
      </w:r>
      <w:r w:rsidRPr="00592327">
        <w:t xml:space="preserve">. </w:t>
      </w:r>
      <w:r w:rsidR="007E4CE8">
        <w:t>Morse</w:t>
      </w:r>
      <w:r w:rsidR="000D7563">
        <w:t xml:space="preserve"> and Johnson</w:t>
      </w:r>
      <w:r w:rsidRPr="00592327">
        <w:t>:</w:t>
      </w:r>
    </w:p>
    <w:p w:rsidR="00D34AC7" w:rsidRPr="00592327" w:rsidP="00477DC8" w14:paraId="034C07AC" w14:textId="2AC262DD">
      <w:pPr>
        <w:pStyle w:val="BodyText"/>
        <w:ind w:left="180" w:right="187" w:firstLine="540"/>
      </w:pPr>
      <w:r w:rsidRPr="00592327">
        <w:t xml:space="preserve">Wireless Emergency Alerts (WEA) provide important and potentially life-saving information to the public in the event of a natural disaster or other critical situation. As a WEA provider, </w:t>
      </w:r>
      <w:r w:rsidR="007E4CE8">
        <w:t>Verizon</w:t>
      </w:r>
      <w:r w:rsidRPr="00592327">
        <w:t xml:space="preserve"> plays a key role in the alerting process</w:t>
      </w:r>
      <w:r w:rsidRPr="00592327" w:rsidR="00307468">
        <w:t xml:space="preserve">, which is </w:t>
      </w:r>
      <w:r w:rsidRPr="00592327">
        <w:t xml:space="preserve">vital for emergency managers to help keep the public safe. Thank you for your voluntary participation in this important program. The development and </w:t>
      </w:r>
      <w:r w:rsidRPr="00592327" w:rsidR="00600C9A">
        <w:t xml:space="preserve">successful </w:t>
      </w:r>
      <w:r w:rsidRPr="00592327">
        <w:t xml:space="preserve">implementation of WEA </w:t>
      </w:r>
      <w:r w:rsidRPr="00592327" w:rsidR="00600C9A">
        <w:t xml:space="preserve">requires </w:t>
      </w:r>
      <w:r w:rsidRPr="00592327">
        <w:t xml:space="preserve">cooperation and collaboration between the Federal Communications Commission, the Federal Emergency Management Agency (FEMA), </w:t>
      </w:r>
      <w:r w:rsidRPr="00592327" w:rsidR="00CE3ED6">
        <w:t>public safety officials</w:t>
      </w:r>
      <w:r w:rsidRPr="00592327" w:rsidR="00600C9A">
        <w:t xml:space="preserve">, </w:t>
      </w:r>
      <w:r w:rsidRPr="00592327">
        <w:t>and the wireless industry</w:t>
      </w:r>
      <w:r w:rsidRPr="00592327" w:rsidR="003612DC">
        <w:t>.</w:t>
      </w:r>
    </w:p>
    <w:p w:rsidR="00B66EB6" w:rsidRPr="00592327" w:rsidP="00477DC8" w14:paraId="186B48FD" w14:textId="552D42CA">
      <w:pPr>
        <w:pStyle w:val="BodyText"/>
        <w:spacing w:before="240" w:after="240"/>
        <w:ind w:left="216" w:right="187" w:firstLine="504"/>
      </w:pPr>
      <w:r>
        <w:t>Verizon</w:t>
      </w:r>
      <w:r w:rsidRPr="00592327" w:rsidR="00AB2E97">
        <w:t xml:space="preserve"> supported the 2021 </w:t>
      </w:r>
      <w:r w:rsidRPr="00592327" w:rsidR="003612DC">
        <w:t xml:space="preserve">nationwide WEA test </w:t>
      </w:r>
      <w:r w:rsidRPr="00592327" w:rsidR="00AB2E97">
        <w:t xml:space="preserve">by submitting answers to questions from the Public Safety and Homeland Security Bureau </w:t>
      </w:r>
      <w:r w:rsidRPr="00592327" w:rsidR="00FB6E07">
        <w:t xml:space="preserve">(PSHSB) </w:t>
      </w:r>
      <w:r w:rsidRPr="00592327" w:rsidR="00AB2E97">
        <w:t xml:space="preserve">related to its performance of the test.  </w:t>
      </w:r>
      <w:r w:rsidRPr="00592327" w:rsidR="003612DC">
        <w:t xml:space="preserve"> </w:t>
      </w:r>
      <w:r w:rsidRPr="00592327" w:rsidR="00AB2E97">
        <w:t xml:space="preserve">The Commission conducted the 2021 nationwide WEA test through a first-of-its-kind partnership with </w:t>
      </w:r>
      <w:r w:rsidRPr="00592327" w:rsidR="003612DC">
        <w:t>11 federal, state, and local emergency management agencies</w:t>
      </w:r>
      <w:r w:rsidRPr="00592327" w:rsidR="00AB2E97">
        <w:t>,</w:t>
      </w:r>
      <w:r>
        <w:rPr>
          <w:vertAlign w:val="superscript"/>
        </w:rPr>
        <w:footnoteReference w:id="2"/>
      </w:r>
      <w:r w:rsidRPr="00592327" w:rsidR="00AB2E97">
        <w:t xml:space="preserve"> and used a “State/Local WEA Test Alert” </w:t>
      </w:r>
      <w:r w:rsidRPr="00592327" w:rsidR="003612DC">
        <w:t xml:space="preserve"> to assess </w:t>
      </w:r>
      <w:r w:rsidRPr="00592327" w:rsidR="00AB2E97">
        <w:t>WEA’s performance during a nationwide activation</w:t>
      </w:r>
      <w:r w:rsidRPr="00592327" w:rsidR="00545566">
        <w:t>.</w:t>
      </w:r>
      <w:r w:rsidRPr="00592327" w:rsidR="003612DC">
        <w:t xml:space="preserve"> </w:t>
      </w:r>
      <w:r w:rsidRPr="00592327" w:rsidR="00893A7B">
        <w:t xml:space="preserve"> </w:t>
      </w:r>
      <w:r w:rsidRPr="00592327" w:rsidR="00562B40">
        <w:t>PSHSB’s</w:t>
      </w:r>
      <w:r w:rsidRPr="00592327" w:rsidR="008B2514">
        <w:t xml:space="preserve"> Report on the 2021 nationwide WEA test</w:t>
      </w:r>
      <w:r w:rsidRPr="00592327" w:rsidR="00893A7B">
        <w:t xml:space="preserve"> found that, on the whole, WEA performed reliably, but there was room for improvement.</w:t>
      </w:r>
      <w:r>
        <w:rPr>
          <w:rStyle w:val="FootnoteReference"/>
        </w:rPr>
        <w:footnoteReference w:id="3"/>
      </w:r>
      <w:r w:rsidRPr="00592327" w:rsidR="00562B40">
        <w:t xml:space="preserve"> </w:t>
      </w:r>
      <w:r w:rsidRPr="00592327" w:rsidR="0086728A">
        <w:t>PSHSB recommended additional localized testing to confirm WEA’s demonstrated nationwide performance in local alerting jurisdictions.</w:t>
      </w:r>
      <w:r>
        <w:rPr>
          <w:rStyle w:val="FootnoteReference"/>
        </w:rPr>
        <w:footnoteReference w:id="4"/>
      </w:r>
      <w:r w:rsidRPr="00592327" w:rsidR="0086728A">
        <w:t xml:space="preserve">  PSHSB also committed to conducting WEA tests in the future that evaluate WEA’s performance with enhanced WEA geo-targeting enabled and that address </w:t>
      </w:r>
      <w:r w:rsidRPr="00592327" w:rsidR="0086728A">
        <w:t>challenges that volunteer nationwide test survey respondents had with opting in to receive State/Local WEA Test Alerts.</w:t>
      </w:r>
      <w:r>
        <w:rPr>
          <w:rStyle w:val="FootnoteReference"/>
        </w:rPr>
        <w:footnoteReference w:id="5"/>
      </w:r>
    </w:p>
    <w:p w:rsidR="00174839" w:rsidP="00951BE3" w14:paraId="2B99479E" w14:textId="7C76211B">
      <w:pPr>
        <w:pStyle w:val="BodyText"/>
        <w:spacing w:before="240" w:after="240"/>
        <w:ind w:left="216" w:right="187" w:firstLine="504"/>
      </w:pPr>
      <w:r w:rsidRPr="00592327">
        <w:t xml:space="preserve">Building upon this history of collaboration, PSHSB now seeks </w:t>
      </w:r>
      <w:r w:rsidR="007E4CE8">
        <w:t>Verizon</w:t>
      </w:r>
      <w:r w:rsidRPr="00592327">
        <w:t xml:space="preserve">’s cooperation in evaluating WEA’s performance during </w:t>
      </w:r>
      <w:r w:rsidRPr="00592327" w:rsidR="00A45280">
        <w:t xml:space="preserve">WEA </w:t>
      </w:r>
      <w:r w:rsidRPr="00592327">
        <w:t xml:space="preserve">performance </w:t>
      </w:r>
      <w:r w:rsidRPr="00592327" w:rsidR="00EF4ECD">
        <w:t xml:space="preserve">testing </w:t>
      </w:r>
      <w:r w:rsidR="00B006F6">
        <w:t xml:space="preserve">to be conducted </w:t>
      </w:r>
      <w:r w:rsidR="00FF1886">
        <w:t xml:space="preserve">by </w:t>
      </w:r>
      <w:r w:rsidRPr="00A76B12" w:rsidR="00951BE3">
        <w:t>42</w:t>
      </w:r>
      <w:r w:rsidRPr="00A76B12" w:rsidR="00FF1886">
        <w:t xml:space="preserve"> alert originators </w:t>
      </w:r>
      <w:r w:rsidRPr="00A76B12" w:rsidR="005F1EE1">
        <w:t>in</w:t>
      </w:r>
      <w:r w:rsidR="005F1EE1">
        <w:t xml:space="preserve"> accordance with </w:t>
      </w:r>
      <w:r w:rsidR="00951BE3">
        <w:t>the schedule published in PSHSB’s 2022 WEA performance test waiver order.</w:t>
      </w:r>
      <w:r>
        <w:rPr>
          <w:rStyle w:val="FootnoteReference"/>
        </w:rPr>
        <w:footnoteReference w:id="6"/>
      </w:r>
    </w:p>
    <w:p w:rsidR="00D346A4" w:rsidRPr="00592327" w:rsidP="00AA024E" w14:paraId="287809BA" w14:textId="32CEA676">
      <w:pPr>
        <w:pStyle w:val="BodyText"/>
        <w:spacing w:after="120"/>
        <w:ind w:left="187" w:right="187" w:firstLine="547"/>
      </w:pPr>
      <w:r>
        <w:t xml:space="preserve">These tests will be used to measure WEA’s end-to-end performance with enhanced WEA geo-targeting enabled. For each of these WEA tests, PSHSB requests that </w:t>
      </w:r>
      <w:r w:rsidR="00DC5625">
        <w:t>Verizon</w:t>
      </w:r>
      <w:r>
        <w:t xml:space="preserve"> provide, in writing, responses to the following inquiries regarding the performance of </w:t>
      </w:r>
      <w:r w:rsidR="00DC5625">
        <w:t>Verizon</w:t>
      </w:r>
      <w:r>
        <w:t>’s network:</w:t>
      </w:r>
    </w:p>
    <w:p w:rsidR="00701790" w:rsidRPr="00592327" w:rsidP="004A6E43" w14:paraId="40989873" w14:textId="6E806FF2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Did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 xml:space="preserve"> receive the test message and transmit it to its subscribers </w:t>
      </w:r>
      <w:r w:rsidRPr="00592327" w:rsidR="008055D7">
        <w:rPr>
          <w:rFonts w:eastAsiaTheme="minorHAnsi"/>
        </w:rPr>
        <w:t>with</w:t>
      </w:r>
      <w:r w:rsidRPr="00592327">
        <w:rPr>
          <w:rFonts w:eastAsiaTheme="minorHAnsi"/>
        </w:rPr>
        <w:t xml:space="preserve">in </w:t>
      </w:r>
      <w:r w:rsidRPr="00592327" w:rsidR="008055D7">
        <w:rPr>
          <w:rFonts w:eastAsiaTheme="minorHAnsi"/>
        </w:rPr>
        <w:t>the geo-targeted area?</w:t>
      </w:r>
    </w:p>
    <w:p w:rsidR="00701790" w:rsidRPr="00592327" w:rsidP="004A6E43" w14:paraId="74DCA8A3" w14:textId="4CD0FA67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At what time (to the closest millisecond, if available) did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>’s gateway/Cell Broadcast Entity receive the alert from FEMA’s Integrated Public Alert and Warning System (IPAWS)?</w:t>
      </w:r>
    </w:p>
    <w:p w:rsidR="00701790" w:rsidRPr="00592327" w:rsidP="004A6E43" w14:paraId="503E61DC" w14:textId="11E25071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At what time (to the closest millisecond, if available) did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 xml:space="preserve"> transmit the alert to subscribers?</w:t>
      </w:r>
    </w:p>
    <w:p w:rsidR="00701790" w:rsidRPr="00592327" w:rsidP="00A76B12" w14:paraId="11B9DA39" w14:textId="16FDC227">
      <w:pPr>
        <w:pStyle w:val="ListParagraph"/>
        <w:widowControl/>
        <w:numPr>
          <w:ilvl w:val="0"/>
          <w:numId w:val="5"/>
        </w:numPr>
        <w:adjustRightInd w:val="0"/>
        <w:spacing w:after="120"/>
        <w:rPr>
          <w:rFonts w:eastAsiaTheme="minorHAnsi"/>
        </w:rPr>
      </w:pPr>
      <w:r w:rsidRPr="00592327">
        <w:rPr>
          <w:rFonts w:eastAsiaTheme="minorHAnsi"/>
        </w:rPr>
        <w:t xml:space="preserve">How much time (to the closest millisecond, if available) did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>’s network require to complete each of the following steps?</w:t>
      </w:r>
    </w:p>
    <w:p w:rsidR="00701790" w:rsidRPr="00592327" w:rsidP="00701790" w14:paraId="40A29241" w14:textId="53706755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For the gateway/Cell Broadcast Entity to process and send the alert to the Cell Broadcast Center.</w:t>
      </w:r>
    </w:p>
    <w:p w:rsidR="00701790" w:rsidRPr="00592327" w:rsidP="00701790" w14:paraId="79EC66C6" w14:textId="77777777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>For the Cell Broadcast Center to process and send the alert to its Radio Network Controllers/Mobility Management Entities/Access and Mobility Function?</w:t>
      </w:r>
    </w:p>
    <w:p w:rsidR="00701790" w:rsidRPr="00592327" w:rsidP="00701790" w14:paraId="27E0BF10" w14:textId="52D2E33E">
      <w:pPr>
        <w:pStyle w:val="ListParagraph"/>
        <w:widowControl/>
        <w:numPr>
          <w:ilvl w:val="1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 xml:space="preserve">For the Cell Radio Network Controllers/Mobility Management Entities to process and send the alert to its </w:t>
      </w:r>
      <w:r w:rsidRPr="00592327">
        <w:rPr>
          <w:rFonts w:eastAsiaTheme="minorHAnsi"/>
        </w:rPr>
        <w:t>NodeBs</w:t>
      </w:r>
      <w:r w:rsidRPr="00592327">
        <w:rPr>
          <w:rFonts w:eastAsiaTheme="minorHAnsi"/>
        </w:rPr>
        <w:t>/</w:t>
      </w:r>
      <w:r w:rsidRPr="00592327">
        <w:rPr>
          <w:rFonts w:eastAsiaTheme="minorHAnsi"/>
        </w:rPr>
        <w:t>eNodeBs</w:t>
      </w:r>
      <w:r w:rsidRPr="00592327">
        <w:rPr>
          <w:rFonts w:eastAsiaTheme="minorHAnsi"/>
        </w:rPr>
        <w:t>/</w:t>
      </w:r>
      <w:r w:rsidRPr="00592327">
        <w:rPr>
          <w:rFonts w:eastAsiaTheme="minorHAnsi"/>
        </w:rPr>
        <w:t>gNBs</w:t>
      </w:r>
      <w:r w:rsidR="008E27A1">
        <w:rPr>
          <w:rFonts w:eastAsiaTheme="minorHAnsi"/>
        </w:rPr>
        <w:t>/</w:t>
      </w:r>
      <w:r w:rsidR="008E27A1">
        <w:rPr>
          <w:rFonts w:eastAsiaTheme="minorHAnsi"/>
        </w:rPr>
        <w:t>gNodeBs</w:t>
      </w:r>
      <w:r w:rsidRPr="00592327">
        <w:rPr>
          <w:rFonts w:eastAsiaTheme="minorHAnsi"/>
        </w:rPr>
        <w:t>?</w:t>
      </w:r>
    </w:p>
    <w:p w:rsidR="00701790" w:rsidRPr="00592327" w:rsidP="004A6E43" w14:paraId="7A6B100E" w14:textId="43AB6EB9">
      <w:pPr>
        <w:pStyle w:val="ListParagraph"/>
        <w:widowControl/>
        <w:numPr>
          <w:ilvl w:val="1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For the </w:t>
      </w:r>
      <w:r w:rsidRPr="00592327">
        <w:rPr>
          <w:rFonts w:eastAsiaTheme="minorHAnsi"/>
        </w:rPr>
        <w:t>NodeBs</w:t>
      </w:r>
      <w:r w:rsidRPr="00592327">
        <w:rPr>
          <w:rFonts w:eastAsiaTheme="minorHAnsi"/>
        </w:rPr>
        <w:t>/</w:t>
      </w:r>
      <w:r w:rsidRPr="00592327">
        <w:rPr>
          <w:rFonts w:eastAsiaTheme="minorHAnsi"/>
        </w:rPr>
        <w:t>eNodeBs</w:t>
      </w:r>
      <w:r w:rsidRPr="00592327">
        <w:rPr>
          <w:rFonts w:eastAsiaTheme="minorHAnsi"/>
        </w:rPr>
        <w:t xml:space="preserve"> to process and send the alert to </w:t>
      </w:r>
      <w:r w:rsidR="007E4CE8">
        <w:rPr>
          <w:rFonts w:eastAsiaTheme="minorHAnsi"/>
        </w:rPr>
        <w:t xml:space="preserve">Verizon’s </w:t>
      </w:r>
      <w:r w:rsidRPr="00592327">
        <w:rPr>
          <w:rFonts w:eastAsiaTheme="minorHAnsi"/>
        </w:rPr>
        <w:t>subscribers?</w:t>
      </w:r>
    </w:p>
    <w:p w:rsidR="00767E40" w:rsidRPr="00AB3FE7" w:rsidP="00AB3FE7" w14:paraId="771BD592" w14:textId="083D24CE">
      <w:pPr>
        <w:pStyle w:val="CommentText"/>
        <w:numPr>
          <w:ilvl w:val="0"/>
          <w:numId w:val="5"/>
        </w:numPr>
        <w:spacing w:after="240"/>
        <w:rPr>
          <w:sz w:val="22"/>
          <w:szCs w:val="22"/>
        </w:rPr>
      </w:pPr>
      <w:r w:rsidRPr="008E27A1">
        <w:rPr>
          <w:sz w:val="22"/>
          <w:szCs w:val="22"/>
        </w:rPr>
        <w:t xml:space="preserve">What, if any, of the </w:t>
      </w:r>
      <w:r w:rsidRPr="008E27A1">
        <w:rPr>
          <w:sz w:val="22"/>
          <w:szCs w:val="22"/>
        </w:rPr>
        <w:t>No</w:t>
      </w:r>
      <w:r w:rsidRPr="008E27A1" w:rsidR="00E02807">
        <w:rPr>
          <w:sz w:val="22"/>
          <w:szCs w:val="22"/>
        </w:rPr>
        <w:t>d</w:t>
      </w:r>
      <w:r w:rsidRPr="008E27A1">
        <w:rPr>
          <w:sz w:val="22"/>
          <w:szCs w:val="22"/>
        </w:rPr>
        <w:t>eBs</w:t>
      </w:r>
      <w:r w:rsidRPr="008E27A1">
        <w:rPr>
          <w:sz w:val="22"/>
          <w:szCs w:val="22"/>
        </w:rPr>
        <w:t>/</w:t>
      </w:r>
      <w:r w:rsidRPr="008E27A1">
        <w:rPr>
          <w:sz w:val="22"/>
          <w:szCs w:val="22"/>
        </w:rPr>
        <w:t>eNodeBs</w:t>
      </w:r>
      <w:r w:rsidRPr="008E27A1">
        <w:rPr>
          <w:sz w:val="22"/>
          <w:szCs w:val="22"/>
        </w:rPr>
        <w:t>/</w:t>
      </w:r>
      <w:r w:rsidRPr="008E27A1">
        <w:rPr>
          <w:sz w:val="22"/>
          <w:szCs w:val="22"/>
        </w:rPr>
        <w:t>gNBs</w:t>
      </w:r>
      <w:r w:rsidRPr="008E27A1">
        <w:rPr>
          <w:sz w:val="22"/>
          <w:szCs w:val="22"/>
        </w:rPr>
        <w:t>/</w:t>
      </w:r>
      <w:r w:rsidRPr="008E27A1">
        <w:rPr>
          <w:sz w:val="22"/>
          <w:szCs w:val="22"/>
        </w:rPr>
        <w:t>gNodeBs</w:t>
      </w:r>
      <w:r w:rsidRPr="008E27A1">
        <w:rPr>
          <w:sz w:val="22"/>
          <w:szCs w:val="22"/>
        </w:rPr>
        <w:t xml:space="preserve"> used to transmit these alerts were not capable of supporting enhanced WEA-geotargeting?</w:t>
      </w:r>
    </w:p>
    <w:p w:rsidR="00025DFD" w:rsidRPr="00592327" w:rsidP="00025DFD" w14:paraId="3040ECC8" w14:textId="62C650E4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Describe any complications with alert processing or transmission that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 xml:space="preserve"> observed or became aware of on WEA test </w:t>
      </w:r>
      <w:r w:rsidR="004F2854">
        <w:rPr>
          <w:rFonts w:eastAsiaTheme="minorHAnsi"/>
        </w:rPr>
        <w:t xml:space="preserve">day </w:t>
      </w:r>
      <w:r w:rsidRPr="00592327">
        <w:rPr>
          <w:rFonts w:eastAsiaTheme="minorHAnsi"/>
        </w:rPr>
        <w:t>that may have delayed or prevented one or more of it</w:t>
      </w:r>
      <w:r w:rsidRPr="00592327" w:rsidR="006A5E52">
        <w:rPr>
          <w:rFonts w:eastAsiaTheme="minorHAnsi"/>
        </w:rPr>
        <w:t>s</w:t>
      </w:r>
      <w:r w:rsidRPr="00592327">
        <w:rPr>
          <w:rFonts w:eastAsiaTheme="minorHAnsi"/>
        </w:rPr>
        <w:t xml:space="preserve"> subscribers from receiving the test alert.</w:t>
      </w:r>
    </w:p>
    <w:p w:rsidR="00701790" w:rsidRPr="00592327" w:rsidP="00025DFD" w14:paraId="44849BD0" w14:textId="7E08977A">
      <w:pPr>
        <w:pStyle w:val="ListParagraph"/>
        <w:widowControl/>
        <w:numPr>
          <w:ilvl w:val="0"/>
          <w:numId w:val="5"/>
        </w:numPr>
        <w:adjustRightInd w:val="0"/>
        <w:spacing w:after="240"/>
        <w:rPr>
          <w:rFonts w:eastAsiaTheme="minorHAnsi"/>
        </w:rPr>
      </w:pPr>
      <w:r w:rsidRPr="00592327">
        <w:rPr>
          <w:rFonts w:eastAsiaTheme="minorHAnsi"/>
        </w:rPr>
        <w:t xml:space="preserve">Describe any steps that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 xml:space="preserve"> has taken or is taking to address any complications identified above, or any other complications that arose during the test.</w:t>
      </w:r>
    </w:p>
    <w:p w:rsidR="00644B2B" w:rsidRPr="006D510E" w:rsidP="006D510E" w14:paraId="10B0FDDF" w14:textId="792A45E3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</w:rPr>
      </w:pPr>
      <w:r w:rsidRPr="00592327">
        <w:rPr>
          <w:rFonts w:eastAsiaTheme="minorHAnsi"/>
        </w:rPr>
        <w:t xml:space="preserve">Describe any other efforts that </w:t>
      </w:r>
      <w:r w:rsidR="007E4CE8">
        <w:rPr>
          <w:rFonts w:eastAsiaTheme="minorHAnsi"/>
        </w:rPr>
        <w:t>Verizon</w:t>
      </w:r>
      <w:r w:rsidRPr="00592327">
        <w:rPr>
          <w:rFonts w:eastAsiaTheme="minorHAnsi"/>
        </w:rPr>
        <w:t xml:space="preserve"> conducted to observe and evaluate WEA performance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during the test, including any efforts to determine whether consumer handsets successfully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displayed the alert.</w:t>
      </w:r>
    </w:p>
    <w:p w:rsidR="00D5200E" w:rsidRPr="00592327" w:rsidP="00AA024E" w14:paraId="6C5A478F" w14:textId="27892A48">
      <w:pPr>
        <w:pStyle w:val="BodyText"/>
        <w:tabs>
          <w:tab w:val="left" w:pos="6480"/>
        </w:tabs>
        <w:spacing w:before="240"/>
        <w:ind w:left="216" w:right="187" w:firstLine="504"/>
      </w:pPr>
      <w:r w:rsidRPr="00AA024E">
        <w:rPr>
          <w:b/>
          <w:bCs/>
        </w:rPr>
        <w:t xml:space="preserve">Please provide your responses, in writing, by </w:t>
      </w:r>
      <w:r w:rsidRPr="00AA024E" w:rsidR="0015669C">
        <w:rPr>
          <w:b/>
          <w:bCs/>
        </w:rPr>
        <w:t>September 30</w:t>
      </w:r>
      <w:r w:rsidRPr="00AA024E" w:rsidR="00446976">
        <w:rPr>
          <w:b/>
          <w:bCs/>
        </w:rPr>
        <w:t>, 2022</w:t>
      </w:r>
      <w:r w:rsidRPr="00AA024E">
        <w:t>.</w:t>
      </w:r>
      <w:r w:rsidRPr="00592327">
        <w:t xml:space="preserve"> The Bureau asks that </w:t>
      </w:r>
      <w:r w:rsidR="007E4CE8">
        <w:t>Verizon</w:t>
      </w:r>
      <w:r w:rsidRPr="00592327">
        <w:t xml:space="preserve"> please respond via the FCC’s Electronic Comment Filing System (ECFS) in PS Dockets </w:t>
      </w:r>
      <w:r w:rsidR="004C7433">
        <w:t xml:space="preserve">22-160, </w:t>
      </w:r>
      <w:r w:rsidRPr="00592327">
        <w:t>15-91</w:t>
      </w:r>
      <w:r w:rsidR="003C6746">
        <w:t>,</w:t>
      </w:r>
      <w:r w:rsidRPr="00592327">
        <w:t xml:space="preserve"> and 15-94.</w:t>
      </w:r>
      <w:r>
        <w:rPr>
          <w:vertAlign w:val="superscript"/>
        </w:rPr>
        <w:footnoteReference w:id="7"/>
      </w:r>
      <w:r w:rsidRPr="004C7433" w:rsidR="00B9446A">
        <w:rPr>
          <w:vertAlign w:val="superscript"/>
        </w:rPr>
        <w:t xml:space="preserve"> </w:t>
      </w:r>
      <w:r w:rsidRPr="00AA024E">
        <w:t xml:space="preserve"> </w:t>
      </w:r>
      <w:r w:rsidRPr="00592327">
        <w:t xml:space="preserve">Comments may be filed electronically using the Internet by accessing ECFS: </w:t>
      </w:r>
      <w:hyperlink r:id="rId8" w:history="1">
        <w:r w:rsidRPr="00045AB7" w:rsidR="00045AB7">
          <w:rPr>
            <w:rStyle w:val="Hyperlink"/>
          </w:rPr>
          <w:t>http://apps.fcc.gov/ecfs/</w:t>
        </w:r>
      </w:hyperlink>
      <w:r w:rsidR="00045AB7">
        <w:t xml:space="preserve">. </w:t>
      </w:r>
      <w:r w:rsidR="002A2D9A">
        <w:t xml:space="preserve"> </w:t>
      </w:r>
      <w:r w:rsidR="00045AB7">
        <w:t>I</w:t>
      </w:r>
      <w:r w:rsidRPr="00592327">
        <w:t xml:space="preserve">f you have any questions, please contact </w:t>
      </w:r>
      <w:r w:rsidR="0015669C">
        <w:t>James Wiley</w:t>
      </w:r>
      <w:r w:rsidRPr="00592327">
        <w:t xml:space="preserve">, </w:t>
      </w:r>
      <w:r w:rsidR="0015669C">
        <w:t>Deputy</w:t>
      </w:r>
      <w:r w:rsidRPr="00592327" w:rsidR="0015669C">
        <w:t xml:space="preserve"> </w:t>
      </w:r>
      <w:r w:rsidRPr="00592327">
        <w:t xml:space="preserve">Chief of the Cybersecurity and Communications Reliability Division, at </w:t>
      </w:r>
      <w:hyperlink r:id="rId9">
        <w:r w:rsidR="0015669C">
          <w:t>James.Wiley</w:t>
        </w:r>
        <w:r w:rsidRPr="00592327" w:rsidR="0015669C">
          <w:t>@fcc.gov.</w:t>
        </w:r>
      </w:hyperlink>
    </w:p>
    <w:p w:rsidR="00EF2C3C" w:rsidRPr="00592327" w:rsidP="00AA024E" w14:paraId="6139AF14" w14:textId="12AF5B9D">
      <w:pPr>
        <w:pStyle w:val="BodyText"/>
        <w:spacing w:before="240" w:after="240"/>
        <w:ind w:left="216" w:right="187" w:firstLine="504"/>
      </w:pPr>
      <w:r w:rsidRPr="00592327">
        <w:t>Thank</w:t>
      </w:r>
      <w:r w:rsidRPr="00AA024E">
        <w:t xml:space="preserve"> </w:t>
      </w:r>
      <w:r w:rsidRPr="00592327">
        <w:t>you</w:t>
      </w:r>
      <w:r w:rsidRPr="00AA024E">
        <w:t xml:space="preserve"> </w:t>
      </w:r>
      <w:r w:rsidRPr="00592327">
        <w:t>for</w:t>
      </w:r>
      <w:r w:rsidRPr="00AA024E">
        <w:t xml:space="preserve"> </w:t>
      </w:r>
      <w:r w:rsidRPr="00592327">
        <w:t>your</w:t>
      </w:r>
      <w:r w:rsidRPr="00AA024E">
        <w:t xml:space="preserve"> </w:t>
      </w:r>
      <w:r w:rsidRPr="00592327">
        <w:t>continued</w:t>
      </w:r>
      <w:r w:rsidRPr="00AA024E">
        <w:t xml:space="preserve"> </w:t>
      </w:r>
      <w:r w:rsidRPr="00592327">
        <w:t>efforts</w:t>
      </w:r>
      <w:r w:rsidRPr="00AA024E">
        <w:t xml:space="preserve"> </w:t>
      </w:r>
      <w:r w:rsidRPr="00592327">
        <w:t>to</w:t>
      </w:r>
      <w:r w:rsidRPr="00AA024E">
        <w:t xml:space="preserve"> </w:t>
      </w:r>
      <w:r w:rsidRPr="00592327">
        <w:t>ensure</w:t>
      </w:r>
      <w:r w:rsidRPr="00AA024E">
        <w:t xml:space="preserve"> </w:t>
      </w:r>
      <w:r w:rsidRPr="00592327">
        <w:t>that</w:t>
      </w:r>
      <w:r w:rsidRPr="00AA024E">
        <w:t xml:space="preserve"> </w:t>
      </w:r>
      <w:r w:rsidRPr="00592327">
        <w:t>the</w:t>
      </w:r>
      <w:r w:rsidRPr="00AA024E">
        <w:t xml:space="preserve"> </w:t>
      </w:r>
      <w:r w:rsidRPr="00592327">
        <w:t>public</w:t>
      </w:r>
      <w:r w:rsidRPr="00AA024E">
        <w:t xml:space="preserve"> </w:t>
      </w:r>
      <w:r w:rsidRPr="00592327">
        <w:t>receives</w:t>
      </w:r>
      <w:r w:rsidRPr="00AA024E">
        <w:t xml:space="preserve"> </w:t>
      </w:r>
      <w:r w:rsidRPr="00592327">
        <w:t>life-saving</w:t>
      </w:r>
      <w:r w:rsidRPr="00AA024E">
        <w:t xml:space="preserve"> </w:t>
      </w:r>
      <w:r w:rsidRPr="00592327">
        <w:t>WEA</w:t>
      </w:r>
      <w:r w:rsidRPr="00AA024E">
        <w:t xml:space="preserve"> messages.</w:t>
      </w:r>
    </w:p>
    <w:p w:rsidR="00EF2C3C" w:rsidRPr="00592327" w:rsidP="00A64F1D" w14:paraId="7CFE6B6D" w14:textId="77777777">
      <w:pPr>
        <w:pStyle w:val="BodyText"/>
        <w:spacing w:before="240" w:after="240"/>
        <w:ind w:right="187"/>
      </w:pPr>
    </w:p>
    <w:p w:rsidR="00EF2C3C" w:rsidRPr="00592327" w14:paraId="476C3AA5" w14:textId="77777777">
      <w:pPr>
        <w:pStyle w:val="BodyText"/>
        <w:ind w:left="4541"/>
      </w:pPr>
      <w:r w:rsidRPr="00592327">
        <w:rPr>
          <w:spacing w:val="-2"/>
        </w:rPr>
        <w:t>Sincerely,</w:t>
      </w:r>
    </w:p>
    <w:p w:rsidR="00EF2C3C" w:rsidRPr="00592327" w14:paraId="1E12A422" w14:textId="77777777">
      <w:pPr>
        <w:pStyle w:val="BodyText"/>
        <w:rPr>
          <w:sz w:val="24"/>
        </w:rPr>
      </w:pPr>
    </w:p>
    <w:p w:rsidR="00D5200E" w:rsidRPr="00592327" w14:paraId="4F344675" w14:textId="75BDE6E3">
      <w:pPr>
        <w:pStyle w:val="BodyText"/>
        <w:rPr>
          <w:sz w:val="24"/>
        </w:rPr>
      </w:pPr>
    </w:p>
    <w:p w:rsidR="00D5200E" w:rsidRPr="00592327" w:rsidP="00D5200E" w14:paraId="238A982C" w14:textId="77777777">
      <w:pPr>
        <w:pStyle w:val="BodyText"/>
        <w:ind w:left="4536" w:right="-14"/>
      </w:pPr>
      <w:r w:rsidRPr="00592327">
        <w:t>Debra Jordan</w:t>
      </w:r>
    </w:p>
    <w:p w:rsidR="00D5200E" w:rsidRPr="00592327" w:rsidP="00D5200E" w14:paraId="4A411454" w14:textId="77777777">
      <w:pPr>
        <w:pStyle w:val="BodyText"/>
        <w:ind w:left="4536" w:right="-14"/>
        <w:rPr>
          <w:spacing w:val="-2"/>
        </w:rPr>
      </w:pPr>
      <w:r w:rsidRPr="00744B03">
        <w:rPr>
          <w:spacing w:val="-2"/>
        </w:rPr>
        <w:t>Chief</w:t>
      </w:r>
    </w:p>
    <w:p w:rsidR="00EF2C3C" w:rsidRPr="00592327" w:rsidP="00D5200E" w14:paraId="3957D40C" w14:textId="56F32E39">
      <w:pPr>
        <w:pStyle w:val="BodyText"/>
        <w:ind w:left="4536" w:right="-14"/>
      </w:pPr>
      <w:r w:rsidRPr="00592327">
        <w:t>Public</w:t>
      </w:r>
      <w:r w:rsidRPr="00592327" w:rsidR="00D5200E">
        <w:rPr>
          <w:spacing w:val="-4"/>
        </w:rPr>
        <w:t xml:space="preserve"> S</w:t>
      </w:r>
      <w:r w:rsidRPr="00592327">
        <w:t>afety</w:t>
      </w:r>
      <w:r w:rsidRPr="00592327">
        <w:rPr>
          <w:spacing w:val="-3"/>
        </w:rPr>
        <w:t xml:space="preserve"> </w:t>
      </w:r>
      <w:r w:rsidRPr="00592327">
        <w:t>and</w:t>
      </w:r>
      <w:r w:rsidRPr="00592327">
        <w:rPr>
          <w:spacing w:val="-4"/>
        </w:rPr>
        <w:t xml:space="preserve"> </w:t>
      </w:r>
      <w:r w:rsidRPr="00592327">
        <w:t>Homeland</w:t>
      </w:r>
      <w:r w:rsidRPr="00592327">
        <w:rPr>
          <w:spacing w:val="-3"/>
        </w:rPr>
        <w:t xml:space="preserve"> </w:t>
      </w:r>
      <w:r w:rsidRPr="00592327">
        <w:t>Security</w:t>
      </w:r>
      <w:r w:rsidRPr="00592327">
        <w:rPr>
          <w:spacing w:val="-3"/>
        </w:rPr>
        <w:t xml:space="preserve"> </w:t>
      </w:r>
      <w:r w:rsidRPr="00592327">
        <w:rPr>
          <w:spacing w:val="-2"/>
        </w:rPr>
        <w:t>Bureau</w:t>
      </w:r>
    </w:p>
    <w:p w:rsidR="00EF2C3C" w:rsidRPr="00592327" w14:paraId="796E9CDC" w14:textId="77777777">
      <w:pPr>
        <w:pStyle w:val="BodyText"/>
        <w:rPr>
          <w:sz w:val="24"/>
        </w:rPr>
      </w:pPr>
    </w:p>
    <w:p w:rsidR="00EF2C3C" w:rsidRPr="00592327" w14:paraId="23848F39" w14:textId="77777777">
      <w:pPr>
        <w:pStyle w:val="BodyText"/>
        <w:spacing w:before="5"/>
      </w:pPr>
    </w:p>
    <w:p w:rsidR="003E3436" w:rsidP="003E3436" w14:paraId="5BC1DE0B" w14:textId="77777777">
      <w:pPr>
        <w:widowControl/>
        <w:adjustRightInd w:val="0"/>
        <w:ind w:left="360" w:right="70" w:hanging="360"/>
      </w:pPr>
      <w:r w:rsidRPr="00592327">
        <w:rPr>
          <w:spacing w:val="-5"/>
        </w:rPr>
        <w:t>cc:</w:t>
      </w:r>
      <w:r>
        <w:rPr>
          <w:spacing w:val="-5"/>
        </w:rPr>
        <w:tab/>
      </w:r>
      <w:r>
        <w:t>Nicole McGinnis, Deputy Chief, Public Safety and Homeland Security Bureau</w:t>
      </w:r>
    </w:p>
    <w:p w:rsidR="003E3436" w:rsidP="003E3436" w14:paraId="37703366" w14:textId="77777777">
      <w:pPr>
        <w:widowControl/>
        <w:adjustRightInd w:val="0"/>
        <w:ind w:left="360" w:right="70"/>
      </w:pPr>
      <w:r>
        <w:t>Austin Randazzo, Associate Chief, Public Safety and Homeland Security Bureau</w:t>
      </w:r>
    </w:p>
    <w:p w:rsidR="003E3436" w:rsidP="003E3436" w14:paraId="66709D01" w14:textId="77777777">
      <w:pPr>
        <w:widowControl/>
        <w:adjustRightInd w:val="0"/>
        <w:ind w:left="360" w:right="70"/>
      </w:pPr>
      <w:r>
        <w:t>Rochelle Cohen, Communications Director, Public Safety and Homeland Security Bureau</w:t>
      </w:r>
    </w:p>
    <w:p w:rsidR="003E3436" w:rsidP="003E3436" w14:paraId="09441E1C" w14:textId="77777777">
      <w:pPr>
        <w:widowControl/>
        <w:adjustRightInd w:val="0"/>
        <w:ind w:left="360" w:right="70"/>
      </w:pPr>
      <w:r>
        <w:t>Erika Olsen, Acting Chief, Cybersecurity and Communications Reliability Division</w:t>
      </w:r>
    </w:p>
    <w:p w:rsidR="003E3436" w:rsidP="003E3436" w14:paraId="1543DD7C" w14:textId="77777777">
      <w:pPr>
        <w:widowControl/>
        <w:adjustRightInd w:val="0"/>
        <w:ind w:left="360" w:right="70"/>
      </w:pPr>
      <w:r>
        <w:t>James Wiley, Deputy Chief, Cybersecurity and Communications Reliability Division</w:t>
      </w:r>
    </w:p>
    <w:p w:rsidR="00EF2C3C" w:rsidRPr="00592327" w:rsidP="00B91D56" w14:paraId="6DFC7BBB" w14:textId="0AEF92C0">
      <w:pPr>
        <w:widowControl/>
        <w:adjustRightInd w:val="0"/>
        <w:ind w:left="360" w:right="70"/>
      </w:pPr>
      <w:r>
        <w:t>David Kirschner, Attorney Advisor, Cybersecurity and Communications Reliability Division</w:t>
      </w:r>
    </w:p>
    <w:sectPr w:rsidSect="004F5CEA">
      <w:footerReference w:type="default" r:id="rId10"/>
      <w:pgSz w:w="12240" w:h="15840"/>
      <w:pgMar w:top="1360" w:right="1320" w:bottom="1240" w:left="1220" w:header="0" w:footer="105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C3C" w14:paraId="3E29A705" w14:textId="5DCB60A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4929" w14:paraId="7AEE2D9F" w14:textId="77777777">
      <w:r>
        <w:separator/>
      </w:r>
    </w:p>
  </w:footnote>
  <w:footnote w:type="continuationSeparator" w:id="1">
    <w:p w:rsidR="00014929" w14:paraId="5E1911BC" w14:textId="77777777">
      <w:r>
        <w:continuationSeparator/>
      </w:r>
    </w:p>
  </w:footnote>
  <w:footnote w:id="2">
    <w:p w:rsidR="00AB2E97" w:rsidRPr="00446976" w:rsidP="0086728A" w14:paraId="02924BAF" w14:textId="77777777">
      <w:pPr>
        <w:widowControl/>
        <w:adjustRightInd w:val="0"/>
        <w:spacing w:after="120"/>
        <w:rPr>
          <w:rFonts w:eastAsiaTheme="minorHAnsi"/>
        </w:rPr>
      </w:pPr>
      <w:r w:rsidRPr="00446976">
        <w:rPr>
          <w:rStyle w:val="FootnoteReference"/>
        </w:rPr>
        <w:footnoteRef/>
      </w:r>
      <w:r w:rsidRPr="00446976">
        <w:t xml:space="preserve"> </w:t>
      </w:r>
      <w:r w:rsidRPr="00446976">
        <w:rPr>
          <w:rFonts w:eastAsiaTheme="minorHAnsi"/>
          <w:sz w:val="20"/>
          <w:szCs w:val="20"/>
        </w:rPr>
        <w:t>FEMA; the National Weather Service; the Alabama Emergency Management Agency; Harris County (Texas) Office of Homeland Security &amp; Emergency Management; City of Los Angeles (California) Emergency Management Department; New York City (New York) Emergency Management; Mendocino County (California) Office of Emergency Services; Ohio Emergency Management Agency; Oklahoma Department of Emergency Management and Homeland Security; City of Philadelphia (Pennsylvania) Office of Emergency Management; and the Utah Department of Public Safety.</w:t>
      </w:r>
    </w:p>
  </w:footnote>
  <w:footnote w:id="3">
    <w:p w:rsidR="00893A7B" w:rsidRPr="00893A7B" w:rsidP="0086728A" w14:paraId="19F8135F" w14:textId="4AE26BE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t xml:space="preserve">PSHSB, </w:t>
      </w:r>
      <w:r w:rsidRPr="00FC6DC3">
        <w:rPr>
          <w:i/>
          <w:iCs/>
        </w:rPr>
        <w:t>Report: August 11, 2021 Nationwide WEA Test,</w:t>
      </w:r>
      <w:r w:rsidRPr="00D225F0">
        <w:rPr>
          <w:i/>
          <w:iCs/>
        </w:rPr>
        <w:t xml:space="preserve"> Wireless Emergency Alerts</w:t>
      </w:r>
      <w:r>
        <w:t xml:space="preserve">, PS Docket No. 15-91, at 3 </w:t>
      </w:r>
      <w:r w:rsidRPr="00BA110F">
        <w:t>(2021</w:t>
      </w:r>
      <w:r>
        <w:t xml:space="preserve">), </w:t>
      </w:r>
      <w:hyperlink r:id="rId1" w:history="1">
        <w:r w:rsidRPr="00562B40">
          <w:rPr>
            <w:rStyle w:val="Hyperlink"/>
          </w:rPr>
          <w:t>https://docs.fcc.gov/public/attachments/DOC-378907A1.pdf</w:t>
        </w:r>
      </w:hyperlink>
      <w:r>
        <w:t>.</w:t>
      </w:r>
    </w:p>
  </w:footnote>
  <w:footnote w:id="4">
    <w:p w:rsidR="0086728A" w:rsidP="008E27A1" w14:paraId="394D7C34" w14:textId="18B966B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25.</w:t>
      </w:r>
    </w:p>
  </w:footnote>
  <w:footnote w:id="5">
    <w:p w:rsidR="0086728A" w:rsidP="0086728A" w14:paraId="08C57F00" w14:textId="44681F8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6">
    <w:p w:rsidR="0053124D" w:rsidP="0053124D" w14:paraId="55908401" w14:textId="716BD7F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302C8" w:rsidR="006E21BB">
        <w:rPr>
          <w:i/>
          <w:iCs/>
        </w:rPr>
        <w:t>Wireless Emergency Alert Performance Testing, Wireless Emergency Alerts, Amendments to Part 11 of the Commission’s Rules Regarding the Emergency Alert System</w:t>
      </w:r>
      <w:r w:rsidRPr="004302C8" w:rsidR="006E21BB">
        <w:t>, PS Docket No</w:t>
      </w:r>
      <w:r w:rsidR="00B9767C">
        <w:t>s</w:t>
      </w:r>
      <w:r w:rsidRPr="004302C8" w:rsidR="006E21BB">
        <w:t xml:space="preserve">. 22-160, </w:t>
      </w:r>
      <w:r w:rsidRPr="004302C8" w:rsidR="006E21BB">
        <w:rPr>
          <w:spacing w:val="-2"/>
        </w:rPr>
        <w:t xml:space="preserve">15-91, </w:t>
      </w:r>
      <w:r w:rsidR="00B9767C">
        <w:rPr>
          <w:snapToGrid w:val="0"/>
          <w:spacing w:val="-2"/>
        </w:rPr>
        <w:t xml:space="preserve">and </w:t>
      </w:r>
      <w:r w:rsidRPr="004302C8" w:rsidR="006E21BB">
        <w:rPr>
          <w:snapToGrid w:val="0"/>
          <w:spacing w:val="-2"/>
        </w:rPr>
        <w:t xml:space="preserve">15-94, Order, DA No. </w:t>
      </w:r>
      <w:r w:rsidR="004E4A8B">
        <w:rPr>
          <w:snapToGrid w:val="0"/>
          <w:spacing w:val="-2"/>
        </w:rPr>
        <w:t>22-901</w:t>
      </w:r>
      <w:r w:rsidR="00F56F44">
        <w:rPr>
          <w:snapToGrid w:val="0"/>
          <w:spacing w:val="-2"/>
        </w:rPr>
        <w:t>,</w:t>
      </w:r>
      <w:r w:rsidRPr="004302C8" w:rsidR="00F56F44">
        <w:rPr>
          <w:snapToGrid w:val="0"/>
          <w:spacing w:val="-2"/>
        </w:rPr>
        <w:t xml:space="preserve"> </w:t>
      </w:r>
      <w:r w:rsidR="00F56F44">
        <w:rPr>
          <w:snapToGrid w:val="0"/>
          <w:spacing w:val="-2"/>
        </w:rPr>
        <w:t>at Appx. A</w:t>
      </w:r>
      <w:r w:rsidRPr="004302C8" w:rsidR="006E21BB">
        <w:rPr>
          <w:snapToGrid w:val="0"/>
          <w:spacing w:val="-2"/>
        </w:rPr>
        <w:t> (</w:t>
      </w:r>
      <w:r w:rsidRPr="0035061F" w:rsidR="006E21BB">
        <w:rPr>
          <w:snapToGrid w:val="0"/>
          <w:spacing w:val="-2"/>
        </w:rPr>
        <w:t xml:space="preserve">PSHSB Aug. </w:t>
      </w:r>
      <w:r w:rsidRPr="0035061F" w:rsidR="00795E74">
        <w:rPr>
          <w:snapToGrid w:val="0"/>
          <w:spacing w:val="-2"/>
        </w:rPr>
        <w:t>30</w:t>
      </w:r>
      <w:r w:rsidRPr="0035061F" w:rsidR="006E21BB">
        <w:rPr>
          <w:snapToGrid w:val="0"/>
          <w:spacing w:val="-2"/>
        </w:rPr>
        <w:t>,</w:t>
      </w:r>
      <w:r w:rsidRPr="004302C8" w:rsidR="006E21BB">
        <w:rPr>
          <w:snapToGrid w:val="0"/>
          <w:spacing w:val="-2"/>
        </w:rPr>
        <w:t xml:space="preserve"> 2022).</w:t>
      </w:r>
    </w:p>
  </w:footnote>
  <w:footnote w:id="7">
    <w:p w:rsidR="00B9446A" w:rsidRPr="00D5200E" w:rsidP="00B9446A" w14:paraId="03E19EF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t>Parties</w:t>
      </w:r>
      <w:r w:rsidRPr="00034AAD">
        <w:t xml:space="preserve"> </w:t>
      </w:r>
      <w:r>
        <w:t>wishing</w:t>
      </w:r>
      <w:r w:rsidRPr="00034AAD">
        <w:t xml:space="preserve"> </w:t>
      </w:r>
      <w:r>
        <w:t>to</w:t>
      </w:r>
      <w:r w:rsidRPr="00034AAD">
        <w:t xml:space="preserve"> </w:t>
      </w:r>
      <w:r>
        <w:t>file</w:t>
      </w:r>
      <w:r w:rsidRPr="00034AAD">
        <w:t xml:space="preserve"> </w:t>
      </w:r>
      <w:r>
        <w:t>materials</w:t>
      </w:r>
      <w:r w:rsidRPr="00034AAD">
        <w:t xml:space="preserve"> </w:t>
      </w:r>
      <w:r>
        <w:t>with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should</w:t>
      </w:r>
      <w:r w:rsidRPr="00034AAD">
        <w:t xml:space="preserve"> </w:t>
      </w:r>
      <w:r>
        <w:t>follow</w:t>
      </w:r>
      <w:r w:rsidRPr="00034AAD">
        <w:t xml:space="preserve"> </w:t>
      </w:r>
      <w:r>
        <w:t>the</w:t>
      </w:r>
      <w:r w:rsidRPr="00034AAD">
        <w:t xml:space="preserve"> </w:t>
      </w:r>
      <w:r>
        <w:t>procedures</w:t>
      </w:r>
      <w:r w:rsidRPr="00034AAD">
        <w:t xml:space="preserve"> </w:t>
      </w:r>
      <w:r>
        <w:t>set</w:t>
      </w:r>
      <w:r w:rsidRPr="00034AAD">
        <w:t xml:space="preserve"> </w:t>
      </w:r>
      <w:r>
        <w:t>forth</w:t>
      </w:r>
      <w:r w:rsidRPr="00034AAD">
        <w:t xml:space="preserve"> </w:t>
      </w:r>
      <w:r>
        <w:t>in</w:t>
      </w:r>
      <w:r w:rsidRPr="00034AAD">
        <w:t xml:space="preserve"> Section</w:t>
      </w:r>
      <w:r>
        <w:t xml:space="preserve"> 0.459 of the Commission’s rules.</w:t>
      </w:r>
      <w:r w:rsidRPr="00034AAD">
        <w:t xml:space="preserve"> </w:t>
      </w:r>
      <w:r>
        <w:t>Casual claims of confidentiality are not accepted.</w:t>
      </w:r>
      <w:r w:rsidRPr="00034AAD">
        <w:t xml:space="preserve"> </w:t>
      </w:r>
      <w:r>
        <w:t>Confidential submissions may not be filed via ECFS but rather should be filed with the Secretary’s Office following the procedures set forth in 47 CFR § 0.459. Redacted versions of confidential submissions may be filed via ECFS.</w:t>
      </w:r>
      <w:r w:rsidRPr="00034AAD">
        <w:t xml:space="preserve"> </w:t>
      </w:r>
      <w:r>
        <w:t>Parties are advised that the FCC</w:t>
      </w:r>
      <w:r w:rsidRPr="00034AAD">
        <w:t xml:space="preserve"> </w:t>
      </w:r>
      <w:r>
        <w:t>looks</w:t>
      </w:r>
      <w:r w:rsidRPr="00034AAD">
        <w:t xml:space="preserve"> </w:t>
      </w:r>
      <w:r>
        <w:t>with</w:t>
      </w:r>
      <w:r w:rsidRPr="00034AAD">
        <w:t xml:space="preserve"> </w:t>
      </w:r>
      <w:r>
        <w:t>disfavor</w:t>
      </w:r>
      <w:r w:rsidRPr="00034AAD">
        <w:t xml:space="preserve"> </w:t>
      </w:r>
      <w:r>
        <w:t>on</w:t>
      </w:r>
      <w:r w:rsidRPr="00034AAD">
        <w:t xml:space="preserve"> </w:t>
      </w:r>
      <w:r>
        <w:t>claims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for</w:t>
      </w:r>
      <w:r w:rsidRPr="00034AAD">
        <w:t xml:space="preserve"> </w:t>
      </w:r>
      <w:r>
        <w:t>entire</w:t>
      </w:r>
      <w:r w:rsidRPr="00034AAD">
        <w:t xml:space="preserve"> </w:t>
      </w:r>
      <w:r>
        <w:t>documents.</w:t>
      </w:r>
      <w:r w:rsidRPr="00034AAD">
        <w:t xml:space="preserve"> </w:t>
      </w:r>
      <w:r>
        <w:t>When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is</w:t>
      </w:r>
      <w:r w:rsidRPr="00034AAD">
        <w:t xml:space="preserve"> </w:t>
      </w:r>
      <w:r>
        <w:t xml:space="preserve">made, a public, redacted version of the document should also be filed. </w:t>
      </w:r>
      <w:r w:rsidRPr="007E5FFB">
        <w:t xml:space="preserve"> </w:t>
      </w:r>
      <w:r w:rsidRPr="00101CA7">
        <w:rPr>
          <w:i/>
          <w:iCs/>
        </w:rPr>
        <w:t>See</w:t>
      </w:r>
      <w:r>
        <w:t>, Enforcement Bureau Reminds Public that Requests for Confidentiality Must Cover Oly Material Warranting Confidential Treatment Under the Commission’s Rules, Public Notice, DA 20-579 (June 18, 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50FF4"/>
    <w:multiLevelType w:val="hybridMultilevel"/>
    <w:tmpl w:val="48A09F28"/>
    <w:lvl w:ilvl="0">
      <w:start w:val="1"/>
      <w:numFmt w:val="decimal"/>
      <w:lvlText w:val="%1."/>
      <w:lvlJc w:val="left"/>
      <w:pPr>
        <w:ind w:left="6390" w:hanging="360"/>
      </w:pPr>
    </w:lvl>
    <w:lvl w:ilvl="1" w:tentative="1">
      <w:start w:val="1"/>
      <w:numFmt w:val="lowerLetter"/>
      <w:lvlText w:val="%2."/>
      <w:lvlJc w:val="left"/>
      <w:pPr>
        <w:ind w:left="7110" w:hanging="360"/>
      </w:pPr>
    </w:lvl>
    <w:lvl w:ilvl="2" w:tentative="1">
      <w:start w:val="1"/>
      <w:numFmt w:val="lowerRoman"/>
      <w:lvlText w:val="%3."/>
      <w:lvlJc w:val="right"/>
      <w:pPr>
        <w:ind w:left="7830" w:hanging="180"/>
      </w:pPr>
    </w:lvl>
    <w:lvl w:ilvl="3" w:tentative="1">
      <w:start w:val="1"/>
      <w:numFmt w:val="decimal"/>
      <w:lvlText w:val="%4."/>
      <w:lvlJc w:val="left"/>
      <w:pPr>
        <w:ind w:left="8550" w:hanging="360"/>
      </w:pPr>
    </w:lvl>
    <w:lvl w:ilvl="4" w:tentative="1">
      <w:start w:val="1"/>
      <w:numFmt w:val="lowerLetter"/>
      <w:lvlText w:val="%5."/>
      <w:lvlJc w:val="left"/>
      <w:pPr>
        <w:ind w:left="9270" w:hanging="360"/>
      </w:pPr>
    </w:lvl>
    <w:lvl w:ilvl="5" w:tentative="1">
      <w:start w:val="1"/>
      <w:numFmt w:val="lowerRoman"/>
      <w:lvlText w:val="%6."/>
      <w:lvlJc w:val="right"/>
      <w:pPr>
        <w:ind w:left="9990" w:hanging="180"/>
      </w:pPr>
    </w:lvl>
    <w:lvl w:ilvl="6" w:tentative="1">
      <w:start w:val="1"/>
      <w:numFmt w:val="decimal"/>
      <w:lvlText w:val="%7."/>
      <w:lvlJc w:val="left"/>
      <w:pPr>
        <w:ind w:left="10710" w:hanging="360"/>
      </w:pPr>
    </w:lvl>
    <w:lvl w:ilvl="7" w:tentative="1">
      <w:start w:val="1"/>
      <w:numFmt w:val="lowerLetter"/>
      <w:lvlText w:val="%8."/>
      <w:lvlJc w:val="left"/>
      <w:pPr>
        <w:ind w:left="11430" w:hanging="360"/>
      </w:pPr>
    </w:lvl>
    <w:lvl w:ilvl="8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2BE51C48"/>
    <w:multiLevelType w:val="hybridMultilevel"/>
    <w:tmpl w:val="7D606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F564E"/>
    <w:multiLevelType w:val="hybridMultilevel"/>
    <w:tmpl w:val="6CA8EFC2"/>
    <w:lvl w:ilvl="0">
      <w:start w:val="1"/>
      <w:numFmt w:val="decimal"/>
      <w:lvlText w:val="%1."/>
      <w:lvlJc w:val="left"/>
      <w:pPr>
        <w:ind w:left="1570" w:hanging="360"/>
      </w:pPr>
    </w:lvl>
    <w:lvl w:ilvl="1" w:tentative="1">
      <w:start w:val="1"/>
      <w:numFmt w:val="lowerLetter"/>
      <w:lvlText w:val="%2."/>
      <w:lvlJc w:val="left"/>
      <w:pPr>
        <w:ind w:left="2290" w:hanging="360"/>
      </w:pPr>
    </w:lvl>
    <w:lvl w:ilvl="2" w:tentative="1">
      <w:start w:val="1"/>
      <w:numFmt w:val="lowerRoman"/>
      <w:lvlText w:val="%3."/>
      <w:lvlJc w:val="right"/>
      <w:pPr>
        <w:ind w:left="3010" w:hanging="180"/>
      </w:pPr>
    </w:lvl>
    <w:lvl w:ilvl="3" w:tentative="1">
      <w:start w:val="1"/>
      <w:numFmt w:val="decimal"/>
      <w:lvlText w:val="%4."/>
      <w:lvlJc w:val="left"/>
      <w:pPr>
        <w:ind w:left="3730" w:hanging="360"/>
      </w:pPr>
    </w:lvl>
    <w:lvl w:ilvl="4" w:tentative="1">
      <w:start w:val="1"/>
      <w:numFmt w:val="lowerLetter"/>
      <w:lvlText w:val="%5."/>
      <w:lvlJc w:val="left"/>
      <w:pPr>
        <w:ind w:left="4450" w:hanging="360"/>
      </w:pPr>
    </w:lvl>
    <w:lvl w:ilvl="5" w:tentative="1">
      <w:start w:val="1"/>
      <w:numFmt w:val="lowerRoman"/>
      <w:lvlText w:val="%6."/>
      <w:lvlJc w:val="right"/>
      <w:pPr>
        <w:ind w:left="5170" w:hanging="180"/>
      </w:pPr>
    </w:lvl>
    <w:lvl w:ilvl="6" w:tentative="1">
      <w:start w:val="1"/>
      <w:numFmt w:val="decimal"/>
      <w:lvlText w:val="%7."/>
      <w:lvlJc w:val="left"/>
      <w:pPr>
        <w:ind w:left="5890" w:hanging="360"/>
      </w:pPr>
    </w:lvl>
    <w:lvl w:ilvl="7" w:tentative="1">
      <w:start w:val="1"/>
      <w:numFmt w:val="lowerLetter"/>
      <w:lvlText w:val="%8."/>
      <w:lvlJc w:val="left"/>
      <w:pPr>
        <w:ind w:left="6610" w:hanging="360"/>
      </w:pPr>
    </w:lvl>
    <w:lvl w:ilvl="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47AE2593"/>
    <w:multiLevelType w:val="hybridMultilevel"/>
    <w:tmpl w:val="797A98E2"/>
    <w:lvl w:ilvl="0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60266068"/>
    <w:multiLevelType w:val="hybridMultilevel"/>
    <w:tmpl w:val="9CA04698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5">
    <w:nsid w:val="64696B6E"/>
    <w:multiLevelType w:val="hybridMultilevel"/>
    <w:tmpl w:val="492233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10B9"/>
    <w:multiLevelType w:val="hybridMultilevel"/>
    <w:tmpl w:val="8D7C4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C4AE5"/>
    <w:multiLevelType w:val="hybridMultilevel"/>
    <w:tmpl w:val="EBB29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C"/>
    <w:rsid w:val="00010DDD"/>
    <w:rsid w:val="00014929"/>
    <w:rsid w:val="00025DFD"/>
    <w:rsid w:val="00034AAD"/>
    <w:rsid w:val="00045AB7"/>
    <w:rsid w:val="0008271A"/>
    <w:rsid w:val="00090AB1"/>
    <w:rsid w:val="000A2A9B"/>
    <w:rsid w:val="000A550A"/>
    <w:rsid w:val="000A642E"/>
    <w:rsid w:val="000C03A0"/>
    <w:rsid w:val="000C1B22"/>
    <w:rsid w:val="000D1516"/>
    <w:rsid w:val="000D7563"/>
    <w:rsid w:val="000E02D0"/>
    <w:rsid w:val="000E2B11"/>
    <w:rsid w:val="000E5870"/>
    <w:rsid w:val="000F66E8"/>
    <w:rsid w:val="00100C35"/>
    <w:rsid w:val="00101CA7"/>
    <w:rsid w:val="00114DAB"/>
    <w:rsid w:val="00154A72"/>
    <w:rsid w:val="0015669C"/>
    <w:rsid w:val="00174839"/>
    <w:rsid w:val="001A726C"/>
    <w:rsid w:val="001A77B6"/>
    <w:rsid w:val="001B5EC7"/>
    <w:rsid w:val="001F16CF"/>
    <w:rsid w:val="00207C79"/>
    <w:rsid w:val="00211599"/>
    <w:rsid w:val="00213C93"/>
    <w:rsid w:val="002175A2"/>
    <w:rsid w:val="00232175"/>
    <w:rsid w:val="00246AC5"/>
    <w:rsid w:val="002502D3"/>
    <w:rsid w:val="00272A8F"/>
    <w:rsid w:val="00285F8D"/>
    <w:rsid w:val="002A2D9A"/>
    <w:rsid w:val="00303E8B"/>
    <w:rsid w:val="00307468"/>
    <w:rsid w:val="0035061F"/>
    <w:rsid w:val="00351779"/>
    <w:rsid w:val="003612DC"/>
    <w:rsid w:val="003743CB"/>
    <w:rsid w:val="003B2F71"/>
    <w:rsid w:val="003C3F4D"/>
    <w:rsid w:val="003C6746"/>
    <w:rsid w:val="003E032A"/>
    <w:rsid w:val="003E3436"/>
    <w:rsid w:val="00402542"/>
    <w:rsid w:val="00414594"/>
    <w:rsid w:val="004302C8"/>
    <w:rsid w:val="00446976"/>
    <w:rsid w:val="004566A7"/>
    <w:rsid w:val="00477DC8"/>
    <w:rsid w:val="004907BF"/>
    <w:rsid w:val="004A43C2"/>
    <w:rsid w:val="004A6E43"/>
    <w:rsid w:val="004B2174"/>
    <w:rsid w:val="004C7433"/>
    <w:rsid w:val="004D068B"/>
    <w:rsid w:val="004D361B"/>
    <w:rsid w:val="004E4A8B"/>
    <w:rsid w:val="004F2854"/>
    <w:rsid w:val="004F5CEA"/>
    <w:rsid w:val="00516C00"/>
    <w:rsid w:val="0053124D"/>
    <w:rsid w:val="00545566"/>
    <w:rsid w:val="00550C18"/>
    <w:rsid w:val="00562B40"/>
    <w:rsid w:val="00592327"/>
    <w:rsid w:val="005C40C1"/>
    <w:rsid w:val="005D74D6"/>
    <w:rsid w:val="005F1E58"/>
    <w:rsid w:val="005F1EE1"/>
    <w:rsid w:val="005F35F1"/>
    <w:rsid w:val="00600C9A"/>
    <w:rsid w:val="0060207F"/>
    <w:rsid w:val="00630EB6"/>
    <w:rsid w:val="0064173B"/>
    <w:rsid w:val="00642F40"/>
    <w:rsid w:val="00644B2B"/>
    <w:rsid w:val="00665CF6"/>
    <w:rsid w:val="006740E4"/>
    <w:rsid w:val="00677744"/>
    <w:rsid w:val="006A4821"/>
    <w:rsid w:val="006A5E52"/>
    <w:rsid w:val="006D510E"/>
    <w:rsid w:val="006E21BB"/>
    <w:rsid w:val="006E5084"/>
    <w:rsid w:val="00701790"/>
    <w:rsid w:val="007153A4"/>
    <w:rsid w:val="0073752A"/>
    <w:rsid w:val="007379BF"/>
    <w:rsid w:val="00744B03"/>
    <w:rsid w:val="007519EA"/>
    <w:rsid w:val="007579AD"/>
    <w:rsid w:val="00767E40"/>
    <w:rsid w:val="00786853"/>
    <w:rsid w:val="00795E74"/>
    <w:rsid w:val="007A148D"/>
    <w:rsid w:val="007A4C21"/>
    <w:rsid w:val="007E4CE8"/>
    <w:rsid w:val="007E5FFB"/>
    <w:rsid w:val="007E7AB3"/>
    <w:rsid w:val="008040A7"/>
    <w:rsid w:val="00804864"/>
    <w:rsid w:val="008055D7"/>
    <w:rsid w:val="00816CCC"/>
    <w:rsid w:val="008176A3"/>
    <w:rsid w:val="0081775B"/>
    <w:rsid w:val="00830923"/>
    <w:rsid w:val="00831C39"/>
    <w:rsid w:val="008421A2"/>
    <w:rsid w:val="00862016"/>
    <w:rsid w:val="00865016"/>
    <w:rsid w:val="0086728A"/>
    <w:rsid w:val="00890C6A"/>
    <w:rsid w:val="00891B18"/>
    <w:rsid w:val="00893A7B"/>
    <w:rsid w:val="008B2514"/>
    <w:rsid w:val="008D6167"/>
    <w:rsid w:val="008D7460"/>
    <w:rsid w:val="008E27A1"/>
    <w:rsid w:val="009059E0"/>
    <w:rsid w:val="00925D69"/>
    <w:rsid w:val="00951BE3"/>
    <w:rsid w:val="00992BBB"/>
    <w:rsid w:val="00996BDE"/>
    <w:rsid w:val="009E5EF2"/>
    <w:rsid w:val="009E7B97"/>
    <w:rsid w:val="00A45280"/>
    <w:rsid w:val="00A55B18"/>
    <w:rsid w:val="00A55D2E"/>
    <w:rsid w:val="00A64F1D"/>
    <w:rsid w:val="00A66FBC"/>
    <w:rsid w:val="00A71237"/>
    <w:rsid w:val="00A76B12"/>
    <w:rsid w:val="00A9401B"/>
    <w:rsid w:val="00AA024E"/>
    <w:rsid w:val="00AB2E97"/>
    <w:rsid w:val="00AB3FE7"/>
    <w:rsid w:val="00AD2C6C"/>
    <w:rsid w:val="00B006F6"/>
    <w:rsid w:val="00B23680"/>
    <w:rsid w:val="00B611AF"/>
    <w:rsid w:val="00B66EB6"/>
    <w:rsid w:val="00B91D56"/>
    <w:rsid w:val="00B9446A"/>
    <w:rsid w:val="00B9767C"/>
    <w:rsid w:val="00BA110F"/>
    <w:rsid w:val="00BB28B5"/>
    <w:rsid w:val="00BB2D08"/>
    <w:rsid w:val="00BC5BE0"/>
    <w:rsid w:val="00BF2619"/>
    <w:rsid w:val="00BF4A10"/>
    <w:rsid w:val="00C14915"/>
    <w:rsid w:val="00C158E4"/>
    <w:rsid w:val="00C32DDA"/>
    <w:rsid w:val="00C5401B"/>
    <w:rsid w:val="00C61D9A"/>
    <w:rsid w:val="00C804B8"/>
    <w:rsid w:val="00C92E90"/>
    <w:rsid w:val="00CB7BAD"/>
    <w:rsid w:val="00CC586F"/>
    <w:rsid w:val="00CE0A16"/>
    <w:rsid w:val="00CE1CF7"/>
    <w:rsid w:val="00CE3ED6"/>
    <w:rsid w:val="00CE41E5"/>
    <w:rsid w:val="00D1775D"/>
    <w:rsid w:val="00D225F0"/>
    <w:rsid w:val="00D27256"/>
    <w:rsid w:val="00D346A4"/>
    <w:rsid w:val="00D34AC7"/>
    <w:rsid w:val="00D5107A"/>
    <w:rsid w:val="00D5200E"/>
    <w:rsid w:val="00D6284B"/>
    <w:rsid w:val="00D974D9"/>
    <w:rsid w:val="00DA2DA9"/>
    <w:rsid w:val="00DA6C8B"/>
    <w:rsid w:val="00DC5625"/>
    <w:rsid w:val="00DC742A"/>
    <w:rsid w:val="00DD45FC"/>
    <w:rsid w:val="00E02807"/>
    <w:rsid w:val="00E22E93"/>
    <w:rsid w:val="00E3071E"/>
    <w:rsid w:val="00E949D0"/>
    <w:rsid w:val="00EC2D86"/>
    <w:rsid w:val="00ED30B0"/>
    <w:rsid w:val="00EE08D8"/>
    <w:rsid w:val="00EF2C3C"/>
    <w:rsid w:val="00EF3B7A"/>
    <w:rsid w:val="00EF4ECD"/>
    <w:rsid w:val="00F063B3"/>
    <w:rsid w:val="00F313E9"/>
    <w:rsid w:val="00F44F59"/>
    <w:rsid w:val="00F56F44"/>
    <w:rsid w:val="00F66D41"/>
    <w:rsid w:val="00F72752"/>
    <w:rsid w:val="00F920FD"/>
    <w:rsid w:val="00FB46B4"/>
    <w:rsid w:val="00FB6E07"/>
    <w:rsid w:val="00FC5021"/>
    <w:rsid w:val="00FC6DC3"/>
    <w:rsid w:val="00FF18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3E7580"/>
  <w15:docId w15:val="{A3BC5A8A-C84B-4AF3-A331-FE710CB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9"/>
      <w:ind w:left="2736" w:right="200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90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C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1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BC5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F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7AB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62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Robert.Morse@verizon.com" TargetMode="External" /><Relationship Id="rId7" Type="http://schemas.openxmlformats.org/officeDocument/2006/relationships/hyperlink" Target="mailto:will.h.johnson@verizon.com" TargetMode="External" /><Relationship Id="rId8" Type="http://schemas.openxmlformats.org/officeDocument/2006/relationships/hyperlink" Target="http://apps.fcc.gov/ecfs/" TargetMode="External" /><Relationship Id="rId9" Type="http://schemas.openxmlformats.org/officeDocument/2006/relationships/hyperlink" Target="mailto:Erika.Olsen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78907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