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4FB602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0D6A4D" w14:paraId="48957ADE" w14:textId="36198E24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>FCC CONCLUDES 2.5 GHz SPECTRUM AUCTION: A BOOST OF MID-BAND SPECTRUM FOR RURAL AMERICA</w:t>
            </w:r>
          </w:p>
          <w:p w:rsidR="00F61155" w:rsidRPr="006B0A70" w:rsidP="00BB4E29" w14:paraId="299769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39628B" w:rsidP="00B23F65" w14:paraId="77407AB8" w14:textId="6A26E8A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2C6765">
              <w:rPr>
                <w:sz w:val="22"/>
                <w:szCs w:val="22"/>
              </w:rPr>
              <w:t xml:space="preserve">September </w:t>
            </w:r>
            <w:r w:rsidR="0013167A">
              <w:rPr>
                <w:sz w:val="22"/>
                <w:szCs w:val="22"/>
              </w:rPr>
              <w:t>1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B23F65" w:rsidR="00B23F65">
              <w:rPr>
                <w:sz w:val="22"/>
                <w:szCs w:val="22"/>
              </w:rPr>
              <w:t xml:space="preserve">The Federal Communications Commission today </w:t>
            </w:r>
            <w:r w:rsidR="00157B2B">
              <w:rPr>
                <w:sz w:val="22"/>
                <w:szCs w:val="22"/>
              </w:rPr>
              <w:t xml:space="preserve">announced </w:t>
            </w:r>
            <w:r w:rsidR="000076D0">
              <w:rPr>
                <w:sz w:val="22"/>
                <w:szCs w:val="22"/>
              </w:rPr>
              <w:t>winning bidders</w:t>
            </w:r>
            <w:r w:rsidRPr="00B23F65" w:rsidR="00B23F65">
              <w:rPr>
                <w:sz w:val="22"/>
                <w:szCs w:val="22"/>
              </w:rPr>
              <w:t xml:space="preserve"> in</w:t>
            </w:r>
            <w:r>
              <w:rPr>
                <w:sz w:val="22"/>
                <w:szCs w:val="22"/>
              </w:rPr>
              <w:t xml:space="preserve"> the 2.5 GHz band auction (</w:t>
            </w:r>
            <w:r w:rsidRPr="00B23F65" w:rsidR="00B23F65">
              <w:rPr>
                <w:sz w:val="22"/>
                <w:szCs w:val="22"/>
              </w:rPr>
              <w:t xml:space="preserve">Auction </w:t>
            </w:r>
            <w:r>
              <w:rPr>
                <w:sz w:val="22"/>
                <w:szCs w:val="22"/>
              </w:rPr>
              <w:t>108</w:t>
            </w:r>
            <w:r w:rsidRPr="3B842B2A" w:rsidR="00D21912">
              <w:rPr>
                <w:sz w:val="22"/>
                <w:szCs w:val="22"/>
              </w:rPr>
              <w:t>)</w:t>
            </w:r>
            <w:r w:rsidRPr="3B842B2A" w:rsidR="683B7B66">
              <w:rPr>
                <w:sz w:val="22"/>
                <w:szCs w:val="22"/>
              </w:rPr>
              <w:t xml:space="preserve">. </w:t>
            </w:r>
            <w:r w:rsidR="002C6765">
              <w:rPr>
                <w:sz w:val="22"/>
                <w:szCs w:val="22"/>
              </w:rPr>
              <w:t xml:space="preserve"> </w:t>
            </w:r>
            <w:r w:rsidRPr="3B842B2A" w:rsidR="683B7B66">
              <w:rPr>
                <w:sz w:val="22"/>
                <w:szCs w:val="22"/>
              </w:rPr>
              <w:t>In total,</w:t>
            </w:r>
            <w:r w:rsidRPr="00B23F65" w:rsidR="00B23F65">
              <w:rPr>
                <w:sz w:val="22"/>
                <w:szCs w:val="22"/>
              </w:rPr>
              <w:t xml:space="preserve"> </w:t>
            </w:r>
            <w:r w:rsidR="003B3B16">
              <w:rPr>
                <w:sz w:val="22"/>
                <w:szCs w:val="22"/>
              </w:rPr>
              <w:t>7,</w:t>
            </w:r>
            <w:r w:rsidR="007776AB">
              <w:rPr>
                <w:sz w:val="22"/>
                <w:szCs w:val="22"/>
              </w:rPr>
              <w:t>872</w:t>
            </w:r>
            <w:r w:rsidRPr="00B23F65" w:rsidR="00B23F65">
              <w:rPr>
                <w:sz w:val="22"/>
                <w:szCs w:val="22"/>
              </w:rPr>
              <w:t xml:space="preserve"> of the </w:t>
            </w:r>
            <w:r w:rsidRPr="0039628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39628B">
              <w:rPr>
                <w:sz w:val="22"/>
                <w:szCs w:val="22"/>
              </w:rPr>
              <w:t xml:space="preserve">017 </w:t>
            </w:r>
            <w:r>
              <w:rPr>
                <w:sz w:val="22"/>
                <w:szCs w:val="22"/>
              </w:rPr>
              <w:t>offered county-based licenses</w:t>
            </w:r>
            <w:r w:rsidR="00C52B4B">
              <w:rPr>
                <w:sz w:val="22"/>
                <w:szCs w:val="22"/>
              </w:rPr>
              <w:t xml:space="preserve">, or </w:t>
            </w:r>
            <w:r w:rsidR="00D37376">
              <w:rPr>
                <w:sz w:val="22"/>
                <w:szCs w:val="22"/>
              </w:rPr>
              <w:t>98% of the total inventory,</w:t>
            </w:r>
            <w:r w:rsidR="00D21912">
              <w:rPr>
                <w:sz w:val="22"/>
                <w:szCs w:val="22"/>
              </w:rPr>
              <w:t xml:space="preserve"> </w:t>
            </w:r>
            <w:r w:rsidRPr="3B842B2A" w:rsidR="00D21912">
              <w:rPr>
                <w:sz w:val="22"/>
                <w:szCs w:val="22"/>
              </w:rPr>
              <w:t>hav</w:t>
            </w:r>
            <w:r w:rsidRPr="3B842B2A" w:rsidR="155E004B">
              <w:rPr>
                <w:sz w:val="22"/>
                <w:szCs w:val="22"/>
              </w:rPr>
              <w:t>e</w:t>
            </w:r>
            <w:r w:rsidR="00D21912">
              <w:rPr>
                <w:sz w:val="22"/>
                <w:szCs w:val="22"/>
              </w:rPr>
              <w:t xml:space="preserve"> been sold</w:t>
            </w:r>
            <w:r>
              <w:rPr>
                <w:sz w:val="22"/>
                <w:szCs w:val="22"/>
              </w:rPr>
              <w:t xml:space="preserve">.  </w:t>
            </w:r>
            <w:r w:rsidR="003630C5">
              <w:rPr>
                <w:sz w:val="22"/>
                <w:szCs w:val="22"/>
              </w:rPr>
              <w:t>With m</w:t>
            </w:r>
            <w:r>
              <w:rPr>
                <w:sz w:val="22"/>
                <w:szCs w:val="22"/>
              </w:rPr>
              <w:t xml:space="preserve">ost of the available </w:t>
            </w:r>
            <w:r w:rsidR="003630C5">
              <w:rPr>
                <w:sz w:val="22"/>
                <w:szCs w:val="22"/>
              </w:rPr>
              <w:t>spectrum</w:t>
            </w:r>
            <w:r>
              <w:rPr>
                <w:sz w:val="22"/>
                <w:szCs w:val="22"/>
              </w:rPr>
              <w:t xml:space="preserve"> in the 2.5 GHz band </w:t>
            </w:r>
            <w:r w:rsidR="00C63F8F">
              <w:rPr>
                <w:sz w:val="22"/>
                <w:szCs w:val="22"/>
              </w:rPr>
              <w:t xml:space="preserve">located in rural </w:t>
            </w:r>
            <w:r w:rsidR="003630C5">
              <w:rPr>
                <w:sz w:val="22"/>
                <w:szCs w:val="22"/>
              </w:rPr>
              <w:t>areas</w:t>
            </w:r>
            <w:r w:rsidR="00FB02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this auction </w:t>
            </w:r>
            <w:r w:rsidRPr="3B842B2A" w:rsidR="791FE7EB">
              <w:rPr>
                <w:sz w:val="22"/>
                <w:szCs w:val="22"/>
              </w:rPr>
              <w:t>provides</w:t>
            </w:r>
            <w:r>
              <w:rPr>
                <w:sz w:val="22"/>
                <w:szCs w:val="22"/>
              </w:rPr>
              <w:t xml:space="preserve"> </w:t>
            </w:r>
            <w:r w:rsidR="00127404">
              <w:rPr>
                <w:sz w:val="22"/>
                <w:szCs w:val="22"/>
              </w:rPr>
              <w:t xml:space="preserve">vital </w:t>
            </w:r>
            <w:r w:rsidR="00C90CBA">
              <w:rPr>
                <w:sz w:val="22"/>
                <w:szCs w:val="22"/>
              </w:rPr>
              <w:t xml:space="preserve">spectrum resources </w:t>
            </w:r>
            <w:r w:rsidR="00C248AD">
              <w:rPr>
                <w:sz w:val="22"/>
                <w:szCs w:val="22"/>
              </w:rPr>
              <w:t>to support</w:t>
            </w:r>
            <w:r w:rsidR="00805C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wireless service</w:t>
            </w:r>
            <w:r w:rsidR="00805CE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C63F8F">
              <w:rPr>
                <w:sz w:val="22"/>
                <w:szCs w:val="22"/>
              </w:rPr>
              <w:t>in rural communities</w:t>
            </w:r>
            <w:r w:rsidR="00E4469A">
              <w:rPr>
                <w:sz w:val="22"/>
                <w:szCs w:val="22"/>
              </w:rPr>
              <w:t>.</w:t>
            </w:r>
          </w:p>
          <w:p w:rsidR="00B23F65" w:rsidRPr="00B23F65" w:rsidP="00B23F65" w14:paraId="167E67A0" w14:textId="77777777">
            <w:pPr>
              <w:rPr>
                <w:sz w:val="22"/>
                <w:szCs w:val="22"/>
              </w:rPr>
            </w:pPr>
          </w:p>
          <w:p w:rsidR="00C8792D" w:rsidP="00B23F65" w14:paraId="7565BC9F" w14:textId="0D627DAE">
            <w:pPr>
              <w:rPr>
                <w:sz w:val="22"/>
                <w:szCs w:val="22"/>
              </w:rPr>
            </w:pPr>
            <w:r w:rsidRPr="1ACFD8C6">
              <w:rPr>
                <w:sz w:val="22"/>
                <w:szCs w:val="22"/>
              </w:rPr>
              <w:t>There are</w:t>
            </w:r>
            <w:r w:rsidR="00C3093D">
              <w:rPr>
                <w:sz w:val="22"/>
                <w:szCs w:val="22"/>
              </w:rPr>
              <w:t xml:space="preserve"> </w:t>
            </w:r>
            <w:r w:rsidRPr="37142B5E" w:rsidR="1F669643">
              <w:rPr>
                <w:sz w:val="22"/>
                <w:szCs w:val="22"/>
              </w:rPr>
              <w:t>63</w:t>
            </w:r>
            <w:r w:rsidR="00C50695">
              <w:rPr>
                <w:sz w:val="22"/>
                <w:szCs w:val="22"/>
              </w:rPr>
              <w:t xml:space="preserve"> </w:t>
            </w:r>
            <w:r w:rsidR="00F4433C">
              <w:rPr>
                <w:sz w:val="22"/>
                <w:szCs w:val="22"/>
              </w:rPr>
              <w:t xml:space="preserve">winning bidders, </w:t>
            </w:r>
            <w:r w:rsidRPr="37142B5E" w:rsidR="311821AE">
              <w:rPr>
                <w:sz w:val="22"/>
                <w:szCs w:val="22"/>
              </w:rPr>
              <w:t>77%</w:t>
            </w:r>
            <w:r w:rsidR="00A15F22">
              <w:rPr>
                <w:sz w:val="22"/>
                <w:szCs w:val="22"/>
              </w:rPr>
              <w:t xml:space="preserve"> </w:t>
            </w:r>
            <w:r w:rsidR="00D71504">
              <w:rPr>
                <w:sz w:val="22"/>
                <w:szCs w:val="22"/>
              </w:rPr>
              <w:t xml:space="preserve">of which qualified as small businesses or </w:t>
            </w:r>
            <w:r w:rsidR="00F332B2">
              <w:rPr>
                <w:sz w:val="22"/>
                <w:szCs w:val="22"/>
              </w:rPr>
              <w:t xml:space="preserve">as entities serving </w:t>
            </w:r>
            <w:r w:rsidR="00144C69">
              <w:rPr>
                <w:sz w:val="22"/>
                <w:szCs w:val="22"/>
              </w:rPr>
              <w:t>rural communities</w:t>
            </w:r>
            <w:r w:rsidR="00DC5A82">
              <w:rPr>
                <w:sz w:val="22"/>
                <w:szCs w:val="22"/>
              </w:rPr>
              <w:t>, which will support the introduction of innovative new wireless services in their local communities</w:t>
            </w:r>
            <w:r w:rsidR="001C771A">
              <w:rPr>
                <w:sz w:val="22"/>
                <w:szCs w:val="22"/>
              </w:rPr>
              <w:t>.</w:t>
            </w:r>
            <w:r w:rsidR="00CA1A18">
              <w:rPr>
                <w:sz w:val="22"/>
                <w:szCs w:val="22"/>
              </w:rPr>
              <w:t xml:space="preserve">  </w:t>
            </w:r>
            <w:r w:rsidR="00494CA0">
              <w:rPr>
                <w:sz w:val="22"/>
                <w:szCs w:val="22"/>
              </w:rPr>
              <w:t xml:space="preserve">In addition, Auction 108 </w:t>
            </w:r>
            <w:r w:rsidR="0003100A">
              <w:rPr>
                <w:sz w:val="22"/>
                <w:szCs w:val="22"/>
              </w:rPr>
              <w:t xml:space="preserve">raised </w:t>
            </w:r>
            <w:r w:rsidR="00BD0DEB">
              <w:rPr>
                <w:sz w:val="22"/>
                <w:szCs w:val="22"/>
              </w:rPr>
              <w:t xml:space="preserve">gross proceeds </w:t>
            </w:r>
            <w:r w:rsidR="00494CA0">
              <w:rPr>
                <w:sz w:val="22"/>
                <w:szCs w:val="22"/>
              </w:rPr>
              <w:t>exceed</w:t>
            </w:r>
            <w:r w:rsidR="0003100A">
              <w:rPr>
                <w:sz w:val="22"/>
                <w:szCs w:val="22"/>
              </w:rPr>
              <w:t>ing</w:t>
            </w:r>
            <w:r w:rsidR="00494CA0">
              <w:rPr>
                <w:sz w:val="22"/>
                <w:szCs w:val="22"/>
              </w:rPr>
              <w:t xml:space="preserve"> $</w:t>
            </w:r>
            <w:r w:rsidRPr="37142B5E" w:rsidR="008D3A57">
              <w:rPr>
                <w:sz w:val="22"/>
                <w:szCs w:val="22"/>
              </w:rPr>
              <w:t>42</w:t>
            </w:r>
            <w:r w:rsidR="00F1408F">
              <w:rPr>
                <w:sz w:val="22"/>
                <w:szCs w:val="22"/>
              </w:rPr>
              <w:t>7</w:t>
            </w:r>
            <w:r w:rsidR="00D65B19">
              <w:rPr>
                <w:sz w:val="22"/>
                <w:szCs w:val="22"/>
              </w:rPr>
              <w:t xml:space="preserve"> million</w:t>
            </w:r>
            <w:r w:rsidR="00494CA0">
              <w:rPr>
                <w:sz w:val="22"/>
                <w:szCs w:val="22"/>
              </w:rPr>
              <w:t>.</w:t>
            </w:r>
          </w:p>
          <w:p w:rsidR="00C8792D" w:rsidP="00B23F65" w14:paraId="211A3A15" w14:textId="77777777">
            <w:pPr>
              <w:rPr>
                <w:sz w:val="22"/>
                <w:szCs w:val="22"/>
              </w:rPr>
            </w:pPr>
          </w:p>
          <w:p w:rsidR="0032531C" w:rsidRPr="00797A18" w:rsidP="0032531C" w14:paraId="3FC8179A" w14:textId="6AF62801">
            <w:pPr>
              <w:rPr>
                <w:sz w:val="22"/>
                <w:szCs w:val="22"/>
              </w:rPr>
            </w:pPr>
            <w:r w:rsidRPr="00A10889">
              <w:rPr>
                <w:sz w:val="22"/>
                <w:szCs w:val="22"/>
              </w:rPr>
              <w:t>The five bidders with the largest total gross winning bid amounts were as follows: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657"/>
              <w:gridCol w:w="2700"/>
            </w:tblGrid>
            <w:tr w14:paraId="1B2EAEF9" w14:textId="77777777">
              <w:tblPrEx>
                <w:tblW w:w="0" w:type="auto"/>
                <w:tblLook w:val="04A0"/>
              </w:tblPrEx>
              <w:trPr>
                <w:cantSplit/>
                <w:tblHeader/>
              </w:trPr>
              <w:tc>
                <w:tcPr>
                  <w:tcW w:w="4657" w:type="dxa"/>
                </w:tcPr>
                <w:p w:rsidR="0032531C" w:rsidRPr="003F1A74" w:rsidP="0032531C" w14:paraId="7A3E4689" w14:textId="7777777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F1A74">
                    <w:rPr>
                      <w:b/>
                      <w:bCs/>
                      <w:sz w:val="22"/>
                      <w:szCs w:val="22"/>
                    </w:rPr>
                    <w:t>Bidder</w:t>
                  </w:r>
                </w:p>
              </w:tc>
              <w:tc>
                <w:tcPr>
                  <w:tcW w:w="2700" w:type="dxa"/>
                </w:tcPr>
                <w:p w:rsidR="0032531C" w:rsidRPr="003F1A74" w:rsidP="0032531C" w14:paraId="4224DC92" w14:textId="7777777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F1A74">
                    <w:rPr>
                      <w:b/>
                      <w:bCs/>
                      <w:sz w:val="22"/>
                      <w:szCs w:val="22"/>
                    </w:rPr>
                    <w:t xml:space="preserve">Total Gross Winning Bids </w:t>
                  </w:r>
                </w:p>
              </w:tc>
            </w:tr>
            <w:tr w14:paraId="4C1B1BE5" w14:textId="77777777">
              <w:tblPrEx>
                <w:tblW w:w="0" w:type="auto"/>
                <w:tblLook w:val="04A0"/>
              </w:tblPrEx>
              <w:trPr>
                <w:cantSplit/>
              </w:trPr>
              <w:tc>
                <w:tcPr>
                  <w:tcW w:w="4657" w:type="dxa"/>
                  <w:vAlign w:val="bottom"/>
                </w:tcPr>
                <w:p w:rsidR="00A716F2" w:rsidRPr="003F1A74" w:rsidP="00A716F2" w14:paraId="68FB4971" w14:textId="4BAEE399">
                  <w:pPr>
                    <w:rPr>
                      <w:sz w:val="22"/>
                      <w:szCs w:val="22"/>
                    </w:rPr>
                  </w:pPr>
                  <w:r w:rsidRPr="004206D5">
                    <w:rPr>
                      <w:color w:val="000000"/>
                      <w:sz w:val="22"/>
                      <w:szCs w:val="22"/>
                    </w:rPr>
                    <w:t>T-Mobile License LLC</w:t>
                  </w:r>
                </w:p>
              </w:tc>
              <w:tc>
                <w:tcPr>
                  <w:tcW w:w="2700" w:type="dxa"/>
                  <w:vAlign w:val="bottom"/>
                </w:tcPr>
                <w:p w:rsidR="00A716F2" w:rsidRPr="003F1A74" w:rsidP="00A716F2" w14:paraId="0B3D5CBB" w14:textId="698859C0">
                  <w:pPr>
                    <w:ind w:right="437"/>
                    <w:jc w:val="right"/>
                    <w:rPr>
                      <w:sz w:val="22"/>
                      <w:szCs w:val="22"/>
                    </w:rPr>
                  </w:pPr>
                  <w:r w:rsidRPr="004206D5">
                    <w:rPr>
                      <w:color w:val="000000"/>
                      <w:sz w:val="22"/>
                      <w:szCs w:val="22"/>
                    </w:rPr>
                    <w:t>$304,325,290</w:t>
                  </w:r>
                </w:p>
              </w:tc>
            </w:tr>
            <w:tr w14:paraId="269E34E7" w14:textId="77777777">
              <w:tblPrEx>
                <w:tblW w:w="0" w:type="auto"/>
                <w:tblLook w:val="04A0"/>
              </w:tblPrEx>
              <w:trPr>
                <w:cantSplit/>
              </w:trPr>
              <w:tc>
                <w:tcPr>
                  <w:tcW w:w="4657" w:type="dxa"/>
                  <w:vAlign w:val="bottom"/>
                </w:tcPr>
                <w:p w:rsidR="00A716F2" w:rsidRPr="003F1A74" w:rsidP="00A716F2" w14:paraId="4709EF3E" w14:textId="0F5E5055">
                  <w:pPr>
                    <w:rPr>
                      <w:sz w:val="22"/>
                      <w:szCs w:val="22"/>
                    </w:rPr>
                  </w:pPr>
                  <w:r w:rsidRPr="004206D5">
                    <w:rPr>
                      <w:color w:val="000000"/>
                      <w:sz w:val="22"/>
                      <w:szCs w:val="22"/>
                    </w:rPr>
                    <w:t>PTI Pacifica Inc.</w:t>
                  </w:r>
                </w:p>
              </w:tc>
              <w:tc>
                <w:tcPr>
                  <w:tcW w:w="2700" w:type="dxa"/>
                  <w:vAlign w:val="bottom"/>
                </w:tcPr>
                <w:p w:rsidR="00A716F2" w:rsidRPr="003F1A74" w:rsidP="00A716F2" w14:paraId="632BE933" w14:textId="2EE800BB">
                  <w:pPr>
                    <w:ind w:right="437"/>
                    <w:jc w:val="right"/>
                    <w:rPr>
                      <w:sz w:val="22"/>
                      <w:szCs w:val="22"/>
                    </w:rPr>
                  </w:pPr>
                  <w:r w:rsidRPr="004206D5">
                    <w:rPr>
                      <w:color w:val="000000"/>
                      <w:sz w:val="22"/>
                      <w:szCs w:val="22"/>
                    </w:rPr>
                    <w:t>$17,690,000</w:t>
                  </w:r>
                </w:p>
              </w:tc>
            </w:tr>
            <w:tr w14:paraId="3520ABE2" w14:textId="77777777">
              <w:tblPrEx>
                <w:tblW w:w="0" w:type="auto"/>
                <w:tblLook w:val="04A0"/>
              </w:tblPrEx>
              <w:trPr>
                <w:cantSplit/>
                <w:trHeight w:val="58"/>
              </w:trPr>
              <w:tc>
                <w:tcPr>
                  <w:tcW w:w="4657" w:type="dxa"/>
                  <w:vAlign w:val="bottom"/>
                </w:tcPr>
                <w:p w:rsidR="00A716F2" w:rsidRPr="003F1A74" w:rsidP="00A716F2" w14:paraId="1E60408F" w14:textId="303C8800">
                  <w:pPr>
                    <w:rPr>
                      <w:sz w:val="22"/>
                      <w:szCs w:val="22"/>
                    </w:rPr>
                  </w:pPr>
                  <w:r w:rsidRPr="004206D5">
                    <w:rPr>
                      <w:color w:val="000000"/>
                      <w:sz w:val="22"/>
                      <w:szCs w:val="22"/>
                    </w:rPr>
                    <w:t>TeleGuam Holdings, LLC</w:t>
                  </w:r>
                </w:p>
              </w:tc>
              <w:tc>
                <w:tcPr>
                  <w:tcW w:w="2700" w:type="dxa"/>
                  <w:vAlign w:val="bottom"/>
                </w:tcPr>
                <w:p w:rsidR="00A716F2" w:rsidRPr="003F1A74" w:rsidP="00A716F2" w14:paraId="6D998217" w14:textId="1570C194">
                  <w:pPr>
                    <w:ind w:right="437"/>
                    <w:jc w:val="right"/>
                    <w:rPr>
                      <w:sz w:val="22"/>
                      <w:szCs w:val="22"/>
                    </w:rPr>
                  </w:pPr>
                  <w:r w:rsidRPr="004206D5">
                    <w:rPr>
                      <w:color w:val="000000"/>
                      <w:sz w:val="22"/>
                      <w:szCs w:val="22"/>
                    </w:rPr>
                    <w:t>$16,565,000</w:t>
                  </w:r>
                </w:p>
              </w:tc>
            </w:tr>
            <w:tr w14:paraId="135B545A" w14:textId="77777777">
              <w:tblPrEx>
                <w:tblW w:w="0" w:type="auto"/>
                <w:tblLook w:val="04A0"/>
              </w:tblPrEx>
              <w:trPr>
                <w:cantSplit/>
              </w:trPr>
              <w:tc>
                <w:tcPr>
                  <w:tcW w:w="4657" w:type="dxa"/>
                  <w:vAlign w:val="bottom"/>
                </w:tcPr>
                <w:p w:rsidR="00A716F2" w:rsidRPr="003F1A74" w:rsidP="00A716F2" w14:paraId="416EDCEF" w14:textId="1D3A278B">
                  <w:pPr>
                    <w:rPr>
                      <w:sz w:val="22"/>
                      <w:szCs w:val="22"/>
                    </w:rPr>
                  </w:pPr>
                  <w:r w:rsidRPr="004206D5">
                    <w:rPr>
                      <w:color w:val="000000"/>
                      <w:sz w:val="22"/>
                      <w:szCs w:val="22"/>
                    </w:rPr>
                    <w:t>Evergy Kansas Central</w:t>
                  </w:r>
                </w:p>
              </w:tc>
              <w:tc>
                <w:tcPr>
                  <w:tcW w:w="2700" w:type="dxa"/>
                  <w:vAlign w:val="bottom"/>
                </w:tcPr>
                <w:p w:rsidR="00A716F2" w:rsidRPr="003F1A74" w:rsidP="00A716F2" w14:paraId="551EA2E0" w14:textId="21BF14B9">
                  <w:pPr>
                    <w:ind w:right="437"/>
                    <w:jc w:val="right"/>
                    <w:rPr>
                      <w:sz w:val="22"/>
                      <w:szCs w:val="22"/>
                    </w:rPr>
                  </w:pPr>
                  <w:r w:rsidRPr="004206D5">
                    <w:rPr>
                      <w:color w:val="000000"/>
                      <w:sz w:val="22"/>
                      <w:szCs w:val="22"/>
                    </w:rPr>
                    <w:t>$12,744,400</w:t>
                  </w:r>
                </w:p>
              </w:tc>
            </w:tr>
            <w:tr w14:paraId="3F94D6A2" w14:textId="77777777">
              <w:tblPrEx>
                <w:tblW w:w="0" w:type="auto"/>
                <w:tblLook w:val="04A0"/>
              </w:tblPrEx>
              <w:trPr>
                <w:cantSplit/>
              </w:trPr>
              <w:tc>
                <w:tcPr>
                  <w:tcW w:w="4657" w:type="dxa"/>
                  <w:vAlign w:val="bottom"/>
                </w:tcPr>
                <w:p w:rsidR="00A716F2" w:rsidRPr="003F1A74" w:rsidP="00A716F2" w14:paraId="31BFC688" w14:textId="5B0BB42B">
                  <w:pPr>
                    <w:rPr>
                      <w:sz w:val="22"/>
                      <w:szCs w:val="22"/>
                    </w:rPr>
                  </w:pPr>
                  <w:r w:rsidRPr="004206D5">
                    <w:rPr>
                      <w:color w:val="000000"/>
                      <w:sz w:val="22"/>
                      <w:szCs w:val="22"/>
                    </w:rPr>
                    <w:t>Cellular South Licenses, LLC</w:t>
                  </w:r>
                </w:p>
              </w:tc>
              <w:tc>
                <w:tcPr>
                  <w:tcW w:w="2700" w:type="dxa"/>
                  <w:vAlign w:val="bottom"/>
                </w:tcPr>
                <w:p w:rsidR="00A716F2" w:rsidRPr="003F1A74" w:rsidP="00A716F2" w14:paraId="25300DF9" w14:textId="3A8ABB66">
                  <w:pPr>
                    <w:ind w:right="437"/>
                    <w:jc w:val="right"/>
                    <w:rPr>
                      <w:sz w:val="22"/>
                      <w:szCs w:val="22"/>
                    </w:rPr>
                  </w:pPr>
                  <w:r w:rsidRPr="004206D5">
                    <w:rPr>
                      <w:color w:val="000000"/>
                      <w:sz w:val="22"/>
                      <w:szCs w:val="22"/>
                    </w:rPr>
                    <w:t>$11,861,300</w:t>
                  </w:r>
                </w:p>
              </w:tc>
            </w:tr>
          </w:tbl>
          <w:p w:rsidR="0032531C" w:rsidRPr="0029192C" w:rsidP="0032531C" w14:paraId="4BFAE223" w14:textId="77777777">
            <w:pPr>
              <w:rPr>
                <w:bCs/>
                <w:sz w:val="22"/>
                <w:szCs w:val="22"/>
              </w:rPr>
            </w:pPr>
          </w:p>
          <w:p w:rsidR="0032531C" w:rsidRPr="00A10889" w:rsidP="0032531C" w14:paraId="72C23805" w14:textId="77777777">
            <w:pPr>
              <w:rPr>
                <w:sz w:val="22"/>
                <w:szCs w:val="22"/>
              </w:rPr>
            </w:pPr>
            <w:r w:rsidRPr="00A10889">
              <w:rPr>
                <w:sz w:val="22"/>
                <w:szCs w:val="22"/>
              </w:rPr>
              <w:t>The five bidders winning the largest number of licenses were as follows: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657"/>
              <w:gridCol w:w="2700"/>
            </w:tblGrid>
            <w:tr w14:paraId="0F46E70D" w14:textId="77777777">
              <w:tblPrEx>
                <w:tblW w:w="0" w:type="auto"/>
                <w:tblLook w:val="04A0"/>
              </w:tblPrEx>
              <w:trPr>
                <w:cantSplit/>
                <w:tblHeader/>
              </w:trPr>
              <w:tc>
                <w:tcPr>
                  <w:tcW w:w="4657" w:type="dxa"/>
                </w:tcPr>
                <w:p w:rsidR="0032531C" w:rsidRPr="0029192C" w:rsidP="0032531C" w14:paraId="1FEC19D2" w14:textId="77777777">
                  <w:pPr>
                    <w:keepNext/>
                    <w:keepLines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29192C">
                    <w:rPr>
                      <w:b/>
                      <w:sz w:val="22"/>
                      <w:szCs w:val="22"/>
                    </w:rPr>
                    <w:t>Bidder</w:t>
                  </w:r>
                </w:p>
              </w:tc>
              <w:tc>
                <w:tcPr>
                  <w:tcW w:w="2700" w:type="dxa"/>
                </w:tcPr>
                <w:p w:rsidR="0032531C" w:rsidRPr="0029192C" w:rsidP="0032531C" w14:paraId="3FA74676" w14:textId="77777777">
                  <w:pPr>
                    <w:keepNext/>
                    <w:keepLines/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 w:rsidRPr="0029192C">
                    <w:rPr>
                      <w:b/>
                      <w:bCs/>
                      <w:sz w:val="22"/>
                      <w:szCs w:val="22"/>
                    </w:rPr>
                    <w:t>Number of Licenses Won</w:t>
                  </w:r>
                </w:p>
              </w:tc>
            </w:tr>
            <w:tr w14:paraId="352EFAC2" w14:textId="77777777">
              <w:tblPrEx>
                <w:tblW w:w="0" w:type="auto"/>
                <w:tblLook w:val="04A0"/>
              </w:tblPrEx>
              <w:trPr>
                <w:cantSplit/>
              </w:trPr>
              <w:tc>
                <w:tcPr>
                  <w:tcW w:w="4657" w:type="dxa"/>
                </w:tcPr>
                <w:p w:rsidR="00B95397" w:rsidRPr="003F1A74" w:rsidP="00B95397" w14:paraId="2E1A8A75" w14:textId="3E97D35F">
                  <w:pPr>
                    <w:keepNext/>
                    <w:keepLines/>
                    <w:widowControl w:val="0"/>
                    <w:rPr>
                      <w:sz w:val="22"/>
                      <w:szCs w:val="22"/>
                    </w:rPr>
                  </w:pPr>
                  <w:r w:rsidRPr="004206D5">
                    <w:rPr>
                      <w:sz w:val="22"/>
                      <w:szCs w:val="22"/>
                    </w:rPr>
                    <w:t>T-Mobile License LLC</w:t>
                  </w:r>
                </w:p>
              </w:tc>
              <w:tc>
                <w:tcPr>
                  <w:tcW w:w="2700" w:type="dxa"/>
                  <w:vAlign w:val="bottom"/>
                </w:tcPr>
                <w:p w:rsidR="00B95397" w:rsidRPr="003F1A74" w:rsidP="00B95397" w14:paraId="4B3E6ED7" w14:textId="287F80F1">
                  <w:pPr>
                    <w:keepNext/>
                    <w:keepLines/>
                    <w:widowControl w:val="0"/>
                    <w:ind w:right="960"/>
                    <w:jc w:val="right"/>
                    <w:rPr>
                      <w:sz w:val="22"/>
                      <w:szCs w:val="22"/>
                    </w:rPr>
                  </w:pPr>
                  <w:r w:rsidRPr="004206D5">
                    <w:rPr>
                      <w:color w:val="000000"/>
                      <w:sz w:val="22"/>
                      <w:szCs w:val="22"/>
                    </w:rPr>
                    <w:t>7,156</w:t>
                  </w:r>
                </w:p>
              </w:tc>
            </w:tr>
            <w:tr w14:paraId="3E4C4FA4" w14:textId="77777777">
              <w:tblPrEx>
                <w:tblW w:w="0" w:type="auto"/>
                <w:tblLook w:val="04A0"/>
              </w:tblPrEx>
              <w:trPr>
                <w:cantSplit/>
              </w:trPr>
              <w:tc>
                <w:tcPr>
                  <w:tcW w:w="4657" w:type="dxa"/>
                </w:tcPr>
                <w:p w:rsidR="00B95397" w:rsidRPr="003F1A74" w:rsidP="00B95397" w14:paraId="6656B758" w14:textId="77A18DAF">
                  <w:pPr>
                    <w:keepNext/>
                    <w:keepLines/>
                    <w:widowControl w:val="0"/>
                    <w:rPr>
                      <w:sz w:val="22"/>
                      <w:szCs w:val="22"/>
                    </w:rPr>
                  </w:pPr>
                  <w:r w:rsidRPr="004206D5">
                    <w:rPr>
                      <w:sz w:val="22"/>
                      <w:szCs w:val="22"/>
                    </w:rPr>
                    <w:t>North American Catholic Educational Programming Foundation</w:t>
                  </w:r>
                </w:p>
              </w:tc>
              <w:tc>
                <w:tcPr>
                  <w:tcW w:w="2700" w:type="dxa"/>
                  <w:vAlign w:val="bottom"/>
                </w:tcPr>
                <w:p w:rsidR="00B95397" w:rsidRPr="003F1A74" w:rsidP="00B95397" w14:paraId="27C4A720" w14:textId="3E826E2D">
                  <w:pPr>
                    <w:keepNext/>
                    <w:keepLines/>
                    <w:widowControl w:val="0"/>
                    <w:ind w:right="960"/>
                    <w:jc w:val="right"/>
                    <w:rPr>
                      <w:sz w:val="22"/>
                      <w:szCs w:val="22"/>
                    </w:rPr>
                  </w:pPr>
                  <w:r w:rsidRPr="004206D5">
                    <w:rPr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</w:tr>
            <w:tr w14:paraId="6E5553B1" w14:textId="77777777">
              <w:tblPrEx>
                <w:tblW w:w="0" w:type="auto"/>
                <w:tblLook w:val="04A0"/>
              </w:tblPrEx>
              <w:trPr>
                <w:cantSplit/>
              </w:trPr>
              <w:tc>
                <w:tcPr>
                  <w:tcW w:w="4657" w:type="dxa"/>
                </w:tcPr>
                <w:p w:rsidR="00B95397" w:rsidRPr="00B42C6E" w:rsidP="00B95397" w14:paraId="10981854" w14:textId="599995A0">
                  <w:pPr>
                    <w:keepNext/>
                    <w:keepLines/>
                    <w:widowControl w:val="0"/>
                    <w:rPr>
                      <w:sz w:val="22"/>
                      <w:szCs w:val="22"/>
                    </w:rPr>
                  </w:pPr>
                  <w:r w:rsidRPr="004206D5">
                    <w:rPr>
                      <w:sz w:val="22"/>
                      <w:szCs w:val="22"/>
                    </w:rPr>
                    <w:t>Evergy Kansas Central</w:t>
                  </w:r>
                </w:p>
              </w:tc>
              <w:tc>
                <w:tcPr>
                  <w:tcW w:w="2700" w:type="dxa"/>
                  <w:vAlign w:val="bottom"/>
                </w:tcPr>
                <w:p w:rsidR="00B95397" w:rsidRPr="0029192C" w:rsidP="00B95397" w14:paraId="35EA0883" w14:textId="2CC978E9">
                  <w:pPr>
                    <w:keepNext/>
                    <w:keepLines/>
                    <w:widowControl w:val="0"/>
                    <w:ind w:right="960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4206D5"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</w:tr>
            <w:tr w14:paraId="1A96522C" w14:textId="77777777">
              <w:tblPrEx>
                <w:tblW w:w="0" w:type="auto"/>
                <w:tblLook w:val="04A0"/>
              </w:tblPrEx>
              <w:trPr>
                <w:cantSplit/>
              </w:trPr>
              <w:tc>
                <w:tcPr>
                  <w:tcW w:w="4657" w:type="dxa"/>
                </w:tcPr>
                <w:p w:rsidR="00B95397" w:rsidRPr="00B42C6E" w:rsidP="00B95397" w14:paraId="5A789FCA" w14:textId="740E0260">
                  <w:pPr>
                    <w:keepNext/>
                    <w:keepLines/>
                    <w:widowControl w:val="0"/>
                    <w:rPr>
                      <w:sz w:val="22"/>
                      <w:szCs w:val="22"/>
                    </w:rPr>
                  </w:pPr>
                  <w:r w:rsidRPr="004206D5">
                    <w:rPr>
                      <w:sz w:val="22"/>
                      <w:szCs w:val="22"/>
                    </w:rPr>
                    <w:t>LICT Wireless Broadband Company, LLC</w:t>
                  </w:r>
                </w:p>
              </w:tc>
              <w:tc>
                <w:tcPr>
                  <w:tcW w:w="2700" w:type="dxa"/>
                  <w:vAlign w:val="bottom"/>
                </w:tcPr>
                <w:p w:rsidR="00B95397" w:rsidRPr="0029192C" w:rsidP="00B95397" w14:paraId="6096F733" w14:textId="48303DD6">
                  <w:pPr>
                    <w:keepNext/>
                    <w:keepLines/>
                    <w:widowControl w:val="0"/>
                    <w:ind w:right="960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4206D5">
                    <w:rPr>
                      <w:color w:val="000000"/>
                      <w:sz w:val="22"/>
                      <w:szCs w:val="22"/>
                    </w:rPr>
                    <w:t>46</w:t>
                  </w:r>
                </w:p>
              </w:tc>
            </w:tr>
            <w:tr w14:paraId="2C137D8E" w14:textId="77777777">
              <w:tblPrEx>
                <w:tblW w:w="0" w:type="auto"/>
                <w:tblLook w:val="04A0"/>
              </w:tblPrEx>
              <w:trPr>
                <w:cantSplit/>
              </w:trPr>
              <w:tc>
                <w:tcPr>
                  <w:tcW w:w="4657" w:type="dxa"/>
                </w:tcPr>
                <w:p w:rsidR="00B95397" w:rsidRPr="003F1A74" w:rsidP="00B95397" w14:paraId="13DB1204" w14:textId="587E0240">
                  <w:pPr>
                    <w:keepNext/>
                    <w:keepLines/>
                    <w:widowControl w:val="0"/>
                    <w:rPr>
                      <w:sz w:val="22"/>
                      <w:szCs w:val="22"/>
                    </w:rPr>
                  </w:pPr>
                  <w:r w:rsidRPr="004206D5">
                    <w:rPr>
                      <w:sz w:val="22"/>
                      <w:szCs w:val="22"/>
                    </w:rPr>
                    <w:t>Broadband One of the Midwest, Inc.</w:t>
                  </w:r>
                </w:p>
              </w:tc>
              <w:tc>
                <w:tcPr>
                  <w:tcW w:w="2700" w:type="dxa"/>
                  <w:vAlign w:val="bottom"/>
                </w:tcPr>
                <w:p w:rsidR="00B95397" w:rsidRPr="003F1A74" w:rsidP="00B95397" w14:paraId="564EE77D" w14:textId="7DC1279C">
                  <w:pPr>
                    <w:keepNext/>
                    <w:keepLines/>
                    <w:widowControl w:val="0"/>
                    <w:ind w:right="960"/>
                    <w:jc w:val="right"/>
                    <w:rPr>
                      <w:sz w:val="22"/>
                      <w:szCs w:val="22"/>
                    </w:rPr>
                  </w:pPr>
                  <w:r w:rsidRPr="004206D5">
                    <w:rPr>
                      <w:color w:val="000000"/>
                      <w:sz w:val="22"/>
                      <w:szCs w:val="22"/>
                    </w:rPr>
                    <w:t>42</w:t>
                  </w:r>
                </w:p>
              </w:tc>
            </w:tr>
          </w:tbl>
          <w:p w:rsidR="00CA1A18" w:rsidP="00B23F65" w14:paraId="74D667C2" w14:textId="44EA1DAB">
            <w:pPr>
              <w:rPr>
                <w:sz w:val="22"/>
                <w:szCs w:val="22"/>
              </w:rPr>
            </w:pPr>
          </w:p>
          <w:p w:rsidR="00B23F65" w:rsidP="00B23F65" w14:paraId="7AB2EFE5" w14:textId="023FC9CC">
            <w:pPr>
              <w:rPr>
                <w:sz w:val="22"/>
                <w:szCs w:val="22"/>
              </w:rPr>
            </w:pPr>
            <w:r w:rsidRPr="00B23F65">
              <w:rPr>
                <w:sz w:val="22"/>
                <w:szCs w:val="22"/>
              </w:rPr>
              <w:t>Auction 108</w:t>
            </w:r>
            <w:r w:rsidR="00C63F8F">
              <w:rPr>
                <w:sz w:val="22"/>
                <w:szCs w:val="22"/>
              </w:rPr>
              <w:t xml:space="preserve"> started on</w:t>
            </w:r>
            <w:r w:rsidRPr="00B23F65">
              <w:rPr>
                <w:sz w:val="22"/>
                <w:szCs w:val="22"/>
              </w:rPr>
              <w:t xml:space="preserve"> July 29</w:t>
            </w:r>
            <w:r w:rsidR="00C63F8F">
              <w:rPr>
                <w:sz w:val="22"/>
                <w:szCs w:val="22"/>
              </w:rPr>
              <w:t xml:space="preserve"> and</w:t>
            </w:r>
            <w:r w:rsidRPr="00B23F65">
              <w:rPr>
                <w:sz w:val="22"/>
                <w:szCs w:val="22"/>
              </w:rPr>
              <w:t xml:space="preserve"> utilize</w:t>
            </w:r>
            <w:r w:rsidR="00C63F8F">
              <w:rPr>
                <w:sz w:val="22"/>
                <w:szCs w:val="22"/>
              </w:rPr>
              <w:t xml:space="preserve">d </w:t>
            </w:r>
            <w:r w:rsidRPr="00B23F65">
              <w:rPr>
                <w:sz w:val="22"/>
                <w:szCs w:val="22"/>
              </w:rPr>
              <w:t xml:space="preserve">a </w:t>
            </w:r>
            <w:r w:rsidR="00CE422A">
              <w:rPr>
                <w:sz w:val="22"/>
                <w:szCs w:val="22"/>
              </w:rPr>
              <w:t xml:space="preserve">novel </w:t>
            </w:r>
            <w:r w:rsidRPr="00B23F65">
              <w:rPr>
                <w:sz w:val="22"/>
                <w:szCs w:val="22"/>
              </w:rPr>
              <w:t>“clock-1” format</w:t>
            </w:r>
            <w:r w:rsidR="00262812">
              <w:rPr>
                <w:sz w:val="22"/>
                <w:szCs w:val="22"/>
              </w:rPr>
              <w:t xml:space="preserve"> of the Commission’s ascending clock auction</w:t>
            </w:r>
            <w:r w:rsidRPr="00B23F65">
              <w:rPr>
                <w:sz w:val="22"/>
                <w:szCs w:val="22"/>
              </w:rPr>
              <w:t>.</w:t>
            </w:r>
            <w:r w:rsidR="002C6765">
              <w:rPr>
                <w:sz w:val="22"/>
                <w:szCs w:val="22"/>
              </w:rPr>
              <w:t xml:space="preserve">  </w:t>
            </w:r>
            <w:r w:rsidRPr="397603CC" w:rsidR="1AC5E331">
              <w:rPr>
                <w:sz w:val="22"/>
                <w:szCs w:val="22"/>
              </w:rPr>
              <w:t>The</w:t>
            </w:r>
            <w:r w:rsidR="00F9296B">
              <w:rPr>
                <w:sz w:val="22"/>
                <w:szCs w:val="22"/>
              </w:rPr>
              <w:t xml:space="preserve"> successful</w:t>
            </w:r>
            <w:r w:rsidR="00072F89">
              <w:rPr>
                <w:sz w:val="22"/>
                <w:szCs w:val="22"/>
              </w:rPr>
              <w:t xml:space="preserve"> auction </w:t>
            </w:r>
            <w:r w:rsidR="00012566">
              <w:rPr>
                <w:sz w:val="22"/>
                <w:szCs w:val="22"/>
              </w:rPr>
              <w:t xml:space="preserve">of </w:t>
            </w:r>
            <w:r w:rsidRPr="00B23F65" w:rsidR="00012566">
              <w:rPr>
                <w:sz w:val="22"/>
                <w:szCs w:val="22"/>
              </w:rPr>
              <w:t>new flexible-use geographic overlay licenses</w:t>
            </w:r>
            <w:r w:rsidR="00072F89">
              <w:rPr>
                <w:sz w:val="22"/>
                <w:szCs w:val="22"/>
              </w:rPr>
              <w:t xml:space="preserve"> ensures that</w:t>
            </w:r>
            <w:r w:rsidR="00F9296B">
              <w:rPr>
                <w:sz w:val="22"/>
                <w:szCs w:val="22"/>
              </w:rPr>
              <w:t xml:space="preserve"> </w:t>
            </w:r>
            <w:r w:rsidR="00394E26">
              <w:rPr>
                <w:sz w:val="22"/>
                <w:szCs w:val="22"/>
              </w:rPr>
              <w:t xml:space="preserve">this </w:t>
            </w:r>
            <w:r w:rsidR="00515EF6">
              <w:rPr>
                <w:sz w:val="22"/>
                <w:szCs w:val="22"/>
              </w:rPr>
              <w:t xml:space="preserve">important mid-band </w:t>
            </w:r>
            <w:r w:rsidR="00012566">
              <w:rPr>
                <w:sz w:val="22"/>
                <w:szCs w:val="22"/>
              </w:rPr>
              <w:t xml:space="preserve">spectrum </w:t>
            </w:r>
            <w:r w:rsidR="009054E6">
              <w:rPr>
                <w:sz w:val="22"/>
                <w:szCs w:val="22"/>
              </w:rPr>
              <w:t>will</w:t>
            </w:r>
            <w:r w:rsidR="00012566">
              <w:rPr>
                <w:sz w:val="22"/>
                <w:szCs w:val="22"/>
              </w:rPr>
              <w:t xml:space="preserve"> be </w:t>
            </w:r>
            <w:r w:rsidR="002674BA">
              <w:rPr>
                <w:sz w:val="22"/>
                <w:szCs w:val="22"/>
              </w:rPr>
              <w:t>used to its fullest potential by a wide-array</w:t>
            </w:r>
            <w:r w:rsidR="00515EF6">
              <w:rPr>
                <w:sz w:val="22"/>
                <w:szCs w:val="22"/>
              </w:rPr>
              <w:t xml:space="preserve"> </w:t>
            </w:r>
            <w:r w:rsidR="00B54608">
              <w:rPr>
                <w:sz w:val="22"/>
                <w:szCs w:val="22"/>
              </w:rPr>
              <w:t xml:space="preserve">of </w:t>
            </w:r>
            <w:r w:rsidR="00AD72D5">
              <w:rPr>
                <w:sz w:val="22"/>
                <w:szCs w:val="22"/>
              </w:rPr>
              <w:t xml:space="preserve">service providers to </w:t>
            </w:r>
            <w:r w:rsidR="00015BB7">
              <w:rPr>
                <w:sz w:val="22"/>
                <w:szCs w:val="22"/>
              </w:rPr>
              <w:t>bring service to all Americans, especially those in rural areas.</w:t>
            </w:r>
          </w:p>
          <w:p w:rsidR="00B23F65" w:rsidRPr="00B23F65" w:rsidP="00B23F65" w14:paraId="3E59DE75" w14:textId="77777777">
            <w:pPr>
              <w:rPr>
                <w:sz w:val="22"/>
                <w:szCs w:val="22"/>
              </w:rPr>
            </w:pPr>
          </w:p>
          <w:p w:rsidR="00BD19E8" w:rsidP="00B23F65" w14:paraId="04D186DD" w14:textId="599BADDA">
            <w:pPr>
              <w:rPr>
                <w:sz w:val="22"/>
                <w:szCs w:val="22"/>
              </w:rPr>
            </w:pPr>
            <w:r w:rsidRPr="397603CC">
              <w:rPr>
                <w:sz w:val="22"/>
                <w:szCs w:val="22"/>
              </w:rPr>
              <w:t>For more information on Auction 1</w:t>
            </w:r>
            <w:r w:rsidRPr="397603CC" w:rsidR="0CC81685">
              <w:rPr>
                <w:sz w:val="22"/>
                <w:szCs w:val="22"/>
              </w:rPr>
              <w:t>08</w:t>
            </w:r>
            <w:r w:rsidRPr="397603CC">
              <w:rPr>
                <w:sz w:val="22"/>
                <w:szCs w:val="22"/>
              </w:rPr>
              <w:t xml:space="preserve">, visit: </w:t>
            </w:r>
            <w:hyperlink r:id="rId5" w:history="1">
              <w:r w:rsidRPr="397603CC">
                <w:rPr>
                  <w:rStyle w:val="Hyperlink"/>
                  <w:sz w:val="22"/>
                  <w:szCs w:val="22"/>
                </w:rPr>
                <w:t>https://www.fcc.gov/auction/108</w:t>
              </w:r>
            </w:hyperlink>
            <w:r w:rsidRPr="397603CC">
              <w:rPr>
                <w:sz w:val="22"/>
                <w:szCs w:val="22"/>
              </w:rPr>
              <w:t>.</w:t>
            </w:r>
          </w:p>
          <w:p w:rsidR="00B53834" w:rsidRPr="002E165B" w:rsidP="00B23F65" w14:paraId="330A8D3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076D0"/>
    <w:rsid w:val="00012566"/>
    <w:rsid w:val="00012A03"/>
    <w:rsid w:val="000154DD"/>
    <w:rsid w:val="00015BB7"/>
    <w:rsid w:val="0002500C"/>
    <w:rsid w:val="00026138"/>
    <w:rsid w:val="0003100A"/>
    <w:rsid w:val="000311FC"/>
    <w:rsid w:val="000361D8"/>
    <w:rsid w:val="00040127"/>
    <w:rsid w:val="00042227"/>
    <w:rsid w:val="000433B1"/>
    <w:rsid w:val="00052DB4"/>
    <w:rsid w:val="00065E2D"/>
    <w:rsid w:val="00072F89"/>
    <w:rsid w:val="00081232"/>
    <w:rsid w:val="000907C2"/>
    <w:rsid w:val="00091E65"/>
    <w:rsid w:val="00096D4A"/>
    <w:rsid w:val="000A38EA"/>
    <w:rsid w:val="000C06BC"/>
    <w:rsid w:val="000C1E47"/>
    <w:rsid w:val="000C26F3"/>
    <w:rsid w:val="000C4CD7"/>
    <w:rsid w:val="000D22C9"/>
    <w:rsid w:val="000D4439"/>
    <w:rsid w:val="000D52D5"/>
    <w:rsid w:val="000D6A4D"/>
    <w:rsid w:val="000E00FF"/>
    <w:rsid w:val="000E049E"/>
    <w:rsid w:val="000F28B0"/>
    <w:rsid w:val="000F4115"/>
    <w:rsid w:val="00100A00"/>
    <w:rsid w:val="00104A1C"/>
    <w:rsid w:val="0010799B"/>
    <w:rsid w:val="001120DF"/>
    <w:rsid w:val="00117DB2"/>
    <w:rsid w:val="00123ED2"/>
    <w:rsid w:val="00125BE0"/>
    <w:rsid w:val="00127404"/>
    <w:rsid w:val="0013167A"/>
    <w:rsid w:val="001349D4"/>
    <w:rsid w:val="001355E4"/>
    <w:rsid w:val="001379A2"/>
    <w:rsid w:val="00142C13"/>
    <w:rsid w:val="00144C69"/>
    <w:rsid w:val="00144FB6"/>
    <w:rsid w:val="00152776"/>
    <w:rsid w:val="00152987"/>
    <w:rsid w:val="00153222"/>
    <w:rsid w:val="00153756"/>
    <w:rsid w:val="00154A6E"/>
    <w:rsid w:val="00156F87"/>
    <w:rsid w:val="001577D3"/>
    <w:rsid w:val="00157B2B"/>
    <w:rsid w:val="001733A6"/>
    <w:rsid w:val="00181FC6"/>
    <w:rsid w:val="00186067"/>
    <w:rsid w:val="001865A9"/>
    <w:rsid w:val="00187DB2"/>
    <w:rsid w:val="0019502D"/>
    <w:rsid w:val="001A4D7E"/>
    <w:rsid w:val="001A4DA7"/>
    <w:rsid w:val="001A6685"/>
    <w:rsid w:val="001A6B7D"/>
    <w:rsid w:val="001B1E7A"/>
    <w:rsid w:val="001B20BB"/>
    <w:rsid w:val="001B58B3"/>
    <w:rsid w:val="001B77DD"/>
    <w:rsid w:val="001C4370"/>
    <w:rsid w:val="001C771A"/>
    <w:rsid w:val="001D0B75"/>
    <w:rsid w:val="001D1A55"/>
    <w:rsid w:val="001D1C2E"/>
    <w:rsid w:val="001D3779"/>
    <w:rsid w:val="001D4709"/>
    <w:rsid w:val="001D7C1B"/>
    <w:rsid w:val="001E3A76"/>
    <w:rsid w:val="001F0469"/>
    <w:rsid w:val="00203A98"/>
    <w:rsid w:val="00205EE7"/>
    <w:rsid w:val="00206EDD"/>
    <w:rsid w:val="002116FA"/>
    <w:rsid w:val="0021247E"/>
    <w:rsid w:val="002146F6"/>
    <w:rsid w:val="00214CD3"/>
    <w:rsid w:val="00216026"/>
    <w:rsid w:val="00227A5B"/>
    <w:rsid w:val="00231C32"/>
    <w:rsid w:val="002359F4"/>
    <w:rsid w:val="00236D09"/>
    <w:rsid w:val="00240345"/>
    <w:rsid w:val="002421F0"/>
    <w:rsid w:val="00247274"/>
    <w:rsid w:val="00252D29"/>
    <w:rsid w:val="00254DCB"/>
    <w:rsid w:val="00262812"/>
    <w:rsid w:val="00266966"/>
    <w:rsid w:val="002674BA"/>
    <w:rsid w:val="0027131A"/>
    <w:rsid w:val="0027503B"/>
    <w:rsid w:val="00285C36"/>
    <w:rsid w:val="00286596"/>
    <w:rsid w:val="0029192C"/>
    <w:rsid w:val="00294C0C"/>
    <w:rsid w:val="002A0934"/>
    <w:rsid w:val="002A3844"/>
    <w:rsid w:val="002B1013"/>
    <w:rsid w:val="002B2A1C"/>
    <w:rsid w:val="002C07C8"/>
    <w:rsid w:val="002C6765"/>
    <w:rsid w:val="002D03E5"/>
    <w:rsid w:val="002D3C10"/>
    <w:rsid w:val="002E165B"/>
    <w:rsid w:val="002E18E4"/>
    <w:rsid w:val="002E1F68"/>
    <w:rsid w:val="002E3F1D"/>
    <w:rsid w:val="002F1576"/>
    <w:rsid w:val="002F31D0"/>
    <w:rsid w:val="002F4EDF"/>
    <w:rsid w:val="00300359"/>
    <w:rsid w:val="00300FFF"/>
    <w:rsid w:val="00301E9D"/>
    <w:rsid w:val="00307A28"/>
    <w:rsid w:val="003112BD"/>
    <w:rsid w:val="00311D42"/>
    <w:rsid w:val="00313F98"/>
    <w:rsid w:val="00316015"/>
    <w:rsid w:val="0031773E"/>
    <w:rsid w:val="00324E8A"/>
    <w:rsid w:val="0032531C"/>
    <w:rsid w:val="0033244C"/>
    <w:rsid w:val="00333871"/>
    <w:rsid w:val="00347181"/>
    <w:rsid w:val="00347716"/>
    <w:rsid w:val="003506E1"/>
    <w:rsid w:val="00352712"/>
    <w:rsid w:val="00356353"/>
    <w:rsid w:val="00362BE8"/>
    <w:rsid w:val="003630C5"/>
    <w:rsid w:val="003727E3"/>
    <w:rsid w:val="00374B35"/>
    <w:rsid w:val="0038350B"/>
    <w:rsid w:val="00385A93"/>
    <w:rsid w:val="0038659F"/>
    <w:rsid w:val="003910F1"/>
    <w:rsid w:val="00394E26"/>
    <w:rsid w:val="0039628B"/>
    <w:rsid w:val="003B3B16"/>
    <w:rsid w:val="003D7499"/>
    <w:rsid w:val="003E42FC"/>
    <w:rsid w:val="003E5991"/>
    <w:rsid w:val="003F1A74"/>
    <w:rsid w:val="003F344A"/>
    <w:rsid w:val="003F4317"/>
    <w:rsid w:val="003F4F92"/>
    <w:rsid w:val="003F732D"/>
    <w:rsid w:val="00403FF0"/>
    <w:rsid w:val="0041029D"/>
    <w:rsid w:val="00411DAC"/>
    <w:rsid w:val="00411F93"/>
    <w:rsid w:val="00414512"/>
    <w:rsid w:val="00420419"/>
    <w:rsid w:val="0042046D"/>
    <w:rsid w:val="004206D5"/>
    <w:rsid w:val="0042116E"/>
    <w:rsid w:val="00425AEF"/>
    <w:rsid w:val="00426518"/>
    <w:rsid w:val="004265CD"/>
    <w:rsid w:val="00427B06"/>
    <w:rsid w:val="00433329"/>
    <w:rsid w:val="00433EE9"/>
    <w:rsid w:val="00441F59"/>
    <w:rsid w:val="00444E07"/>
    <w:rsid w:val="00444FA9"/>
    <w:rsid w:val="004535C7"/>
    <w:rsid w:val="00455558"/>
    <w:rsid w:val="00457403"/>
    <w:rsid w:val="0046255F"/>
    <w:rsid w:val="00462732"/>
    <w:rsid w:val="00473E9C"/>
    <w:rsid w:val="00480099"/>
    <w:rsid w:val="00493DB9"/>
    <w:rsid w:val="004941A2"/>
    <w:rsid w:val="004942F2"/>
    <w:rsid w:val="00494CA0"/>
    <w:rsid w:val="00496C3B"/>
    <w:rsid w:val="00497858"/>
    <w:rsid w:val="004A4C42"/>
    <w:rsid w:val="004A6136"/>
    <w:rsid w:val="004A729A"/>
    <w:rsid w:val="004B21EF"/>
    <w:rsid w:val="004B2D39"/>
    <w:rsid w:val="004B4FEA"/>
    <w:rsid w:val="004B5304"/>
    <w:rsid w:val="004C0ADA"/>
    <w:rsid w:val="004C3967"/>
    <w:rsid w:val="004C433E"/>
    <w:rsid w:val="004C4512"/>
    <w:rsid w:val="004C4F36"/>
    <w:rsid w:val="004D3D85"/>
    <w:rsid w:val="004E2BD8"/>
    <w:rsid w:val="004E7B7D"/>
    <w:rsid w:val="004F041D"/>
    <w:rsid w:val="004F0F1F"/>
    <w:rsid w:val="004F7B0B"/>
    <w:rsid w:val="005022AA"/>
    <w:rsid w:val="00502A1B"/>
    <w:rsid w:val="00504845"/>
    <w:rsid w:val="005055B5"/>
    <w:rsid w:val="0050757F"/>
    <w:rsid w:val="00511AC2"/>
    <w:rsid w:val="00515EF6"/>
    <w:rsid w:val="005160DF"/>
    <w:rsid w:val="00516AD2"/>
    <w:rsid w:val="00521787"/>
    <w:rsid w:val="00545DAE"/>
    <w:rsid w:val="005478A5"/>
    <w:rsid w:val="005479AD"/>
    <w:rsid w:val="00563826"/>
    <w:rsid w:val="00571B83"/>
    <w:rsid w:val="005725FD"/>
    <w:rsid w:val="00575A00"/>
    <w:rsid w:val="00586417"/>
    <w:rsid w:val="0058673C"/>
    <w:rsid w:val="00590ED1"/>
    <w:rsid w:val="005925CB"/>
    <w:rsid w:val="005A3964"/>
    <w:rsid w:val="005A7972"/>
    <w:rsid w:val="005B17E7"/>
    <w:rsid w:val="005B1981"/>
    <w:rsid w:val="005B2643"/>
    <w:rsid w:val="005C0BA4"/>
    <w:rsid w:val="005C7013"/>
    <w:rsid w:val="005C7F96"/>
    <w:rsid w:val="005D17FD"/>
    <w:rsid w:val="005D553D"/>
    <w:rsid w:val="005D67BD"/>
    <w:rsid w:val="005D74A5"/>
    <w:rsid w:val="005E2FC3"/>
    <w:rsid w:val="005E44A9"/>
    <w:rsid w:val="005F0D55"/>
    <w:rsid w:val="005F183E"/>
    <w:rsid w:val="00600DDA"/>
    <w:rsid w:val="00603A30"/>
    <w:rsid w:val="00604211"/>
    <w:rsid w:val="00613498"/>
    <w:rsid w:val="00617B94"/>
    <w:rsid w:val="00620BED"/>
    <w:rsid w:val="006311FB"/>
    <w:rsid w:val="006415B4"/>
    <w:rsid w:val="00643F0A"/>
    <w:rsid w:val="00644E3D"/>
    <w:rsid w:val="00644EA5"/>
    <w:rsid w:val="00651B9E"/>
    <w:rsid w:val="00652019"/>
    <w:rsid w:val="006566ED"/>
    <w:rsid w:val="00657EC9"/>
    <w:rsid w:val="00657EED"/>
    <w:rsid w:val="00661BB5"/>
    <w:rsid w:val="00665633"/>
    <w:rsid w:val="00674C86"/>
    <w:rsid w:val="00677284"/>
    <w:rsid w:val="0068015E"/>
    <w:rsid w:val="006861AB"/>
    <w:rsid w:val="00686B89"/>
    <w:rsid w:val="00690702"/>
    <w:rsid w:val="0069420F"/>
    <w:rsid w:val="00694C82"/>
    <w:rsid w:val="00696480"/>
    <w:rsid w:val="006A2FC5"/>
    <w:rsid w:val="006A30CD"/>
    <w:rsid w:val="006A7D75"/>
    <w:rsid w:val="006B0A0A"/>
    <w:rsid w:val="006B0A70"/>
    <w:rsid w:val="006B3B95"/>
    <w:rsid w:val="006B606A"/>
    <w:rsid w:val="006C0968"/>
    <w:rsid w:val="006C194B"/>
    <w:rsid w:val="006C33AF"/>
    <w:rsid w:val="006C4E0B"/>
    <w:rsid w:val="006D16EF"/>
    <w:rsid w:val="006D36F8"/>
    <w:rsid w:val="006D5D22"/>
    <w:rsid w:val="006E0324"/>
    <w:rsid w:val="006E4370"/>
    <w:rsid w:val="006E4A76"/>
    <w:rsid w:val="006E76BB"/>
    <w:rsid w:val="006F0284"/>
    <w:rsid w:val="006F1DBD"/>
    <w:rsid w:val="006F48FE"/>
    <w:rsid w:val="00700556"/>
    <w:rsid w:val="007039B7"/>
    <w:rsid w:val="00704D7A"/>
    <w:rsid w:val="0070584E"/>
    <w:rsid w:val="0070589A"/>
    <w:rsid w:val="007063D1"/>
    <w:rsid w:val="00712B1B"/>
    <w:rsid w:val="00714EFB"/>
    <w:rsid w:val="007167DD"/>
    <w:rsid w:val="00720C0A"/>
    <w:rsid w:val="0072478B"/>
    <w:rsid w:val="007258DF"/>
    <w:rsid w:val="0073414D"/>
    <w:rsid w:val="007359B7"/>
    <w:rsid w:val="00736E69"/>
    <w:rsid w:val="0074465A"/>
    <w:rsid w:val="007475A1"/>
    <w:rsid w:val="0075235E"/>
    <w:rsid w:val="007528A5"/>
    <w:rsid w:val="00764D05"/>
    <w:rsid w:val="007732CC"/>
    <w:rsid w:val="00774079"/>
    <w:rsid w:val="0077513E"/>
    <w:rsid w:val="00777175"/>
    <w:rsid w:val="0077752B"/>
    <w:rsid w:val="007776AB"/>
    <w:rsid w:val="007847B4"/>
    <w:rsid w:val="00793D6F"/>
    <w:rsid w:val="00794090"/>
    <w:rsid w:val="00797A18"/>
    <w:rsid w:val="007A0880"/>
    <w:rsid w:val="007A18B0"/>
    <w:rsid w:val="007A44F8"/>
    <w:rsid w:val="007B16D4"/>
    <w:rsid w:val="007B4D40"/>
    <w:rsid w:val="007C0D81"/>
    <w:rsid w:val="007C24F8"/>
    <w:rsid w:val="007C445B"/>
    <w:rsid w:val="007C57D1"/>
    <w:rsid w:val="007C5EDD"/>
    <w:rsid w:val="007D21BF"/>
    <w:rsid w:val="007D27C8"/>
    <w:rsid w:val="007D5612"/>
    <w:rsid w:val="007E5BA4"/>
    <w:rsid w:val="007F1308"/>
    <w:rsid w:val="007F2880"/>
    <w:rsid w:val="007F2A75"/>
    <w:rsid w:val="007F3C12"/>
    <w:rsid w:val="007F5205"/>
    <w:rsid w:val="0080247C"/>
    <w:rsid w:val="0080486B"/>
    <w:rsid w:val="00805CEA"/>
    <w:rsid w:val="00805EE4"/>
    <w:rsid w:val="00812ECF"/>
    <w:rsid w:val="008215E7"/>
    <w:rsid w:val="00830FC6"/>
    <w:rsid w:val="0084425B"/>
    <w:rsid w:val="008505A1"/>
    <w:rsid w:val="00850E26"/>
    <w:rsid w:val="00855EB3"/>
    <w:rsid w:val="008601B3"/>
    <w:rsid w:val="0086421C"/>
    <w:rsid w:val="00865EAA"/>
    <w:rsid w:val="00866F06"/>
    <w:rsid w:val="008728F5"/>
    <w:rsid w:val="008824C2"/>
    <w:rsid w:val="008833FD"/>
    <w:rsid w:val="008935F7"/>
    <w:rsid w:val="008960E4"/>
    <w:rsid w:val="008A3940"/>
    <w:rsid w:val="008A63B9"/>
    <w:rsid w:val="008B13C9"/>
    <w:rsid w:val="008B1BF2"/>
    <w:rsid w:val="008B40FD"/>
    <w:rsid w:val="008C1912"/>
    <w:rsid w:val="008C248C"/>
    <w:rsid w:val="008C5432"/>
    <w:rsid w:val="008C7BF1"/>
    <w:rsid w:val="008D00D6"/>
    <w:rsid w:val="008D096E"/>
    <w:rsid w:val="008D1883"/>
    <w:rsid w:val="008D3A57"/>
    <w:rsid w:val="008D4D00"/>
    <w:rsid w:val="008D4E5E"/>
    <w:rsid w:val="008D7ABD"/>
    <w:rsid w:val="008E1AC9"/>
    <w:rsid w:val="008E3176"/>
    <w:rsid w:val="008E55A2"/>
    <w:rsid w:val="008F1609"/>
    <w:rsid w:val="008F78D8"/>
    <w:rsid w:val="00905368"/>
    <w:rsid w:val="009054E6"/>
    <w:rsid w:val="009059AC"/>
    <w:rsid w:val="00927BF9"/>
    <w:rsid w:val="0093373C"/>
    <w:rsid w:val="00936D3D"/>
    <w:rsid w:val="0094214C"/>
    <w:rsid w:val="00946FD0"/>
    <w:rsid w:val="0095360A"/>
    <w:rsid w:val="009575AE"/>
    <w:rsid w:val="00961620"/>
    <w:rsid w:val="00970171"/>
    <w:rsid w:val="0097275D"/>
    <w:rsid w:val="009734B6"/>
    <w:rsid w:val="00975A55"/>
    <w:rsid w:val="0098096F"/>
    <w:rsid w:val="00983627"/>
    <w:rsid w:val="0098437A"/>
    <w:rsid w:val="00986C92"/>
    <w:rsid w:val="00987BB1"/>
    <w:rsid w:val="00992161"/>
    <w:rsid w:val="00993C47"/>
    <w:rsid w:val="00996E22"/>
    <w:rsid w:val="009972BC"/>
    <w:rsid w:val="009A18D2"/>
    <w:rsid w:val="009A1B7E"/>
    <w:rsid w:val="009B4B16"/>
    <w:rsid w:val="009C1823"/>
    <w:rsid w:val="009D1370"/>
    <w:rsid w:val="009D426A"/>
    <w:rsid w:val="009D5C4E"/>
    <w:rsid w:val="009E1E3E"/>
    <w:rsid w:val="009E54A1"/>
    <w:rsid w:val="009F3184"/>
    <w:rsid w:val="009F3B30"/>
    <w:rsid w:val="009F4E25"/>
    <w:rsid w:val="009F5B1F"/>
    <w:rsid w:val="00A10889"/>
    <w:rsid w:val="00A14360"/>
    <w:rsid w:val="00A15F22"/>
    <w:rsid w:val="00A1719B"/>
    <w:rsid w:val="00A21202"/>
    <w:rsid w:val="00A225A9"/>
    <w:rsid w:val="00A24E09"/>
    <w:rsid w:val="00A3308E"/>
    <w:rsid w:val="00A34739"/>
    <w:rsid w:val="00A35DFD"/>
    <w:rsid w:val="00A41A4E"/>
    <w:rsid w:val="00A50184"/>
    <w:rsid w:val="00A51422"/>
    <w:rsid w:val="00A52C4C"/>
    <w:rsid w:val="00A52E4E"/>
    <w:rsid w:val="00A702DF"/>
    <w:rsid w:val="00A70F08"/>
    <w:rsid w:val="00A716F2"/>
    <w:rsid w:val="00A775A3"/>
    <w:rsid w:val="00A81700"/>
    <w:rsid w:val="00A81B5B"/>
    <w:rsid w:val="00A82FAD"/>
    <w:rsid w:val="00A900BD"/>
    <w:rsid w:val="00A9673A"/>
    <w:rsid w:val="00A96EF2"/>
    <w:rsid w:val="00A97C4F"/>
    <w:rsid w:val="00AA5C35"/>
    <w:rsid w:val="00AA5ED9"/>
    <w:rsid w:val="00AB2D97"/>
    <w:rsid w:val="00AC0A38"/>
    <w:rsid w:val="00AC4E0E"/>
    <w:rsid w:val="00AC517B"/>
    <w:rsid w:val="00AD0D19"/>
    <w:rsid w:val="00AD36DE"/>
    <w:rsid w:val="00AD380D"/>
    <w:rsid w:val="00AD4184"/>
    <w:rsid w:val="00AD72D5"/>
    <w:rsid w:val="00AE2751"/>
    <w:rsid w:val="00AF051B"/>
    <w:rsid w:val="00AF5665"/>
    <w:rsid w:val="00B0020E"/>
    <w:rsid w:val="00B037A2"/>
    <w:rsid w:val="00B16C67"/>
    <w:rsid w:val="00B16D84"/>
    <w:rsid w:val="00B20CFE"/>
    <w:rsid w:val="00B23F65"/>
    <w:rsid w:val="00B2523E"/>
    <w:rsid w:val="00B25403"/>
    <w:rsid w:val="00B3107A"/>
    <w:rsid w:val="00B31870"/>
    <w:rsid w:val="00B320B8"/>
    <w:rsid w:val="00B33DA1"/>
    <w:rsid w:val="00B35EE2"/>
    <w:rsid w:val="00B36DEF"/>
    <w:rsid w:val="00B40808"/>
    <w:rsid w:val="00B42489"/>
    <w:rsid w:val="00B42C6E"/>
    <w:rsid w:val="00B52144"/>
    <w:rsid w:val="00B527F1"/>
    <w:rsid w:val="00B52C50"/>
    <w:rsid w:val="00B53834"/>
    <w:rsid w:val="00B54608"/>
    <w:rsid w:val="00B57131"/>
    <w:rsid w:val="00B62F2C"/>
    <w:rsid w:val="00B64C80"/>
    <w:rsid w:val="00B66D79"/>
    <w:rsid w:val="00B7049D"/>
    <w:rsid w:val="00B7161F"/>
    <w:rsid w:val="00B727C9"/>
    <w:rsid w:val="00B735C8"/>
    <w:rsid w:val="00B739F4"/>
    <w:rsid w:val="00B76A63"/>
    <w:rsid w:val="00B90DB3"/>
    <w:rsid w:val="00B95397"/>
    <w:rsid w:val="00BA6350"/>
    <w:rsid w:val="00BB1407"/>
    <w:rsid w:val="00BB4E29"/>
    <w:rsid w:val="00BB6246"/>
    <w:rsid w:val="00BB74C9"/>
    <w:rsid w:val="00BB7EF5"/>
    <w:rsid w:val="00BC1147"/>
    <w:rsid w:val="00BC3AB6"/>
    <w:rsid w:val="00BC5213"/>
    <w:rsid w:val="00BC5B8F"/>
    <w:rsid w:val="00BC620F"/>
    <w:rsid w:val="00BD091B"/>
    <w:rsid w:val="00BD0DEB"/>
    <w:rsid w:val="00BD19E8"/>
    <w:rsid w:val="00BD2A64"/>
    <w:rsid w:val="00BD2C7E"/>
    <w:rsid w:val="00BD4273"/>
    <w:rsid w:val="00BD473B"/>
    <w:rsid w:val="00BE5EF7"/>
    <w:rsid w:val="00BE657A"/>
    <w:rsid w:val="00BE71DD"/>
    <w:rsid w:val="00BF360E"/>
    <w:rsid w:val="00BF6848"/>
    <w:rsid w:val="00BF78F1"/>
    <w:rsid w:val="00C0350C"/>
    <w:rsid w:val="00C11450"/>
    <w:rsid w:val="00C1511F"/>
    <w:rsid w:val="00C165BB"/>
    <w:rsid w:val="00C22D80"/>
    <w:rsid w:val="00C248AD"/>
    <w:rsid w:val="00C3093D"/>
    <w:rsid w:val="00C31ED8"/>
    <w:rsid w:val="00C432E4"/>
    <w:rsid w:val="00C44D11"/>
    <w:rsid w:val="00C44FC0"/>
    <w:rsid w:val="00C50695"/>
    <w:rsid w:val="00C52B4B"/>
    <w:rsid w:val="00C63F8F"/>
    <w:rsid w:val="00C703B4"/>
    <w:rsid w:val="00C70C26"/>
    <w:rsid w:val="00C72001"/>
    <w:rsid w:val="00C772B7"/>
    <w:rsid w:val="00C77749"/>
    <w:rsid w:val="00C801F9"/>
    <w:rsid w:val="00C80347"/>
    <w:rsid w:val="00C84CF1"/>
    <w:rsid w:val="00C85137"/>
    <w:rsid w:val="00C85BE9"/>
    <w:rsid w:val="00C8792D"/>
    <w:rsid w:val="00C90CBA"/>
    <w:rsid w:val="00C934EF"/>
    <w:rsid w:val="00C96A78"/>
    <w:rsid w:val="00CA1A18"/>
    <w:rsid w:val="00CA7F47"/>
    <w:rsid w:val="00CB01A5"/>
    <w:rsid w:val="00CB24D2"/>
    <w:rsid w:val="00CB39A9"/>
    <w:rsid w:val="00CB7C1A"/>
    <w:rsid w:val="00CC5E08"/>
    <w:rsid w:val="00CD3E23"/>
    <w:rsid w:val="00CE14FD"/>
    <w:rsid w:val="00CE1D33"/>
    <w:rsid w:val="00CE422A"/>
    <w:rsid w:val="00CF64CC"/>
    <w:rsid w:val="00CF6860"/>
    <w:rsid w:val="00D02AC6"/>
    <w:rsid w:val="00D03F0C"/>
    <w:rsid w:val="00D04312"/>
    <w:rsid w:val="00D11081"/>
    <w:rsid w:val="00D16A7F"/>
    <w:rsid w:val="00D16AD2"/>
    <w:rsid w:val="00D21912"/>
    <w:rsid w:val="00D22596"/>
    <w:rsid w:val="00D22691"/>
    <w:rsid w:val="00D24C3D"/>
    <w:rsid w:val="00D351E7"/>
    <w:rsid w:val="00D37376"/>
    <w:rsid w:val="00D46CB1"/>
    <w:rsid w:val="00D51AC5"/>
    <w:rsid w:val="00D552C8"/>
    <w:rsid w:val="00D61602"/>
    <w:rsid w:val="00D64DF0"/>
    <w:rsid w:val="00D65B19"/>
    <w:rsid w:val="00D71504"/>
    <w:rsid w:val="00D723F0"/>
    <w:rsid w:val="00D80825"/>
    <w:rsid w:val="00D8133F"/>
    <w:rsid w:val="00D8506B"/>
    <w:rsid w:val="00D861EE"/>
    <w:rsid w:val="00D918A0"/>
    <w:rsid w:val="00D95238"/>
    <w:rsid w:val="00D95B05"/>
    <w:rsid w:val="00D97E2D"/>
    <w:rsid w:val="00DA103D"/>
    <w:rsid w:val="00DA2FD1"/>
    <w:rsid w:val="00DA45D3"/>
    <w:rsid w:val="00DA4772"/>
    <w:rsid w:val="00DA7B44"/>
    <w:rsid w:val="00DB055E"/>
    <w:rsid w:val="00DB2667"/>
    <w:rsid w:val="00DB67B7"/>
    <w:rsid w:val="00DB700E"/>
    <w:rsid w:val="00DC15A9"/>
    <w:rsid w:val="00DC284B"/>
    <w:rsid w:val="00DC40AA"/>
    <w:rsid w:val="00DC5A82"/>
    <w:rsid w:val="00DD1750"/>
    <w:rsid w:val="00DD49C6"/>
    <w:rsid w:val="00DE2C5B"/>
    <w:rsid w:val="00DE33FA"/>
    <w:rsid w:val="00DF1781"/>
    <w:rsid w:val="00E050BE"/>
    <w:rsid w:val="00E07DE3"/>
    <w:rsid w:val="00E137E9"/>
    <w:rsid w:val="00E201F3"/>
    <w:rsid w:val="00E237AC"/>
    <w:rsid w:val="00E31360"/>
    <w:rsid w:val="00E349AA"/>
    <w:rsid w:val="00E40256"/>
    <w:rsid w:val="00E41390"/>
    <w:rsid w:val="00E41CA0"/>
    <w:rsid w:val="00E4366B"/>
    <w:rsid w:val="00E4469A"/>
    <w:rsid w:val="00E47A35"/>
    <w:rsid w:val="00E50A4A"/>
    <w:rsid w:val="00E606DE"/>
    <w:rsid w:val="00E644FE"/>
    <w:rsid w:val="00E72733"/>
    <w:rsid w:val="00E742FA"/>
    <w:rsid w:val="00E7594D"/>
    <w:rsid w:val="00E76816"/>
    <w:rsid w:val="00E771B0"/>
    <w:rsid w:val="00E83381"/>
    <w:rsid w:val="00E83DBF"/>
    <w:rsid w:val="00E84B3F"/>
    <w:rsid w:val="00E87C13"/>
    <w:rsid w:val="00E9395D"/>
    <w:rsid w:val="00E94CD9"/>
    <w:rsid w:val="00EA1A76"/>
    <w:rsid w:val="00EA290B"/>
    <w:rsid w:val="00EA492A"/>
    <w:rsid w:val="00EC5DBF"/>
    <w:rsid w:val="00ED5BAC"/>
    <w:rsid w:val="00EE0E90"/>
    <w:rsid w:val="00EE338F"/>
    <w:rsid w:val="00EF3BCA"/>
    <w:rsid w:val="00EF65AB"/>
    <w:rsid w:val="00EF6990"/>
    <w:rsid w:val="00EF729B"/>
    <w:rsid w:val="00F01B0D"/>
    <w:rsid w:val="00F04F96"/>
    <w:rsid w:val="00F05097"/>
    <w:rsid w:val="00F11C7D"/>
    <w:rsid w:val="00F1238F"/>
    <w:rsid w:val="00F1407B"/>
    <w:rsid w:val="00F1408F"/>
    <w:rsid w:val="00F16485"/>
    <w:rsid w:val="00F228ED"/>
    <w:rsid w:val="00F26E31"/>
    <w:rsid w:val="00F27C6C"/>
    <w:rsid w:val="00F332B2"/>
    <w:rsid w:val="00F34A8D"/>
    <w:rsid w:val="00F363E6"/>
    <w:rsid w:val="00F4433C"/>
    <w:rsid w:val="00F50D25"/>
    <w:rsid w:val="00F5284B"/>
    <w:rsid w:val="00F535D8"/>
    <w:rsid w:val="00F53CEA"/>
    <w:rsid w:val="00F60BEA"/>
    <w:rsid w:val="00F61155"/>
    <w:rsid w:val="00F649AA"/>
    <w:rsid w:val="00F66224"/>
    <w:rsid w:val="00F708E3"/>
    <w:rsid w:val="00F76561"/>
    <w:rsid w:val="00F7EF84"/>
    <w:rsid w:val="00F84736"/>
    <w:rsid w:val="00F87334"/>
    <w:rsid w:val="00F91193"/>
    <w:rsid w:val="00F9296B"/>
    <w:rsid w:val="00FA1226"/>
    <w:rsid w:val="00FA64CE"/>
    <w:rsid w:val="00FB02D9"/>
    <w:rsid w:val="00FB49D4"/>
    <w:rsid w:val="00FC1A20"/>
    <w:rsid w:val="00FC270C"/>
    <w:rsid w:val="00FC6C29"/>
    <w:rsid w:val="00FD58E0"/>
    <w:rsid w:val="00FD71AE"/>
    <w:rsid w:val="00FE0198"/>
    <w:rsid w:val="00FE0420"/>
    <w:rsid w:val="00FE05E6"/>
    <w:rsid w:val="00FE3A7C"/>
    <w:rsid w:val="00FF1C0B"/>
    <w:rsid w:val="00FF2253"/>
    <w:rsid w:val="00FF232D"/>
    <w:rsid w:val="00FF7F9B"/>
    <w:rsid w:val="07B2D367"/>
    <w:rsid w:val="09745E62"/>
    <w:rsid w:val="0C4EAA21"/>
    <w:rsid w:val="0CC81685"/>
    <w:rsid w:val="0FE44E1F"/>
    <w:rsid w:val="136AEEEE"/>
    <w:rsid w:val="13753FAB"/>
    <w:rsid w:val="140F9B13"/>
    <w:rsid w:val="155E004B"/>
    <w:rsid w:val="15FE760C"/>
    <w:rsid w:val="18057279"/>
    <w:rsid w:val="1AB28954"/>
    <w:rsid w:val="1AC5E331"/>
    <w:rsid w:val="1ACFD8C6"/>
    <w:rsid w:val="1B5CA945"/>
    <w:rsid w:val="1D0B7CAE"/>
    <w:rsid w:val="1DA44568"/>
    <w:rsid w:val="1DFD7FF3"/>
    <w:rsid w:val="1E62EB7D"/>
    <w:rsid w:val="1F669643"/>
    <w:rsid w:val="20AE8401"/>
    <w:rsid w:val="216CF745"/>
    <w:rsid w:val="220FC4A6"/>
    <w:rsid w:val="23FFF924"/>
    <w:rsid w:val="24323EEF"/>
    <w:rsid w:val="245F09A0"/>
    <w:rsid w:val="2551D28F"/>
    <w:rsid w:val="25E936DA"/>
    <w:rsid w:val="26E77CE2"/>
    <w:rsid w:val="27B5202F"/>
    <w:rsid w:val="2BAD7286"/>
    <w:rsid w:val="2C1E21F1"/>
    <w:rsid w:val="2CB089A9"/>
    <w:rsid w:val="311821AE"/>
    <w:rsid w:val="37142B5E"/>
    <w:rsid w:val="37A57B60"/>
    <w:rsid w:val="37C2E062"/>
    <w:rsid w:val="38085DC2"/>
    <w:rsid w:val="397603CC"/>
    <w:rsid w:val="39958302"/>
    <w:rsid w:val="3A25FBB6"/>
    <w:rsid w:val="3A3BCA08"/>
    <w:rsid w:val="3B842B2A"/>
    <w:rsid w:val="3BC5F734"/>
    <w:rsid w:val="3BFE7201"/>
    <w:rsid w:val="3E044914"/>
    <w:rsid w:val="41E4F45E"/>
    <w:rsid w:val="42B86BB7"/>
    <w:rsid w:val="434B8648"/>
    <w:rsid w:val="43540494"/>
    <w:rsid w:val="4504043B"/>
    <w:rsid w:val="468AFB35"/>
    <w:rsid w:val="4AEAAD46"/>
    <w:rsid w:val="52AC0B64"/>
    <w:rsid w:val="52B1032D"/>
    <w:rsid w:val="52F2D62F"/>
    <w:rsid w:val="53F94606"/>
    <w:rsid w:val="5665442D"/>
    <w:rsid w:val="5A4F1C10"/>
    <w:rsid w:val="5B0E4FE8"/>
    <w:rsid w:val="5B492C0E"/>
    <w:rsid w:val="5E5B3850"/>
    <w:rsid w:val="5F9B2FAF"/>
    <w:rsid w:val="65370A65"/>
    <w:rsid w:val="683B7B66"/>
    <w:rsid w:val="6A44C26A"/>
    <w:rsid w:val="6E8C6275"/>
    <w:rsid w:val="706CEDC5"/>
    <w:rsid w:val="70BD850B"/>
    <w:rsid w:val="720009E4"/>
    <w:rsid w:val="736A4B47"/>
    <w:rsid w:val="7456440E"/>
    <w:rsid w:val="75749EFA"/>
    <w:rsid w:val="7647E18E"/>
    <w:rsid w:val="765CB2D2"/>
    <w:rsid w:val="791FE7EB"/>
    <w:rsid w:val="7939F3E9"/>
    <w:rsid w:val="7AFA9B3C"/>
    <w:rsid w:val="7B0C1EA4"/>
    <w:rsid w:val="7B10D575"/>
    <w:rsid w:val="7B4D8EB0"/>
    <w:rsid w:val="7D5C6DF9"/>
    <w:rsid w:val="7DEE168C"/>
    <w:rsid w:val="7E440DD1"/>
    <w:rsid w:val="7E6D98EF"/>
    <w:rsid w:val="7F0D445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9E3525"/>
  <w15:docId w15:val="{807C4547-2DEE-4446-B684-E64D400C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58D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6273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2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273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2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2732"/>
    <w:rPr>
      <w:b/>
      <w:bCs/>
    </w:rPr>
  </w:style>
  <w:style w:type="character" w:styleId="Mention">
    <w:name w:val="Mention"/>
    <w:basedOn w:val="DefaultParagraphFont"/>
    <w:uiPriority w:val="99"/>
    <w:unhideWhenUsed/>
    <w:rsid w:val="00B64C80"/>
    <w:rPr>
      <w:color w:val="2B579A"/>
      <w:shd w:val="clear" w:color="auto" w:fill="E1DFDD"/>
    </w:rPr>
  </w:style>
  <w:style w:type="table" w:styleId="TableGrid">
    <w:name w:val="Table Grid"/>
    <w:basedOn w:val="TableNormal"/>
    <w:rsid w:val="0086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(NECG) Footnote Reference,-E Funotenzeichen,A,Appel note de bas de p,FR,Footnote Reference/,Footnote Reference1,Ref,Style 1,Style 12,Style 124,Style 13,Style 17,Style 20,Style 3,Style 34,Style 4,Style 6,Style 7,Style 9,callout,fr,o"/>
    <w:rsid w:val="00590ED1"/>
    <w:rPr>
      <w:rFonts w:ascii="Times New Roman" w:hAnsi="Times New Roman"/>
      <w:dstrike w:val="0"/>
      <w:color w:val="auto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auction/108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