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2BC1CD5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1B8DB0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BB731A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DF8772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C03AC4" w:rsidP="00BB4E29" w14:paraId="000123D0" w14:textId="77777777">
            <w:pPr>
              <w:rPr>
                <w:bCs/>
                <w:sz w:val="22"/>
                <w:szCs w:val="22"/>
              </w:rPr>
            </w:pPr>
            <w:r w:rsidRPr="00C03AC4">
              <w:rPr>
                <w:bCs/>
                <w:sz w:val="22"/>
                <w:szCs w:val="22"/>
              </w:rPr>
              <w:t>Sharon Diskin</w:t>
            </w:r>
            <w:r>
              <w:rPr>
                <w:bCs/>
                <w:sz w:val="22"/>
                <w:szCs w:val="22"/>
              </w:rPr>
              <w:t>,</w:t>
            </w:r>
            <w:r w:rsidRPr="00C03AC4">
              <w:rPr>
                <w:bCs/>
                <w:sz w:val="22"/>
                <w:szCs w:val="22"/>
              </w:rPr>
              <w:t xml:space="preserve"> (202) 418-0470</w:t>
            </w:r>
          </w:p>
          <w:p w:rsidR="007A44F8" w:rsidP="00BB4E29" w14:paraId="46C79EF4" w14:textId="77777777">
            <w:pPr>
              <w:rPr>
                <w:bCs/>
                <w:sz w:val="22"/>
                <w:szCs w:val="22"/>
              </w:rPr>
            </w:pPr>
            <w:r w:rsidRPr="00C03AC4">
              <w:rPr>
                <w:bCs/>
                <w:sz w:val="22"/>
                <w:szCs w:val="22"/>
              </w:rPr>
              <w:t>Sharon.Diskin@fcc.gov</w:t>
            </w:r>
          </w:p>
          <w:p w:rsidR="00C03AC4" w:rsidRPr="008A3940" w:rsidP="00BB4E29" w14:paraId="7329DFE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880039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2160A1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C03AC4" w14:paraId="328D556B" w14:textId="48841F14">
            <w:pPr>
              <w:tabs>
                <w:tab w:val="left" w:pos="8625"/>
              </w:tabs>
              <w:jc w:val="center"/>
              <w:rPr>
                <w:i/>
              </w:rPr>
            </w:pPr>
            <w:r w:rsidRPr="00C03AC4">
              <w:rPr>
                <w:b/>
                <w:bCs/>
                <w:sz w:val="26"/>
                <w:szCs w:val="26"/>
              </w:rPr>
              <w:t xml:space="preserve">FCC INSPECTOR GENERAL ISSUES ADVISORY REGARDING </w:t>
            </w:r>
            <w:r w:rsidR="00647B1C">
              <w:rPr>
                <w:b/>
                <w:bCs/>
                <w:sz w:val="26"/>
                <w:szCs w:val="26"/>
              </w:rPr>
              <w:t>ACP</w:t>
            </w:r>
            <w:r w:rsidR="00A57793">
              <w:rPr>
                <w:b/>
                <w:bCs/>
                <w:sz w:val="26"/>
                <w:szCs w:val="26"/>
              </w:rPr>
              <w:t xml:space="preserve"> ENROLLMENT FRAUD</w:t>
            </w:r>
          </w:p>
          <w:p w:rsidR="00F61155" w:rsidRPr="006B0A70" w:rsidP="00BB4E29" w14:paraId="7312AD8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47B1C" w:rsidP="00C03AC4" w14:paraId="5DD8B026" w14:textId="57C7865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 xml:space="preserve">September </w:t>
            </w:r>
            <w:r w:rsidR="009F4F11">
              <w:rPr>
                <w:sz w:val="22"/>
                <w:szCs w:val="22"/>
              </w:rPr>
              <w:t>8</w:t>
            </w:r>
            <w:r w:rsidRPr="00C03AC4" w:rsidR="00C03AC4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2</w:t>
            </w:r>
            <w:r w:rsidRPr="00C03AC4" w:rsidR="00C03AC4">
              <w:rPr>
                <w:sz w:val="22"/>
                <w:szCs w:val="22"/>
              </w:rPr>
              <w:t xml:space="preserve"> –</w:t>
            </w:r>
            <w:r w:rsidR="00CF6AC2">
              <w:rPr>
                <w:sz w:val="22"/>
                <w:szCs w:val="22"/>
              </w:rPr>
              <w:t xml:space="preserve"> </w:t>
            </w:r>
            <w:r w:rsidR="001B1F28">
              <w:rPr>
                <w:sz w:val="22"/>
                <w:szCs w:val="22"/>
              </w:rPr>
              <w:t>In an Advisory issued today, t</w:t>
            </w:r>
            <w:r w:rsidRPr="00C03AC4" w:rsidR="00C03AC4">
              <w:rPr>
                <w:sz w:val="22"/>
                <w:szCs w:val="22"/>
              </w:rPr>
              <w:t xml:space="preserve">he Office of Inspector General </w:t>
            </w:r>
            <w:r w:rsidR="001B1F28">
              <w:rPr>
                <w:sz w:val="22"/>
                <w:szCs w:val="22"/>
              </w:rPr>
              <w:t xml:space="preserve">(OIG) </w:t>
            </w:r>
            <w:r w:rsidR="00C03AC4">
              <w:rPr>
                <w:sz w:val="22"/>
                <w:szCs w:val="22"/>
              </w:rPr>
              <w:t>of the Federal Communications Commission</w:t>
            </w:r>
            <w:r w:rsidRPr="00C03AC4" w:rsidR="00C03AC4">
              <w:rPr>
                <w:sz w:val="22"/>
                <w:szCs w:val="22"/>
              </w:rPr>
              <w:t xml:space="preserve"> </w:t>
            </w:r>
            <w:r w:rsidR="00A64560">
              <w:rPr>
                <w:sz w:val="22"/>
                <w:szCs w:val="22"/>
              </w:rPr>
              <w:t xml:space="preserve">warned that </w:t>
            </w:r>
            <w:r w:rsidR="00E344CB">
              <w:rPr>
                <w:sz w:val="22"/>
                <w:szCs w:val="22"/>
              </w:rPr>
              <w:t xml:space="preserve">some </w:t>
            </w:r>
            <w:r w:rsidR="007924A8">
              <w:rPr>
                <w:sz w:val="22"/>
                <w:szCs w:val="22"/>
              </w:rPr>
              <w:t>Affordable Connectivity Program (</w:t>
            </w:r>
            <w:r w:rsidR="00E344CB">
              <w:rPr>
                <w:sz w:val="22"/>
                <w:szCs w:val="22"/>
              </w:rPr>
              <w:t>ACP</w:t>
            </w:r>
            <w:r w:rsidR="007924A8">
              <w:rPr>
                <w:sz w:val="22"/>
                <w:szCs w:val="22"/>
              </w:rPr>
              <w:t>)</w:t>
            </w:r>
            <w:r w:rsidR="00E344CB">
              <w:rPr>
                <w:sz w:val="22"/>
                <w:szCs w:val="22"/>
              </w:rPr>
              <w:t xml:space="preserve"> </w:t>
            </w:r>
            <w:r w:rsidR="00A64560">
              <w:rPr>
                <w:sz w:val="22"/>
                <w:szCs w:val="22"/>
              </w:rPr>
              <w:t xml:space="preserve">providers and their agents are making fraudulent </w:t>
            </w:r>
            <w:r w:rsidR="00E344CB">
              <w:rPr>
                <w:sz w:val="22"/>
                <w:szCs w:val="22"/>
              </w:rPr>
              <w:t xml:space="preserve">program </w:t>
            </w:r>
            <w:r w:rsidR="00A64560">
              <w:rPr>
                <w:sz w:val="22"/>
                <w:szCs w:val="22"/>
              </w:rPr>
              <w:t xml:space="preserve">enrollments by using the same child or dependent to qualify </w:t>
            </w:r>
            <w:r w:rsidR="0078544B">
              <w:rPr>
                <w:sz w:val="22"/>
                <w:szCs w:val="22"/>
              </w:rPr>
              <w:t xml:space="preserve">multiple </w:t>
            </w:r>
            <w:r w:rsidR="00A64560">
              <w:rPr>
                <w:sz w:val="22"/>
                <w:szCs w:val="22"/>
              </w:rPr>
              <w:t xml:space="preserve">households for simultaneous ACP support.  </w:t>
            </w:r>
          </w:p>
          <w:p w:rsidR="00647B1C" w:rsidP="00C03AC4" w14:paraId="2F0E529B" w14:textId="77777777">
            <w:pPr>
              <w:rPr>
                <w:sz w:val="22"/>
                <w:szCs w:val="22"/>
              </w:rPr>
            </w:pPr>
          </w:p>
          <w:p w:rsidR="005C7F5C" w:rsidP="00C03AC4" w14:paraId="1D933B35" w14:textId="730DC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47B1C" w:rsidR="00647B1C">
              <w:rPr>
                <w:sz w:val="22"/>
                <w:szCs w:val="22"/>
              </w:rPr>
              <w:t>ost households are eligible for ACP support based on the subscriber’s own participation in a qualifying federal program like SNAP or Medicaid</w:t>
            </w:r>
            <w:r>
              <w:rPr>
                <w:sz w:val="22"/>
                <w:szCs w:val="22"/>
              </w:rPr>
              <w:t>.  However</w:t>
            </w:r>
            <w:r w:rsidR="007E0425">
              <w:rPr>
                <w:sz w:val="22"/>
                <w:szCs w:val="22"/>
              </w:rPr>
              <w:t xml:space="preserve">, </w:t>
            </w:r>
            <w:r w:rsidRPr="00647B1C" w:rsidR="00647B1C">
              <w:rPr>
                <w:sz w:val="22"/>
                <w:szCs w:val="22"/>
              </w:rPr>
              <w:t xml:space="preserve">many other subscribers are eligible through </w:t>
            </w:r>
            <w:r>
              <w:rPr>
                <w:sz w:val="22"/>
                <w:szCs w:val="22"/>
              </w:rPr>
              <w:t>a Benefit Qualifying Person (BQP)—</w:t>
            </w:r>
            <w:r w:rsidRPr="00647B1C" w:rsidR="00647B1C">
              <w:rPr>
                <w:sz w:val="22"/>
                <w:szCs w:val="22"/>
              </w:rPr>
              <w:t>a</w:t>
            </w:r>
            <w:r w:rsidR="0078544B">
              <w:rPr>
                <w:sz w:val="22"/>
                <w:szCs w:val="22"/>
              </w:rPr>
              <w:t xml:space="preserve">nother household member, such as a </w:t>
            </w:r>
            <w:r w:rsidRPr="00647B1C" w:rsidR="00647B1C">
              <w:rPr>
                <w:sz w:val="22"/>
                <w:szCs w:val="22"/>
              </w:rPr>
              <w:t>child or dependent</w:t>
            </w:r>
            <w:r w:rsidR="0078544B">
              <w:rPr>
                <w:sz w:val="22"/>
                <w:szCs w:val="22"/>
              </w:rPr>
              <w:t>,</w:t>
            </w:r>
            <w:r w:rsidRPr="00647B1C" w:rsidR="00647B1C">
              <w:rPr>
                <w:sz w:val="22"/>
                <w:szCs w:val="22"/>
              </w:rPr>
              <w:t xml:space="preserve"> who meets one of the ACP eligibility requirements</w:t>
            </w:r>
            <w:r w:rsidR="0078544B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OIG</w:t>
            </w:r>
            <w:r w:rsidR="00DA1481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analyses show a number of providers enrolled many ACP households </w:t>
            </w:r>
            <w:r w:rsidR="00DA1481">
              <w:rPr>
                <w:sz w:val="22"/>
                <w:szCs w:val="22"/>
              </w:rPr>
              <w:t xml:space="preserve">based </w:t>
            </w:r>
            <w:r>
              <w:rPr>
                <w:sz w:val="22"/>
                <w:szCs w:val="22"/>
              </w:rPr>
              <w:t xml:space="preserve">on the eligibility of a single BQP.  </w:t>
            </w:r>
            <w:r w:rsidR="008570F9">
              <w:rPr>
                <w:sz w:val="22"/>
                <w:szCs w:val="22"/>
              </w:rPr>
              <w:t xml:space="preserve">The Advisory </w:t>
            </w:r>
            <w:r w:rsidR="007E0425">
              <w:rPr>
                <w:sz w:val="22"/>
                <w:szCs w:val="22"/>
              </w:rPr>
              <w:t xml:space="preserve">discusses </w:t>
            </w:r>
            <w:r w:rsidR="009F4F11">
              <w:rPr>
                <w:sz w:val="22"/>
                <w:szCs w:val="22"/>
              </w:rPr>
              <w:t>1</w:t>
            </w:r>
            <w:r w:rsidR="00392849">
              <w:rPr>
                <w:sz w:val="22"/>
                <w:szCs w:val="22"/>
              </w:rPr>
              <w:t xml:space="preserve">2 </w:t>
            </w:r>
            <w:r w:rsidR="00F55BD4">
              <w:rPr>
                <w:sz w:val="22"/>
                <w:szCs w:val="22"/>
              </w:rPr>
              <w:t xml:space="preserve">BQPs who were used by providers and their agents to enroll </w:t>
            </w:r>
            <w:r w:rsidR="00584645">
              <w:rPr>
                <w:sz w:val="22"/>
                <w:szCs w:val="22"/>
              </w:rPr>
              <w:t>between 135 and 1</w:t>
            </w:r>
            <w:r w:rsidR="005A1FF0">
              <w:rPr>
                <w:sz w:val="22"/>
                <w:szCs w:val="22"/>
              </w:rPr>
              <w:t>,</w:t>
            </w:r>
            <w:r w:rsidR="00584645">
              <w:rPr>
                <w:sz w:val="22"/>
                <w:szCs w:val="22"/>
              </w:rPr>
              <w:t xml:space="preserve">042 ACP </w:t>
            </w:r>
            <w:r w:rsidR="00F55BD4">
              <w:rPr>
                <w:sz w:val="22"/>
                <w:szCs w:val="22"/>
              </w:rPr>
              <w:t xml:space="preserve">households </w:t>
            </w:r>
            <w:r w:rsidRPr="00D50068" w:rsidR="00584645">
              <w:rPr>
                <w:i/>
                <w:iCs/>
                <w:sz w:val="22"/>
                <w:szCs w:val="22"/>
              </w:rPr>
              <w:t>each</w:t>
            </w:r>
            <w:r w:rsidR="00DA1481">
              <w:rPr>
                <w:i/>
                <w:iCs/>
                <w:sz w:val="22"/>
                <w:szCs w:val="22"/>
              </w:rPr>
              <w:t xml:space="preserve">.  </w:t>
            </w:r>
            <w:r w:rsidR="00DA1481">
              <w:rPr>
                <w:sz w:val="22"/>
                <w:szCs w:val="22"/>
              </w:rPr>
              <w:t xml:space="preserve">Providers have collected more than </w:t>
            </w:r>
            <w:r w:rsidR="00DA063C">
              <w:rPr>
                <w:sz w:val="22"/>
                <w:szCs w:val="22"/>
              </w:rPr>
              <w:t>$1.4 million in connection with th</w:t>
            </w:r>
            <w:r w:rsidR="00DA1481">
              <w:rPr>
                <w:sz w:val="22"/>
                <w:szCs w:val="22"/>
              </w:rPr>
              <w:t xml:space="preserve">ose </w:t>
            </w:r>
            <w:r w:rsidR="00DA063C">
              <w:rPr>
                <w:sz w:val="22"/>
                <w:szCs w:val="22"/>
              </w:rPr>
              <w:t>enrollments</w:t>
            </w:r>
            <w:r w:rsidR="00DA1481">
              <w:rPr>
                <w:sz w:val="22"/>
                <w:szCs w:val="22"/>
              </w:rPr>
              <w:t xml:space="preserve"> alone.  </w:t>
            </w:r>
            <w:r w:rsidR="00E344CB">
              <w:rPr>
                <w:sz w:val="22"/>
                <w:szCs w:val="22"/>
              </w:rPr>
              <w:t xml:space="preserve">The Advisory </w:t>
            </w:r>
            <w:r w:rsidR="00DA1481">
              <w:rPr>
                <w:sz w:val="22"/>
                <w:szCs w:val="22"/>
              </w:rPr>
              <w:t xml:space="preserve">also </w:t>
            </w:r>
            <w:r w:rsidR="00E344CB">
              <w:rPr>
                <w:sz w:val="22"/>
                <w:szCs w:val="22"/>
              </w:rPr>
              <w:t xml:space="preserve">notes many more BQPs were used to make dozens of household enrollments and </w:t>
            </w:r>
            <w:r w:rsidR="00726B63">
              <w:rPr>
                <w:sz w:val="22"/>
                <w:szCs w:val="22"/>
              </w:rPr>
              <w:t xml:space="preserve">that </w:t>
            </w:r>
            <w:r w:rsidR="000E6A64">
              <w:rPr>
                <w:sz w:val="22"/>
                <w:szCs w:val="22"/>
              </w:rPr>
              <w:t>th</w:t>
            </w:r>
            <w:r w:rsidR="00B80FE6">
              <w:rPr>
                <w:sz w:val="22"/>
                <w:szCs w:val="22"/>
              </w:rPr>
              <w:t>ese</w:t>
            </w:r>
            <w:r w:rsidR="000E6A64">
              <w:rPr>
                <w:sz w:val="22"/>
                <w:szCs w:val="22"/>
              </w:rPr>
              <w:t xml:space="preserve"> fraud </w:t>
            </w:r>
            <w:r w:rsidR="00492672">
              <w:rPr>
                <w:sz w:val="22"/>
                <w:szCs w:val="22"/>
              </w:rPr>
              <w:t>scheme</w:t>
            </w:r>
            <w:r w:rsidR="00B80FE6">
              <w:rPr>
                <w:sz w:val="22"/>
                <w:szCs w:val="22"/>
              </w:rPr>
              <w:t xml:space="preserve">s are </w:t>
            </w:r>
            <w:r w:rsidR="000E6A64">
              <w:rPr>
                <w:sz w:val="22"/>
                <w:szCs w:val="22"/>
              </w:rPr>
              <w:t>ongoing</w:t>
            </w:r>
            <w:r w:rsidR="0040302E">
              <w:rPr>
                <w:sz w:val="22"/>
                <w:szCs w:val="22"/>
              </w:rPr>
              <w:t xml:space="preserve">. </w:t>
            </w:r>
          </w:p>
          <w:p w:rsidR="00647B1C" w:rsidP="00C03AC4" w14:paraId="4654D8AF" w14:textId="40098B0A">
            <w:pPr>
              <w:rPr>
                <w:sz w:val="22"/>
                <w:szCs w:val="22"/>
              </w:rPr>
            </w:pPr>
          </w:p>
          <w:p w:rsidR="00BD19E8" w:rsidRPr="00CB3DF0" w:rsidP="00C03AC4" w14:paraId="39841099" w14:textId="1492596F">
            <w:pPr>
              <w:rPr>
                <w:sz w:val="22"/>
                <w:szCs w:val="22"/>
              </w:rPr>
            </w:pPr>
            <w:r w:rsidRPr="00C03AC4">
              <w:rPr>
                <w:sz w:val="22"/>
                <w:szCs w:val="22"/>
              </w:rPr>
              <w:t>I</w:t>
            </w:r>
            <w:r w:rsidR="001B1F28">
              <w:rPr>
                <w:sz w:val="22"/>
                <w:szCs w:val="22"/>
              </w:rPr>
              <w:t xml:space="preserve">nspector General </w:t>
            </w:r>
            <w:r w:rsidRPr="00C03AC4">
              <w:rPr>
                <w:sz w:val="22"/>
                <w:szCs w:val="22"/>
              </w:rPr>
              <w:t>David L. Hunt said, “</w:t>
            </w:r>
            <w:r w:rsidR="00461C2A">
              <w:rPr>
                <w:sz w:val="22"/>
                <w:szCs w:val="22"/>
              </w:rPr>
              <w:t xml:space="preserve">Providers are responsible for implementing policies and procedures for ensuring an ACP household is eligible under program rules.  Providers </w:t>
            </w:r>
            <w:r w:rsidRPr="00C41609" w:rsidR="00C41609">
              <w:rPr>
                <w:sz w:val="22"/>
                <w:szCs w:val="22"/>
              </w:rPr>
              <w:t xml:space="preserve">who continue to seek program support each month after failing to properly train and monitor their </w:t>
            </w:r>
            <w:r w:rsidRPr="00CB3DF0" w:rsidR="00C41609">
              <w:rPr>
                <w:sz w:val="22"/>
                <w:szCs w:val="22"/>
              </w:rPr>
              <w:t>sales agents’ enrollment activity</w:t>
            </w:r>
            <w:r w:rsidRPr="00CB3DF0" w:rsidR="00461C2A">
              <w:rPr>
                <w:sz w:val="22"/>
                <w:szCs w:val="22"/>
              </w:rPr>
              <w:t xml:space="preserve"> will be held accountable.”  </w:t>
            </w:r>
            <w:r w:rsidRPr="00CB3DF0">
              <w:rPr>
                <w:sz w:val="22"/>
                <w:szCs w:val="22"/>
              </w:rPr>
              <w:t xml:space="preserve">      </w:t>
            </w:r>
          </w:p>
          <w:p w:rsidR="00040127" w:rsidRPr="00CB3DF0" w:rsidP="002E165B" w14:paraId="1A7D860A" w14:textId="77777777">
            <w:pPr>
              <w:rPr>
                <w:i/>
                <w:iCs/>
                <w:sz w:val="22"/>
                <w:szCs w:val="22"/>
              </w:rPr>
            </w:pPr>
          </w:p>
          <w:p w:rsidR="00C03AC4" w:rsidRPr="00CB3DF0" w:rsidP="002E165B" w14:paraId="00FF360B" w14:textId="134EB0F6">
            <w:pPr>
              <w:rPr>
                <w:i/>
                <w:iCs/>
                <w:sz w:val="22"/>
                <w:szCs w:val="22"/>
              </w:rPr>
            </w:pPr>
            <w:r w:rsidRPr="00CB3DF0">
              <w:rPr>
                <w:i/>
                <w:iCs/>
                <w:sz w:val="22"/>
                <w:szCs w:val="22"/>
              </w:rPr>
              <w:t xml:space="preserve">The Advisory is available at </w:t>
            </w:r>
            <w:hyperlink r:id="rId5" w:history="1">
              <w:r w:rsidRPr="00CB3DF0" w:rsidR="00CB3DF0">
                <w:rPr>
                  <w:rStyle w:val="Hyperlink"/>
                  <w:i/>
                  <w:iCs/>
                  <w:sz w:val="22"/>
                  <w:szCs w:val="22"/>
                </w:rPr>
                <w:t>https://www.fcc.gov/document/oig-advisory-regarding-acp-enrollment-fraud</w:t>
              </w:r>
            </w:hyperlink>
            <w:r w:rsidRPr="00CB3DF0" w:rsidR="00CB3DF0">
              <w:rPr>
                <w:i/>
                <w:iCs/>
                <w:sz w:val="22"/>
                <w:szCs w:val="22"/>
              </w:rPr>
              <w:t xml:space="preserve">. </w:t>
            </w:r>
          </w:p>
          <w:p w:rsidR="00CB3DF0" w:rsidRPr="00CB3DF0" w:rsidP="002E165B" w14:paraId="4CE796DF" w14:textId="77777777">
            <w:pPr>
              <w:rPr>
                <w:i/>
                <w:iCs/>
                <w:sz w:val="22"/>
                <w:szCs w:val="22"/>
              </w:rPr>
            </w:pPr>
          </w:p>
          <w:p w:rsidR="004F0F1F" w:rsidRPr="007475A1" w:rsidP="00850E26" w14:paraId="59C8E1A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2771D" w:rsidP="00850E26" w14:paraId="0A863444" w14:textId="439603A3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="00C03AC4">
              <w:rPr>
                <w:b/>
                <w:bCs/>
                <w:sz w:val="17"/>
                <w:szCs w:val="17"/>
              </w:rPr>
              <w:t>Office of Inspector General</w:t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C03AC4" w:rsidR="00C03AC4">
              <w:rPr>
                <w:b/>
                <w:bCs/>
                <w:sz w:val="17"/>
                <w:szCs w:val="17"/>
              </w:rPr>
              <w:t>0473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/ </w:t>
            </w:r>
            <w:r w:rsidR="00C03AC4">
              <w:rPr>
                <w:b/>
                <w:bCs/>
                <w:sz w:val="17"/>
                <w:szCs w:val="17"/>
              </w:rPr>
              <w:t xml:space="preserve">Email: </w:t>
            </w:r>
            <w:r w:rsidRPr="00FF5642">
              <w:rPr>
                <w:b/>
                <w:bCs/>
                <w:sz w:val="17"/>
                <w:szCs w:val="17"/>
              </w:rPr>
              <w:t>Hotline@fcc.gov</w:t>
            </w:r>
          </w:p>
          <w:p w:rsidR="00CC5E08" w:rsidRPr="0080486B" w:rsidP="00850E26" w14:paraId="598FDD2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C03AC4">
              <w:rPr>
                <w:b/>
                <w:bCs/>
                <w:sz w:val="17"/>
                <w:szCs w:val="17"/>
              </w:rPr>
              <w:t>https://www.fcc.gov/inspector-general</w:t>
            </w:r>
          </w:p>
          <w:p w:rsidR="0069420F" w:rsidRPr="00EE0E90" w:rsidP="00850E26" w14:paraId="7F243A2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BD8806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EFAD7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00B1"/>
    <w:rsid w:val="0002500C"/>
    <w:rsid w:val="000311FC"/>
    <w:rsid w:val="00040127"/>
    <w:rsid w:val="00065E2D"/>
    <w:rsid w:val="00081232"/>
    <w:rsid w:val="00091E65"/>
    <w:rsid w:val="00096D4A"/>
    <w:rsid w:val="00097C6C"/>
    <w:rsid w:val="000A38EA"/>
    <w:rsid w:val="000C1E47"/>
    <w:rsid w:val="000C26F3"/>
    <w:rsid w:val="000E049E"/>
    <w:rsid w:val="000E6A64"/>
    <w:rsid w:val="00101014"/>
    <w:rsid w:val="0010799B"/>
    <w:rsid w:val="00117DB2"/>
    <w:rsid w:val="00123ED2"/>
    <w:rsid w:val="00125BE0"/>
    <w:rsid w:val="00142C13"/>
    <w:rsid w:val="00152776"/>
    <w:rsid w:val="00153222"/>
    <w:rsid w:val="001577D3"/>
    <w:rsid w:val="00173361"/>
    <w:rsid w:val="001733A6"/>
    <w:rsid w:val="001865A9"/>
    <w:rsid w:val="00187DB2"/>
    <w:rsid w:val="001B1F28"/>
    <w:rsid w:val="001B20BB"/>
    <w:rsid w:val="001C4370"/>
    <w:rsid w:val="001D3779"/>
    <w:rsid w:val="001D534A"/>
    <w:rsid w:val="001F0469"/>
    <w:rsid w:val="001F7A46"/>
    <w:rsid w:val="00203A98"/>
    <w:rsid w:val="00206EDD"/>
    <w:rsid w:val="0021247E"/>
    <w:rsid w:val="002146F6"/>
    <w:rsid w:val="00231C32"/>
    <w:rsid w:val="00240345"/>
    <w:rsid w:val="00240984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92849"/>
    <w:rsid w:val="003E42FC"/>
    <w:rsid w:val="003E5991"/>
    <w:rsid w:val="003F344A"/>
    <w:rsid w:val="0040302E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6D04"/>
    <w:rsid w:val="00461C2A"/>
    <w:rsid w:val="00473E9C"/>
    <w:rsid w:val="00480099"/>
    <w:rsid w:val="00492672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351B"/>
    <w:rsid w:val="005022AA"/>
    <w:rsid w:val="00504845"/>
    <w:rsid w:val="0050757F"/>
    <w:rsid w:val="00514F9B"/>
    <w:rsid w:val="00515FA5"/>
    <w:rsid w:val="00516AD2"/>
    <w:rsid w:val="00521FEA"/>
    <w:rsid w:val="00544BB0"/>
    <w:rsid w:val="00545DAE"/>
    <w:rsid w:val="00555F7B"/>
    <w:rsid w:val="00571B83"/>
    <w:rsid w:val="00575A00"/>
    <w:rsid w:val="005822B5"/>
    <w:rsid w:val="00584645"/>
    <w:rsid w:val="00586417"/>
    <w:rsid w:val="0058673C"/>
    <w:rsid w:val="005A1FF0"/>
    <w:rsid w:val="005A7972"/>
    <w:rsid w:val="005B17E7"/>
    <w:rsid w:val="005B2643"/>
    <w:rsid w:val="005C7F5C"/>
    <w:rsid w:val="005D17FD"/>
    <w:rsid w:val="005E17D0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47B1C"/>
    <w:rsid w:val="00651B9E"/>
    <w:rsid w:val="00652019"/>
    <w:rsid w:val="00657EC9"/>
    <w:rsid w:val="00661D54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1AFE"/>
    <w:rsid w:val="0072478B"/>
    <w:rsid w:val="00726B63"/>
    <w:rsid w:val="0073414D"/>
    <w:rsid w:val="007475A1"/>
    <w:rsid w:val="0075235E"/>
    <w:rsid w:val="007528A5"/>
    <w:rsid w:val="007732CC"/>
    <w:rsid w:val="00774079"/>
    <w:rsid w:val="0077752B"/>
    <w:rsid w:val="0078544B"/>
    <w:rsid w:val="00790ABF"/>
    <w:rsid w:val="007924A8"/>
    <w:rsid w:val="00793D6F"/>
    <w:rsid w:val="00794090"/>
    <w:rsid w:val="007A44F8"/>
    <w:rsid w:val="007D21BF"/>
    <w:rsid w:val="007E0425"/>
    <w:rsid w:val="007F3C12"/>
    <w:rsid w:val="007F5205"/>
    <w:rsid w:val="008006C4"/>
    <w:rsid w:val="0080486B"/>
    <w:rsid w:val="008215E7"/>
    <w:rsid w:val="00830FC6"/>
    <w:rsid w:val="00850E26"/>
    <w:rsid w:val="008570F9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3625"/>
    <w:rsid w:val="008E55A2"/>
    <w:rsid w:val="008F1609"/>
    <w:rsid w:val="008F78D8"/>
    <w:rsid w:val="00931DAB"/>
    <w:rsid w:val="0093373C"/>
    <w:rsid w:val="00961620"/>
    <w:rsid w:val="009734B6"/>
    <w:rsid w:val="009743DA"/>
    <w:rsid w:val="0098096F"/>
    <w:rsid w:val="0098437A"/>
    <w:rsid w:val="00986C92"/>
    <w:rsid w:val="00993C47"/>
    <w:rsid w:val="009972BC"/>
    <w:rsid w:val="009B4B16"/>
    <w:rsid w:val="009E54A1"/>
    <w:rsid w:val="009F4E25"/>
    <w:rsid w:val="009F4F11"/>
    <w:rsid w:val="009F5B1F"/>
    <w:rsid w:val="00A225A9"/>
    <w:rsid w:val="00A3308E"/>
    <w:rsid w:val="00A35DFD"/>
    <w:rsid w:val="00A57793"/>
    <w:rsid w:val="00A64560"/>
    <w:rsid w:val="00A702DF"/>
    <w:rsid w:val="00A775A3"/>
    <w:rsid w:val="00A81700"/>
    <w:rsid w:val="00A81B5B"/>
    <w:rsid w:val="00A82FAD"/>
    <w:rsid w:val="00A9673A"/>
    <w:rsid w:val="00A96EF2"/>
    <w:rsid w:val="00AA5AA5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92B"/>
    <w:rsid w:val="00B36DEF"/>
    <w:rsid w:val="00B57131"/>
    <w:rsid w:val="00B62F2C"/>
    <w:rsid w:val="00B727C9"/>
    <w:rsid w:val="00B735C8"/>
    <w:rsid w:val="00B76A63"/>
    <w:rsid w:val="00B80FE6"/>
    <w:rsid w:val="00B85A37"/>
    <w:rsid w:val="00BA6350"/>
    <w:rsid w:val="00BB4E29"/>
    <w:rsid w:val="00BB50A1"/>
    <w:rsid w:val="00BB74C9"/>
    <w:rsid w:val="00BC3AB6"/>
    <w:rsid w:val="00BD19E8"/>
    <w:rsid w:val="00BD4273"/>
    <w:rsid w:val="00C03AC4"/>
    <w:rsid w:val="00C22B7A"/>
    <w:rsid w:val="00C2771D"/>
    <w:rsid w:val="00C31ED8"/>
    <w:rsid w:val="00C41609"/>
    <w:rsid w:val="00C432E4"/>
    <w:rsid w:val="00C649EC"/>
    <w:rsid w:val="00C70C26"/>
    <w:rsid w:val="00C72001"/>
    <w:rsid w:val="00C772B7"/>
    <w:rsid w:val="00C80347"/>
    <w:rsid w:val="00CB24D2"/>
    <w:rsid w:val="00CB3DF0"/>
    <w:rsid w:val="00CB7C1A"/>
    <w:rsid w:val="00CC5E08"/>
    <w:rsid w:val="00CE14FD"/>
    <w:rsid w:val="00CF6860"/>
    <w:rsid w:val="00CF6AC2"/>
    <w:rsid w:val="00D02AC6"/>
    <w:rsid w:val="00D03F0C"/>
    <w:rsid w:val="00D04312"/>
    <w:rsid w:val="00D16A7F"/>
    <w:rsid w:val="00D16AD2"/>
    <w:rsid w:val="00D22596"/>
    <w:rsid w:val="00D22691"/>
    <w:rsid w:val="00D24C3D"/>
    <w:rsid w:val="00D41B5E"/>
    <w:rsid w:val="00D46CB1"/>
    <w:rsid w:val="00D50068"/>
    <w:rsid w:val="00D723F0"/>
    <w:rsid w:val="00D8133F"/>
    <w:rsid w:val="00D861EE"/>
    <w:rsid w:val="00D95B05"/>
    <w:rsid w:val="00D97E2D"/>
    <w:rsid w:val="00DA063C"/>
    <w:rsid w:val="00DA103D"/>
    <w:rsid w:val="00DA1481"/>
    <w:rsid w:val="00DA45D3"/>
    <w:rsid w:val="00DA4772"/>
    <w:rsid w:val="00DA7B44"/>
    <w:rsid w:val="00DB2667"/>
    <w:rsid w:val="00DB67B7"/>
    <w:rsid w:val="00DC15A9"/>
    <w:rsid w:val="00DC40AA"/>
    <w:rsid w:val="00DD1750"/>
    <w:rsid w:val="00E344CB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438F"/>
    <w:rsid w:val="00E76816"/>
    <w:rsid w:val="00E83DBF"/>
    <w:rsid w:val="00E87C13"/>
    <w:rsid w:val="00E94CD9"/>
    <w:rsid w:val="00EA1A76"/>
    <w:rsid w:val="00EA290B"/>
    <w:rsid w:val="00EC0220"/>
    <w:rsid w:val="00EE0E90"/>
    <w:rsid w:val="00EF3BCA"/>
    <w:rsid w:val="00EF729B"/>
    <w:rsid w:val="00F01B0D"/>
    <w:rsid w:val="00F1238F"/>
    <w:rsid w:val="00F16485"/>
    <w:rsid w:val="00F17BF7"/>
    <w:rsid w:val="00F228ED"/>
    <w:rsid w:val="00F26E31"/>
    <w:rsid w:val="00F27C6C"/>
    <w:rsid w:val="00F34A8D"/>
    <w:rsid w:val="00F50D25"/>
    <w:rsid w:val="00F535D8"/>
    <w:rsid w:val="00F55BD4"/>
    <w:rsid w:val="00F61155"/>
    <w:rsid w:val="00F708E3"/>
    <w:rsid w:val="00F76561"/>
    <w:rsid w:val="00F84736"/>
    <w:rsid w:val="00FA5221"/>
    <w:rsid w:val="00FC6C29"/>
    <w:rsid w:val="00FD58E0"/>
    <w:rsid w:val="00FD71AE"/>
    <w:rsid w:val="00FE0198"/>
    <w:rsid w:val="00FE3A7C"/>
    <w:rsid w:val="00FF1C0B"/>
    <w:rsid w:val="00FF232D"/>
    <w:rsid w:val="00FF5642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A5E13A7"/>
  <w15:docId w15:val="{1DC1C4A8-E1A9-4A72-9E65-40DD69DC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oig-advisory-regarding-acp-enrollment-frau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