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164521" w14:paraId="5ED9ED8B" w14:textId="7D05FC6B">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F5F4E">
        <w:rPr>
          <w:szCs w:val="22"/>
        </w:rPr>
        <w:t>QWEST</w:t>
      </w:r>
      <w:r w:rsidR="00C14122">
        <w:rPr>
          <w:szCs w:val="22"/>
        </w:rPr>
        <w:t xml:space="preserve"> </w:t>
      </w:r>
      <w:r w:rsidRPr="00BF5F4E">
        <w:rPr>
          <w:szCs w:val="22"/>
        </w:rPr>
        <w:t>CORPORATION</w:t>
      </w:r>
      <w:r w:rsidR="00BC0490">
        <w:rPr>
          <w:szCs w:val="22"/>
        </w:rPr>
        <w:t xml:space="preserve"> D/B/A </w:t>
      </w:r>
      <w:r w:rsidRPr="00BF5F4E">
        <w:rPr>
          <w:szCs w:val="22"/>
        </w:rPr>
        <w:t>CENTURYLINK QC</w:t>
      </w:r>
    </w:p>
    <w:p w:rsidR="00AC191A" w:rsidP="00AC191A" w14:paraId="697ACA2E" w14:textId="77777777">
      <w:pPr>
        <w:pStyle w:val="Title"/>
        <w:jc w:val="left"/>
        <w:rPr>
          <w:szCs w:val="22"/>
        </w:rPr>
      </w:pPr>
    </w:p>
    <w:p w:rsidR="00BB6E7C" w:rsidP="00585588" w14:paraId="26AB3B00" w14:textId="4FBCE993">
      <w:pPr>
        <w:pStyle w:val="Title"/>
        <w:jc w:val="left"/>
        <w:rPr>
          <w:szCs w:val="22"/>
        </w:rPr>
      </w:pPr>
      <w:r>
        <w:rPr>
          <w:szCs w:val="22"/>
        </w:rPr>
        <w:t xml:space="preserve">WC Docket No. </w:t>
      </w:r>
      <w:r w:rsidR="00030C5E">
        <w:rPr>
          <w:szCs w:val="22"/>
        </w:rPr>
        <w:t>2</w:t>
      </w:r>
      <w:r w:rsidR="00F22AE3">
        <w:rPr>
          <w:szCs w:val="22"/>
        </w:rPr>
        <w:t>2-</w:t>
      </w:r>
      <w:r w:rsidR="00177308">
        <w:rPr>
          <w:szCs w:val="22"/>
        </w:rPr>
        <w:t>335</w:t>
      </w:r>
      <w:r w:rsidR="00F22AE3">
        <w:rPr>
          <w:szCs w:val="22"/>
        </w:rPr>
        <w:tab/>
      </w:r>
      <w:r w:rsidR="00F22AE3">
        <w:rPr>
          <w:szCs w:val="22"/>
        </w:rPr>
        <w:tab/>
      </w:r>
      <w:r w:rsidR="00F22AE3">
        <w:rPr>
          <w:szCs w:val="22"/>
        </w:rPr>
        <w:tab/>
      </w:r>
      <w:r w:rsidR="00F22AE3">
        <w:rPr>
          <w:szCs w:val="22"/>
        </w:rPr>
        <w:tab/>
      </w:r>
      <w:r w:rsidR="00F22AE3">
        <w:rPr>
          <w:szCs w:val="22"/>
        </w:rPr>
        <w:tab/>
        <w:t xml:space="preserve">     September 12</w:t>
      </w:r>
      <w:r>
        <w:rPr>
          <w:szCs w:val="22"/>
        </w:rPr>
        <w:t>, 20</w:t>
      </w:r>
      <w:r w:rsidR="002E3F18">
        <w:rPr>
          <w:szCs w:val="22"/>
        </w:rPr>
        <w:t>2</w:t>
      </w:r>
      <w:r w:rsidR="00F22AE3">
        <w:rPr>
          <w:szCs w:val="22"/>
        </w:rPr>
        <w:t>2</w:t>
      </w:r>
    </w:p>
    <w:p w:rsidR="008961DF" w:rsidP="00585588" w14:paraId="1203453F" w14:textId="254963A0">
      <w:pPr>
        <w:pStyle w:val="Title"/>
        <w:jc w:val="left"/>
        <w:rPr>
          <w:szCs w:val="22"/>
        </w:rPr>
      </w:pPr>
      <w:r w:rsidRPr="00F046EC">
        <w:rPr>
          <w:szCs w:val="22"/>
        </w:rPr>
        <w:t xml:space="preserve">Report No. </w:t>
      </w:r>
      <w:r>
        <w:rPr>
          <w:szCs w:val="22"/>
        </w:rPr>
        <w:t>NCD-</w:t>
      </w:r>
      <w:r w:rsidR="002E3F18">
        <w:rPr>
          <w:szCs w:val="22"/>
        </w:rPr>
        <w:t>3</w:t>
      </w:r>
      <w:r w:rsidR="00F22AE3">
        <w:rPr>
          <w:szCs w:val="22"/>
        </w:rPr>
        <w:t>521</w:t>
      </w:r>
    </w:p>
    <w:p w:rsidR="008961DF" w:rsidRPr="00F046EC" w:rsidP="00AC191A" w14:paraId="228437FD" w14:textId="77777777">
      <w:pPr>
        <w:pStyle w:val="Title"/>
        <w:jc w:val="left"/>
        <w:rPr>
          <w:szCs w:val="22"/>
        </w:rPr>
      </w:pPr>
    </w:p>
    <w:p w:rsidR="00877F45" w:rsidP="00877F45" w14:paraId="45649DE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00B9611" w14:textId="77777777">
      <w:pPr>
        <w:tabs>
          <w:tab w:val="left" w:pos="-720"/>
        </w:tabs>
        <w:suppressAutoHyphens/>
        <w:rPr>
          <w:szCs w:val="22"/>
        </w:rPr>
      </w:pPr>
    </w:p>
    <w:p w:rsidR="00646DE9" w:rsidRPr="00646DE9" w:rsidP="00E25608" w14:paraId="1788E584" w14:textId="4E06E6FA">
      <w:pPr>
        <w:tabs>
          <w:tab w:val="left" w:pos="-720"/>
        </w:tabs>
        <w:suppressAutoHyphens/>
        <w:rPr>
          <w:szCs w:val="22"/>
        </w:rPr>
      </w:pPr>
      <w:r w:rsidRPr="007264F7">
        <w:rPr>
          <w:szCs w:val="22"/>
        </w:rPr>
        <w:tab/>
      </w:r>
      <w:r w:rsidRPr="00883654" w:rsidR="00883654">
        <w:rPr>
          <w:szCs w:val="22"/>
        </w:rPr>
        <w:t>Qwest Corporation</w:t>
      </w:r>
      <w:r w:rsidR="00382CD4">
        <w:rPr>
          <w:szCs w:val="22"/>
        </w:rPr>
        <w:t xml:space="preserve"> d/b/a </w:t>
      </w:r>
      <w:r w:rsidRPr="00883654" w:rsidR="00883654">
        <w:rPr>
          <w:szCs w:val="22"/>
        </w:rPr>
        <w:t>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73A02" w:rsidR="00883654">
          <w:rPr>
            <w:rStyle w:val="Hyperlink"/>
            <w:szCs w:val="22"/>
          </w:rPr>
          <w:t>http://qwest.centurylink.com/disclosures/</w:t>
        </w:r>
      </w:hyperlink>
      <w:r w:rsidR="0022440F">
        <w:rPr>
          <w:szCs w:val="22"/>
        </w:rPr>
        <w:t>.</w:t>
      </w:r>
    </w:p>
    <w:p w:rsidR="00E25608" w:rsidRPr="00E25608" w:rsidP="00E25608" w14:paraId="79D9BC89" w14:textId="77777777">
      <w:pPr>
        <w:tabs>
          <w:tab w:val="left" w:pos="-720"/>
        </w:tabs>
        <w:suppressAutoHyphens/>
        <w:rPr>
          <w:b/>
          <w:szCs w:val="22"/>
          <w:u w:val="single"/>
        </w:rPr>
      </w:pPr>
    </w:p>
    <w:p w:rsidR="006472D0" w:rsidP="006472D0" w14:paraId="3122CDD4" w14:textId="77777777">
      <w:pPr>
        <w:tabs>
          <w:tab w:val="left" w:pos="-720"/>
        </w:tabs>
        <w:suppressAutoHyphens/>
        <w:rPr>
          <w:szCs w:val="22"/>
        </w:rPr>
      </w:pPr>
      <w:r w:rsidRPr="00E25608">
        <w:rPr>
          <w:szCs w:val="22"/>
        </w:rPr>
        <w:t>The incumbent LEC's certification(s) refer(s) to the change(s) identified below:</w:t>
      </w:r>
    </w:p>
    <w:p w:rsidR="00883654" w:rsidP="00883654" w14:paraId="1F3F13D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980"/>
        <w:gridCol w:w="3870"/>
        <w:gridCol w:w="1980"/>
      </w:tblGrid>
      <w:tr w14:paraId="2C91C1E1" w14:textId="77777777" w:rsidTr="00F44F3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883654" w:rsidRPr="007E723C" w:rsidP="00051791" w14:paraId="51E7C537"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1980" w:type="dxa"/>
            <w:shd w:val="clear" w:color="auto" w:fill="auto"/>
          </w:tcPr>
          <w:p w:rsidR="00883654" w:rsidRPr="007E723C" w:rsidP="00051791" w14:paraId="4385A0BA" w14:textId="77777777">
            <w:pPr>
              <w:tabs>
                <w:tab w:val="left" w:pos="0"/>
              </w:tabs>
              <w:suppressAutoHyphens/>
              <w:rPr>
                <w:b/>
                <w:szCs w:val="22"/>
              </w:rPr>
            </w:pPr>
            <w:r w:rsidRPr="007E723C">
              <w:rPr>
                <w:b/>
                <w:szCs w:val="22"/>
              </w:rPr>
              <w:t>Type of Change(s)</w:t>
            </w:r>
          </w:p>
        </w:tc>
        <w:tc>
          <w:tcPr>
            <w:tcW w:w="3870" w:type="dxa"/>
            <w:shd w:val="clear" w:color="auto" w:fill="auto"/>
          </w:tcPr>
          <w:p w:rsidR="00883654" w:rsidRPr="007E723C" w:rsidP="00051791" w14:paraId="7873DFED" w14:textId="77777777">
            <w:pPr>
              <w:tabs>
                <w:tab w:val="left" w:pos="0"/>
              </w:tabs>
              <w:suppressAutoHyphens/>
              <w:rPr>
                <w:b/>
                <w:szCs w:val="22"/>
              </w:rPr>
            </w:pPr>
            <w:r>
              <w:rPr>
                <w:b/>
                <w:szCs w:val="22"/>
              </w:rPr>
              <w:t>Location of Change(s)</w:t>
            </w:r>
          </w:p>
        </w:tc>
        <w:tc>
          <w:tcPr>
            <w:tcW w:w="1980" w:type="dxa"/>
            <w:shd w:val="clear" w:color="auto" w:fill="auto"/>
          </w:tcPr>
          <w:p w:rsidR="00883654" w:rsidRPr="007E723C" w:rsidP="00051791" w14:paraId="10627791" w14:textId="77777777">
            <w:pPr>
              <w:tabs>
                <w:tab w:val="left" w:pos="0"/>
              </w:tabs>
              <w:suppressAutoHyphens/>
              <w:rPr>
                <w:b/>
                <w:szCs w:val="22"/>
              </w:rPr>
            </w:pPr>
            <w:r>
              <w:rPr>
                <w:b/>
                <w:szCs w:val="22"/>
              </w:rPr>
              <w:t xml:space="preserve">Originally </w:t>
            </w:r>
            <w:r w:rsidR="00405E38">
              <w:rPr>
                <w:b/>
                <w:szCs w:val="22"/>
              </w:rPr>
              <w:t xml:space="preserve">Planned </w:t>
            </w:r>
            <w:r w:rsidRPr="007E723C" w:rsidR="00405E38">
              <w:rPr>
                <w:b/>
                <w:szCs w:val="22"/>
              </w:rPr>
              <w:t>Implementation Date(s)</w:t>
            </w:r>
          </w:p>
        </w:tc>
      </w:tr>
      <w:tr w14:paraId="6F11B59E" w14:textId="77777777" w:rsidTr="00F44F31">
        <w:tblPrEx>
          <w:tblW w:w="9360" w:type="dxa"/>
          <w:tblInd w:w="-5" w:type="dxa"/>
          <w:tblLayout w:type="fixed"/>
          <w:tblLook w:val="01E0"/>
        </w:tblPrEx>
        <w:trPr>
          <w:trHeight w:val="530"/>
        </w:trPr>
        <w:tc>
          <w:tcPr>
            <w:tcW w:w="1530" w:type="dxa"/>
          </w:tcPr>
          <w:p w:rsidR="00883654" w:rsidRPr="004047CD" w:rsidP="00051791" w14:paraId="6EC7A429" w14:textId="24B79103">
            <w:pPr>
              <w:autoSpaceDE w:val="0"/>
              <w:autoSpaceDN w:val="0"/>
              <w:adjustRightInd w:val="0"/>
              <w:rPr>
                <w:szCs w:val="22"/>
              </w:rPr>
            </w:pPr>
            <w:r>
              <w:rPr>
                <w:bCs/>
                <w:color w:val="231F20"/>
                <w:szCs w:val="22"/>
              </w:rPr>
              <w:t>8</w:t>
            </w:r>
            <w:r w:rsidR="00442375">
              <w:rPr>
                <w:bCs/>
                <w:color w:val="231F20"/>
                <w:szCs w:val="22"/>
              </w:rPr>
              <w:t>5</w:t>
            </w:r>
            <w:r w:rsidR="00C3299D">
              <w:rPr>
                <w:bCs/>
                <w:color w:val="231F20"/>
                <w:szCs w:val="22"/>
              </w:rPr>
              <w:t>7</w:t>
            </w:r>
          </w:p>
          <w:p w:rsidR="00883654" w:rsidRPr="006F5D07" w:rsidP="00051791" w14:paraId="7BF1A769" w14:textId="77777777">
            <w:pPr>
              <w:autoSpaceDE w:val="0"/>
              <w:autoSpaceDN w:val="0"/>
              <w:adjustRightInd w:val="0"/>
              <w:rPr>
                <w:szCs w:val="22"/>
              </w:rPr>
            </w:pPr>
          </w:p>
        </w:tc>
        <w:tc>
          <w:tcPr>
            <w:tcW w:w="1980" w:type="dxa"/>
            <w:shd w:val="clear" w:color="auto" w:fill="auto"/>
          </w:tcPr>
          <w:p w:rsidR="00883654" w:rsidRPr="00C4425D" w:rsidP="00051791" w14:paraId="00B0645B" w14:textId="04DB26D9">
            <w:pPr>
              <w:pStyle w:val="Default"/>
              <w:rPr>
                <w:rFonts w:ascii="Times New Roman" w:hAnsi="Times New Roman" w:cs="Times New Roman"/>
                <w:b/>
                <w:bCs/>
                <w:sz w:val="22"/>
                <w:szCs w:val="22"/>
              </w:rPr>
            </w:pPr>
            <w:r w:rsidRPr="00476FB1">
              <w:rPr>
                <w:rFonts w:ascii="Times New Roman" w:hAnsi="Times New Roman" w:cs="Times New Roman"/>
                <w:sz w:val="22"/>
                <w:szCs w:val="22"/>
              </w:rPr>
              <w:t xml:space="preserve">Due to growth in the area, CenturyLink plans to retire </w:t>
            </w:r>
            <w:r w:rsidR="00BF7935">
              <w:rPr>
                <w:rFonts w:ascii="Times New Roman" w:hAnsi="Times New Roman" w:cs="Times New Roman"/>
                <w:sz w:val="22"/>
                <w:szCs w:val="22"/>
              </w:rPr>
              <w:t xml:space="preserve">certain </w:t>
            </w:r>
            <w:r w:rsidRPr="00476FB1">
              <w:rPr>
                <w:rFonts w:ascii="Times New Roman" w:hAnsi="Times New Roman" w:cs="Times New Roman"/>
                <w:sz w:val="22"/>
                <w:szCs w:val="22"/>
              </w:rPr>
              <w:t>copper loops and replace them with fiber</w:t>
            </w:r>
            <w:r w:rsidR="00727976">
              <w:rPr>
                <w:rFonts w:ascii="Times New Roman" w:hAnsi="Times New Roman" w:cs="Times New Roman"/>
                <w:sz w:val="22"/>
                <w:szCs w:val="22"/>
              </w:rPr>
              <w:t>.  A</w:t>
            </w:r>
            <w:r w:rsidRPr="00476FB1">
              <w:rPr>
                <w:rFonts w:ascii="Times New Roman" w:hAnsi="Times New Roman" w:cs="Times New Roman"/>
                <w:sz w:val="22"/>
                <w:szCs w:val="22"/>
              </w:rPr>
              <w:t xml:space="preserve">s </w:t>
            </w:r>
            <w:r w:rsidR="00273511">
              <w:rPr>
                <w:rFonts w:ascii="Times New Roman" w:hAnsi="Times New Roman" w:cs="Times New Roman"/>
                <w:sz w:val="22"/>
                <w:szCs w:val="22"/>
              </w:rPr>
              <w:t xml:space="preserve">CenturyLink </w:t>
            </w:r>
            <w:r w:rsidR="00301C69">
              <w:rPr>
                <w:rFonts w:ascii="Times New Roman" w:hAnsi="Times New Roman" w:cs="Times New Roman"/>
                <w:sz w:val="22"/>
                <w:szCs w:val="22"/>
              </w:rPr>
              <w:t>installs new technology</w:t>
            </w:r>
            <w:r w:rsidR="00347E4D">
              <w:rPr>
                <w:rFonts w:ascii="Times New Roman" w:hAnsi="Times New Roman" w:cs="Times New Roman"/>
                <w:sz w:val="22"/>
                <w:szCs w:val="22"/>
              </w:rPr>
              <w:t xml:space="preserve">, </w:t>
            </w:r>
            <w:r w:rsidR="00273511">
              <w:rPr>
                <w:rFonts w:ascii="Times New Roman" w:hAnsi="Times New Roman" w:cs="Times New Roman"/>
                <w:sz w:val="22"/>
                <w:szCs w:val="22"/>
              </w:rPr>
              <w:t xml:space="preserve">it </w:t>
            </w:r>
            <w:r w:rsidR="00753D67">
              <w:rPr>
                <w:rFonts w:ascii="Times New Roman" w:hAnsi="Times New Roman" w:cs="Times New Roman"/>
                <w:sz w:val="22"/>
                <w:szCs w:val="22"/>
              </w:rPr>
              <w:t xml:space="preserve">intends to provide customers with </w:t>
            </w:r>
            <w:r w:rsidRPr="00476FB1">
              <w:rPr>
                <w:rFonts w:ascii="Times New Roman" w:hAnsi="Times New Roman" w:cs="Times New Roman"/>
                <w:sz w:val="22"/>
                <w:szCs w:val="22"/>
              </w:rPr>
              <w:t>higher speed Broadband Internet Access.</w:t>
            </w:r>
          </w:p>
        </w:tc>
        <w:tc>
          <w:tcPr>
            <w:tcW w:w="3870" w:type="dxa"/>
            <w:shd w:val="clear" w:color="auto" w:fill="auto"/>
          </w:tcPr>
          <w:p w:rsidR="00883654" w:rsidRPr="00C3299D" w:rsidP="00476DAD" w14:paraId="0A069841" w14:textId="7ED6F8F4">
            <w:pPr>
              <w:pStyle w:val="Default"/>
              <w:rPr>
                <w:rFonts w:ascii="Times New Roman" w:hAnsi="Times New Roman" w:cs="Times New Roman"/>
                <w:b/>
                <w:bCs/>
                <w:sz w:val="22"/>
                <w:szCs w:val="22"/>
              </w:rPr>
            </w:pPr>
            <w:r>
              <w:rPr>
                <w:rFonts w:ascii="Times New Roman" w:hAnsi="Times New Roman" w:cs="Times New Roman"/>
                <w:sz w:val="22"/>
                <w:szCs w:val="22"/>
              </w:rPr>
              <w:t xml:space="preserve">In the following Wire Center:  </w:t>
            </w:r>
            <w:r w:rsidR="00347615">
              <w:rPr>
                <w:rFonts w:ascii="Times New Roman" w:hAnsi="Times New Roman" w:cs="Times New Roman"/>
                <w:sz w:val="22"/>
                <w:szCs w:val="22"/>
              </w:rPr>
              <w:t xml:space="preserve">Brainerd </w:t>
            </w:r>
            <w:r w:rsidR="001D569E">
              <w:rPr>
                <w:rFonts w:ascii="Times New Roman" w:hAnsi="Times New Roman" w:cs="Times New Roman"/>
                <w:sz w:val="22"/>
                <w:szCs w:val="22"/>
              </w:rPr>
              <w:t>(</w:t>
            </w:r>
            <w:r w:rsidR="00347615">
              <w:rPr>
                <w:rFonts w:ascii="Times New Roman" w:hAnsi="Times New Roman" w:cs="Times New Roman"/>
                <w:sz w:val="22"/>
                <w:szCs w:val="22"/>
              </w:rPr>
              <w:t>BRNRNMBR</w:t>
            </w:r>
            <w:r w:rsidR="001D569E">
              <w:rPr>
                <w:rFonts w:ascii="Times New Roman" w:hAnsi="Times New Roman" w:cs="Times New Roman"/>
                <w:sz w:val="22"/>
                <w:szCs w:val="22"/>
              </w:rPr>
              <w:t xml:space="preserve">) </w:t>
            </w:r>
            <w:r>
              <w:rPr>
                <w:rFonts w:ascii="Times New Roman" w:hAnsi="Times New Roman" w:cs="Times New Roman"/>
                <w:sz w:val="22"/>
                <w:szCs w:val="22"/>
              </w:rPr>
              <w:t xml:space="preserve">in </w:t>
            </w:r>
            <w:r w:rsidR="00347615">
              <w:rPr>
                <w:rFonts w:ascii="Times New Roman" w:hAnsi="Times New Roman" w:cs="Times New Roman"/>
                <w:sz w:val="22"/>
                <w:szCs w:val="22"/>
              </w:rPr>
              <w:t>MN</w:t>
            </w:r>
            <w:r w:rsidRPr="00192927" w:rsidR="00192927">
              <w:rPr>
                <w:rFonts w:ascii="Times New Roman" w:hAnsi="Times New Roman" w:cs="Times New Roman"/>
                <w:sz w:val="22"/>
                <w:szCs w:val="22"/>
              </w:rPr>
              <w:t xml:space="preserve">, as specified in the notice posted under the </w:t>
            </w:r>
            <w:r w:rsidR="00476DAD">
              <w:rPr>
                <w:rFonts w:ascii="Times New Roman" w:hAnsi="Times New Roman" w:cs="Times New Roman"/>
                <w:sz w:val="22"/>
                <w:szCs w:val="22"/>
              </w:rPr>
              <w:t>“</w:t>
            </w:r>
            <w:r w:rsidR="00062D5F">
              <w:rPr>
                <w:rFonts w:ascii="Times New Roman" w:hAnsi="Times New Roman" w:cs="Times New Roman"/>
                <w:sz w:val="22"/>
                <w:szCs w:val="22"/>
              </w:rPr>
              <w:t>85</w:t>
            </w:r>
            <w:r w:rsidR="00347615">
              <w:rPr>
                <w:rFonts w:ascii="Times New Roman" w:hAnsi="Times New Roman" w:cs="Times New Roman"/>
                <w:sz w:val="22"/>
                <w:szCs w:val="22"/>
              </w:rPr>
              <w:t>7</w:t>
            </w:r>
            <w:r w:rsidRPr="00192927" w:rsidR="00192927">
              <w:rPr>
                <w:rFonts w:ascii="Times New Roman" w:hAnsi="Times New Roman" w:cs="Times New Roman"/>
                <w:sz w:val="22"/>
                <w:szCs w:val="22"/>
              </w:rPr>
              <w:t xml:space="preserve"> </w:t>
            </w:r>
            <w:r w:rsidR="00062D5F">
              <w:rPr>
                <w:rFonts w:ascii="Times New Roman" w:hAnsi="Times New Roman" w:cs="Times New Roman"/>
                <w:sz w:val="22"/>
                <w:szCs w:val="22"/>
              </w:rPr>
              <w:t xml:space="preserve">Copper Retirements in </w:t>
            </w:r>
            <w:r w:rsidR="00347615">
              <w:rPr>
                <w:rFonts w:ascii="Times New Roman" w:hAnsi="Times New Roman" w:cs="Times New Roman"/>
                <w:sz w:val="22"/>
                <w:szCs w:val="22"/>
              </w:rPr>
              <w:t>Minnesota</w:t>
            </w:r>
            <w:r w:rsidR="00062D5F">
              <w:rPr>
                <w:rFonts w:ascii="Times New Roman" w:hAnsi="Times New Roman" w:cs="Times New Roman"/>
                <w:sz w:val="22"/>
                <w:szCs w:val="22"/>
              </w:rPr>
              <w:t>, 0</w:t>
            </w:r>
            <w:r w:rsidR="00347615">
              <w:rPr>
                <w:rFonts w:ascii="Times New Roman" w:hAnsi="Times New Roman" w:cs="Times New Roman"/>
                <w:sz w:val="22"/>
                <w:szCs w:val="22"/>
              </w:rPr>
              <w:t>8</w:t>
            </w:r>
            <w:r w:rsidR="00062D5F">
              <w:rPr>
                <w:rFonts w:ascii="Times New Roman" w:hAnsi="Times New Roman" w:cs="Times New Roman"/>
                <w:sz w:val="22"/>
                <w:szCs w:val="22"/>
              </w:rPr>
              <w:t>/</w:t>
            </w:r>
            <w:r w:rsidR="00347615">
              <w:rPr>
                <w:rFonts w:ascii="Times New Roman" w:hAnsi="Times New Roman" w:cs="Times New Roman"/>
                <w:sz w:val="22"/>
                <w:szCs w:val="22"/>
              </w:rPr>
              <w:t>12</w:t>
            </w:r>
            <w:r w:rsidR="00062D5F">
              <w:rPr>
                <w:rFonts w:ascii="Times New Roman" w:hAnsi="Times New Roman" w:cs="Times New Roman"/>
                <w:sz w:val="22"/>
                <w:szCs w:val="22"/>
              </w:rPr>
              <w:t>/2021</w:t>
            </w:r>
            <w:r w:rsidR="00476DAD">
              <w:rPr>
                <w:rFonts w:ascii="Times New Roman" w:hAnsi="Times New Roman" w:cs="Times New Roman"/>
                <w:sz w:val="22"/>
                <w:szCs w:val="22"/>
              </w:rPr>
              <w:t>”</w:t>
            </w:r>
            <w:r w:rsidRPr="00192927" w:rsidR="00192927">
              <w:rPr>
                <w:rFonts w:ascii="Times New Roman" w:hAnsi="Times New Roman" w:cs="Times New Roman"/>
                <w:sz w:val="22"/>
                <w:szCs w:val="22"/>
              </w:rPr>
              <w:t xml:space="preserve"> link at</w:t>
            </w:r>
            <w:r w:rsidR="00F44F31">
              <w:rPr>
                <w:rFonts w:ascii="Times New Roman" w:hAnsi="Times New Roman" w:cs="Times New Roman"/>
                <w:sz w:val="22"/>
                <w:szCs w:val="22"/>
              </w:rPr>
              <w:t xml:space="preserve"> </w:t>
            </w:r>
            <w:hyperlink r:id="rId6" w:history="1">
              <w:r w:rsidRPr="00FE7367" w:rsidR="00F44F31">
                <w:rPr>
                  <w:rStyle w:val="Hyperlink"/>
                  <w:rFonts w:ascii="Times New Roman" w:hAnsi="Times New Roman" w:cs="Times New Roman"/>
                  <w:sz w:val="22"/>
                  <w:szCs w:val="22"/>
                </w:rPr>
                <w:t>http://www.centurylink.com/disclosures/numericindex.html</w:t>
              </w:r>
            </w:hyperlink>
            <w:r w:rsidRPr="00192927" w:rsidR="00192927">
              <w:rPr>
                <w:rFonts w:ascii="Times New Roman" w:hAnsi="Times New Roman" w:cs="Times New Roman"/>
                <w:sz w:val="22"/>
                <w:szCs w:val="22"/>
              </w:rPr>
              <w:t>.</w:t>
            </w:r>
          </w:p>
        </w:tc>
        <w:tc>
          <w:tcPr>
            <w:tcW w:w="1980" w:type="dxa"/>
            <w:shd w:val="clear" w:color="auto" w:fill="auto"/>
          </w:tcPr>
          <w:p w:rsidR="00883654" w:rsidRPr="00AA7E3B" w:rsidP="00051791" w14:paraId="3A0BBB00" w14:textId="47017101">
            <w:pPr>
              <w:tabs>
                <w:tab w:val="left" w:pos="0"/>
              </w:tabs>
              <w:suppressAutoHyphens/>
              <w:rPr>
                <w:b/>
                <w:bCs/>
                <w:szCs w:val="22"/>
              </w:rPr>
            </w:pPr>
            <w:r>
              <w:rPr>
                <w:szCs w:val="22"/>
              </w:rPr>
              <w:t>November 30</w:t>
            </w:r>
            <w:r w:rsidR="008673FF">
              <w:rPr>
                <w:szCs w:val="22"/>
              </w:rPr>
              <w:t xml:space="preserve">, </w:t>
            </w:r>
            <w:r w:rsidR="00405E38">
              <w:rPr>
                <w:szCs w:val="22"/>
              </w:rPr>
              <w:t>202</w:t>
            </w:r>
            <w:r w:rsidR="002D11E0">
              <w:rPr>
                <w:szCs w:val="22"/>
              </w:rPr>
              <w:t>2</w:t>
            </w:r>
          </w:p>
        </w:tc>
      </w:tr>
    </w:tbl>
    <w:p w:rsidR="007D19D7" w:rsidP="00883654" w14:paraId="157162FD" w14:textId="77777777">
      <w:pPr>
        <w:tabs>
          <w:tab w:val="left" w:pos="0"/>
        </w:tabs>
        <w:suppressAutoHyphens/>
        <w:rPr>
          <w:szCs w:val="22"/>
        </w:rPr>
      </w:pPr>
    </w:p>
    <w:p w:rsidR="00883654" w:rsidRPr="005833F6" w:rsidP="00883654" w14:paraId="39EF4FAA" w14:textId="4461DCC3">
      <w:pPr>
        <w:tabs>
          <w:tab w:val="left" w:pos="0"/>
        </w:tabs>
        <w:suppressAutoHyphens/>
        <w:rPr>
          <w:szCs w:val="22"/>
        </w:rPr>
      </w:pPr>
      <w:r w:rsidRPr="005833F6">
        <w:rPr>
          <w:szCs w:val="22"/>
        </w:rPr>
        <w:t>Incumbent LEC contact:</w:t>
      </w:r>
    </w:p>
    <w:p w:rsidR="00883654" w:rsidRPr="003E53E0" w:rsidP="00883654" w14:paraId="2CCFF8BD" w14:textId="77777777">
      <w:pPr>
        <w:tabs>
          <w:tab w:val="left" w:pos="0"/>
        </w:tabs>
        <w:suppressAutoHyphens/>
        <w:rPr>
          <w:szCs w:val="22"/>
        </w:rPr>
      </w:pPr>
      <w:r>
        <w:rPr>
          <w:szCs w:val="22"/>
        </w:rPr>
        <w:t>Craig J. Brown</w:t>
      </w:r>
    </w:p>
    <w:p w:rsidR="00883654" w:rsidRPr="003E53E0" w:rsidP="00883654" w14:paraId="4186252E" w14:textId="10AFA66E">
      <w:pPr>
        <w:tabs>
          <w:tab w:val="left" w:pos="0"/>
        </w:tabs>
        <w:suppressAutoHyphens/>
        <w:rPr>
          <w:szCs w:val="22"/>
        </w:rPr>
      </w:pPr>
      <w:r>
        <w:rPr>
          <w:szCs w:val="22"/>
        </w:rPr>
        <w:t>Assistant General Counsel</w:t>
      </w:r>
    </w:p>
    <w:p w:rsidR="00883654" w:rsidRPr="003E53E0" w:rsidP="00883654" w14:paraId="524D2A3B" w14:textId="77777777">
      <w:pPr>
        <w:tabs>
          <w:tab w:val="left" w:pos="0"/>
        </w:tabs>
        <w:suppressAutoHyphens/>
        <w:rPr>
          <w:szCs w:val="22"/>
        </w:rPr>
      </w:pPr>
      <w:r>
        <w:rPr>
          <w:szCs w:val="22"/>
        </w:rPr>
        <w:t>Lumen</w:t>
      </w:r>
      <w:r w:rsidR="00891CF0">
        <w:rPr>
          <w:szCs w:val="22"/>
        </w:rPr>
        <w:t xml:space="preserve"> (CenturyLink)</w:t>
      </w:r>
    </w:p>
    <w:p w:rsidR="00883654" w:rsidRPr="003E53E0" w:rsidP="00883654" w14:paraId="7559EF13" w14:textId="77777777">
      <w:pPr>
        <w:tabs>
          <w:tab w:val="left" w:pos="0"/>
        </w:tabs>
        <w:suppressAutoHyphens/>
        <w:rPr>
          <w:szCs w:val="22"/>
        </w:rPr>
      </w:pPr>
      <w:r>
        <w:rPr>
          <w:szCs w:val="22"/>
        </w:rPr>
        <w:t>660 North Capital Street</w:t>
      </w:r>
      <w:r w:rsidRPr="003E53E0" w:rsidR="00CB1380">
        <w:rPr>
          <w:szCs w:val="22"/>
        </w:rPr>
        <w:t>, NW, Suite 2</w:t>
      </w:r>
      <w:r w:rsidR="001D569E">
        <w:rPr>
          <w:szCs w:val="22"/>
        </w:rPr>
        <w:t>4</w:t>
      </w:r>
      <w:r w:rsidRPr="003E53E0" w:rsidR="00CB1380">
        <w:rPr>
          <w:szCs w:val="22"/>
        </w:rPr>
        <w:t>0</w:t>
      </w:r>
    </w:p>
    <w:p w:rsidR="00883654" w:rsidP="00883654" w14:paraId="16359D59" w14:textId="77777777">
      <w:pPr>
        <w:tabs>
          <w:tab w:val="left" w:pos="0"/>
        </w:tabs>
        <w:suppressAutoHyphens/>
        <w:rPr>
          <w:szCs w:val="22"/>
        </w:rPr>
      </w:pPr>
      <w:r w:rsidRPr="003E53E0">
        <w:rPr>
          <w:szCs w:val="22"/>
        </w:rPr>
        <w:t>Washington, D.C. 20001</w:t>
      </w:r>
    </w:p>
    <w:p w:rsidR="00883654" w:rsidRPr="00590293" w:rsidP="00883654" w14:paraId="21E2131C" w14:textId="77777777">
      <w:pPr>
        <w:tabs>
          <w:tab w:val="left" w:pos="-720"/>
        </w:tabs>
        <w:suppressAutoHyphens/>
        <w:rPr>
          <w:b/>
          <w:bCs/>
          <w:szCs w:val="22"/>
        </w:rPr>
      </w:pPr>
      <w:r w:rsidRPr="003E53E0">
        <w:rPr>
          <w:szCs w:val="22"/>
        </w:rPr>
        <w:t>Phone:  (</w:t>
      </w:r>
      <w:r w:rsidR="00B55A9D">
        <w:rPr>
          <w:szCs w:val="22"/>
        </w:rPr>
        <w:t>303</w:t>
      </w:r>
      <w:r w:rsidRPr="003E53E0">
        <w:rPr>
          <w:szCs w:val="22"/>
        </w:rPr>
        <w:t xml:space="preserve">) </w:t>
      </w:r>
      <w:r w:rsidR="00B55A9D">
        <w:rPr>
          <w:szCs w:val="22"/>
        </w:rPr>
        <w:t>992</w:t>
      </w:r>
      <w:r w:rsidRPr="003E53E0">
        <w:rPr>
          <w:szCs w:val="22"/>
        </w:rPr>
        <w:t>-</w:t>
      </w:r>
      <w:r w:rsidR="00B55A9D">
        <w:rPr>
          <w:szCs w:val="22"/>
        </w:rPr>
        <w:t>2503</w:t>
      </w:r>
    </w:p>
    <w:p w:rsidR="00883654" w:rsidP="00883654" w14:paraId="7903E05A" w14:textId="77777777">
      <w:pPr>
        <w:rPr>
          <w:szCs w:val="22"/>
        </w:rPr>
      </w:pPr>
    </w:p>
    <w:p w:rsidR="006E7B5B" w:rsidRPr="00082C34" w:rsidP="008D15A6" w14:paraId="24C2CB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179287" w14:textId="77777777">
      <w:pPr>
        <w:rPr>
          <w:szCs w:val="22"/>
        </w:rPr>
      </w:pPr>
    </w:p>
    <w:p w:rsidR="006E7B5B" w:rsidRPr="00D45146" w:rsidP="008D15A6" w14:paraId="035D300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908D829" w14:textId="77777777">
      <w:pPr>
        <w:tabs>
          <w:tab w:val="left" w:pos="0"/>
        </w:tabs>
        <w:suppressAutoHyphens/>
        <w:rPr>
          <w:szCs w:val="22"/>
        </w:rPr>
      </w:pPr>
    </w:p>
    <w:p w:rsidR="006E7B5B" w:rsidP="006E7B5B" w14:paraId="53595F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6A924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1E81A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555D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FC8F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52123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3557EA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1E86912" w14:textId="77777777">
      <w:pPr>
        <w:tabs>
          <w:tab w:val="left" w:pos="0"/>
        </w:tabs>
        <w:suppressAutoHyphens/>
        <w:rPr>
          <w:b/>
          <w:szCs w:val="22"/>
        </w:rPr>
      </w:pPr>
    </w:p>
    <w:p w:rsidR="008961DF" w:rsidRPr="0011693F" w:rsidP="0063533E" w14:paraId="4C1384F2"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D750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7436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0312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EAC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73FF" w14:paraId="462BC7E6" w14:textId="77777777">
      <w:r>
        <w:separator/>
      </w:r>
    </w:p>
  </w:footnote>
  <w:footnote w:type="continuationSeparator" w:id="1">
    <w:p w:rsidR="008673FF" w14:paraId="653D991E" w14:textId="77777777">
      <w:r>
        <w:continuationSeparator/>
      </w:r>
    </w:p>
  </w:footnote>
  <w:footnote w:id="2">
    <w:p w:rsidR="00802DC6" w:rsidP="00802DC6" w14:paraId="792C61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6B1E7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153DD1" w14:textId="600F476B">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3F15F2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DD42E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C5C4D90" w14:textId="06E07F02">
      <w:pPr>
        <w:pStyle w:val="FootnoteText"/>
        <w:rPr>
          <w:sz w:val="20"/>
        </w:rPr>
      </w:pPr>
      <w:r>
        <w:rPr>
          <w:rStyle w:val="FootnoteReference"/>
        </w:rPr>
        <w:footnoteRef/>
      </w:r>
      <w:r>
        <w:t xml:space="preserve"> </w:t>
      </w:r>
      <w:r w:rsidRPr="00C57F34" w:rsidR="003E559D">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3E559D">
        <w:rPr>
          <w:sz w:val="20"/>
        </w:rPr>
        <w:t>.</w:t>
      </w:r>
      <w:r w:rsidRPr="006A71F9" w:rsidR="003E559D">
        <w:rPr>
          <w:i/>
          <w:iCs/>
          <w:sz w:val="20"/>
        </w:rPr>
        <w:t xml:space="preserve">  </w:t>
      </w:r>
      <w:r w:rsidR="003E559D">
        <w:rPr>
          <w:i/>
          <w:iCs/>
          <w:sz w:val="20"/>
        </w:rPr>
        <w:t xml:space="preserve">See </w:t>
      </w:r>
      <w:r w:rsidRPr="006A71F9" w:rsidR="003E559D">
        <w:rPr>
          <w:i/>
          <w:iCs/>
          <w:sz w:val="20"/>
        </w:rPr>
        <w:t>FCC Announces Closure of FCC Headquarters Open Window and Change in Hand-Delivery Filing</w:t>
      </w:r>
      <w:r w:rsidRPr="006A71F9" w:rsidR="003E559D">
        <w:rPr>
          <w:sz w:val="20"/>
        </w:rPr>
        <w:t>,</w:t>
      </w:r>
      <w:r w:rsidRPr="006A71F9" w:rsidR="003E559D">
        <w:rPr>
          <w:i/>
          <w:iCs/>
          <w:sz w:val="20"/>
        </w:rPr>
        <w:t xml:space="preserve"> </w:t>
      </w:r>
      <w:r w:rsidRPr="006A71F9" w:rsidR="003E559D">
        <w:rPr>
          <w:sz w:val="20"/>
        </w:rPr>
        <w:t xml:space="preserve">Public Notice, </w:t>
      </w:r>
      <w:r w:rsidRPr="00234EBA" w:rsidR="003E559D">
        <w:rPr>
          <w:sz w:val="20"/>
        </w:rPr>
        <w:t>35 FCC Rcd 2788 (OMD 2020)</w:t>
      </w:r>
      <w:r w:rsidR="003E559D">
        <w:rPr>
          <w:sz w:val="20"/>
        </w:rPr>
        <w:t xml:space="preserve">, </w:t>
      </w:r>
      <w:hyperlink r:id="rId1" w:history="1">
        <w:r w:rsidRPr="0076088D" w:rsidR="003E559D">
          <w:rPr>
            <w:rStyle w:val="Hyperlink"/>
            <w:sz w:val="20"/>
          </w:rPr>
          <w:t>https://www.fcc.gov/document/fcc-closes-headquarters-open-window-and-changes-hand-delivery-policy</w:t>
        </w:r>
      </w:hyperlink>
      <w:r w:rsidRPr="006A71F9" w:rsidR="003E559D">
        <w:rPr>
          <w:sz w:val="20"/>
        </w:rPr>
        <w:t>.</w:t>
      </w:r>
    </w:p>
  </w:footnote>
  <w:footnote w:id="8">
    <w:p w:rsidR="006E7B5B" w:rsidP="006E7B5B" w14:paraId="2C188F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9129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EC89253" w14:textId="77777777">
                          <w:pPr>
                            <w:rPr>
                              <w:rFonts w:ascii="Arial" w:hAnsi="Arial" w:cs="Arial"/>
                              <w:b/>
                            </w:rPr>
                          </w:pPr>
                          <w:r w:rsidRPr="002D783A">
                            <w:rPr>
                              <w:rFonts w:ascii="Arial" w:hAnsi="Arial" w:cs="Arial"/>
                              <w:b/>
                            </w:rPr>
                            <w:t>Federal Communications Commission</w:t>
                          </w:r>
                        </w:p>
                        <w:p w:rsidR="00E37281" w:rsidRPr="002D783A" w14:paraId="7FA24EB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3D20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4497542" r:id="rId2"/>
      </w:pict>
    </w:r>
    <w:r>
      <w:rPr>
        <w:rFonts w:ascii="News Gothic MT" w:hAnsi="News Gothic MT"/>
        <w:b/>
        <w:kern w:val="28"/>
        <w:sz w:val="96"/>
      </w:rPr>
      <w:t>PUBLIC NOTICE</w:t>
    </w:r>
  </w:p>
  <w:p w:rsidR="00E37281" w:rsidRPr="00EA17C2" w:rsidP="00EA17C2" w14:paraId="21F86A5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4FFF3B5" w14:textId="77777777">
                          <w:pPr>
                            <w:jc w:val="right"/>
                            <w:rPr>
                              <w:rFonts w:ascii="Arial" w:hAnsi="Arial"/>
                              <w:sz w:val="16"/>
                            </w:rPr>
                          </w:pPr>
                          <w:r>
                            <w:rPr>
                              <w:rFonts w:ascii="Arial" w:hAnsi="Arial"/>
                              <w:sz w:val="16"/>
                            </w:rPr>
                            <w:tab/>
                            <w:t>News Media Information 202 / 418-0500</w:t>
                          </w:r>
                        </w:p>
                        <w:p w:rsidR="00E37281" w14:paraId="6A35113C" w14:textId="77777777">
                          <w:pPr>
                            <w:jc w:val="right"/>
                            <w:rPr>
                              <w:rFonts w:ascii="Arial" w:hAnsi="Arial"/>
                              <w:sz w:val="16"/>
                            </w:rPr>
                          </w:pPr>
                          <w:r>
                            <w:rPr>
                              <w:rFonts w:ascii="Arial" w:hAnsi="Arial"/>
                              <w:sz w:val="16"/>
                            </w:rPr>
                            <w:tab/>
                            <w:t xml:space="preserve">            Internet:  http://www.fcc.gov</w:t>
                          </w:r>
                        </w:p>
                        <w:p w:rsidR="00E37281" w:rsidP="00B2754A" w14:paraId="10E32AA1" w14:textId="77777777">
                          <w:pPr>
                            <w:rPr>
                              <w:rFonts w:ascii="Arial" w:hAnsi="Arial"/>
                              <w:sz w:val="16"/>
                            </w:rPr>
                          </w:pPr>
                          <w:r>
                            <w:rPr>
                              <w:rFonts w:ascii="Arial" w:hAnsi="Arial"/>
                              <w:sz w:val="16"/>
                            </w:rPr>
                            <w:tab/>
                            <w:t xml:space="preserve">                                     </w:t>
                          </w:r>
                        </w:p>
                        <w:p w:rsidR="00E37281" w:rsidP="00B2754A" w14:paraId="75E71151" w14:textId="77777777">
                          <w:pPr>
                            <w:rPr>
                              <w:rFonts w:ascii="Arial" w:hAnsi="Arial"/>
                              <w:sz w:val="16"/>
                            </w:rPr>
                          </w:pPr>
                          <w:r>
                            <w:rPr>
                              <w:rFonts w:ascii="Arial" w:hAnsi="Arial"/>
                              <w:sz w:val="16"/>
                            </w:rPr>
                            <w:tab/>
                          </w:r>
                          <w:r>
                            <w:rPr>
                              <w:rFonts w:ascii="Arial" w:hAnsi="Arial"/>
                              <w:sz w:val="16"/>
                            </w:rPr>
                            <w:tab/>
                          </w:r>
                        </w:p>
                        <w:p w:rsidR="00E37281" w:rsidP="00B2754A" w14:paraId="3C903E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540EF"/>
    <w:rsid w:val="00156129"/>
    <w:rsid w:val="00164521"/>
    <w:rsid w:val="00164D8B"/>
    <w:rsid w:val="0016667C"/>
    <w:rsid w:val="00173A01"/>
    <w:rsid w:val="00177308"/>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142C8"/>
    <w:rsid w:val="002150F3"/>
    <w:rsid w:val="00215363"/>
    <w:rsid w:val="002159F8"/>
    <w:rsid w:val="00217481"/>
    <w:rsid w:val="00221F01"/>
    <w:rsid w:val="0022440F"/>
    <w:rsid w:val="00234EBA"/>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72AC"/>
    <w:rsid w:val="0029697E"/>
    <w:rsid w:val="00296DD0"/>
    <w:rsid w:val="002A172A"/>
    <w:rsid w:val="002A1AA0"/>
    <w:rsid w:val="002B013E"/>
    <w:rsid w:val="002B483F"/>
    <w:rsid w:val="002B4B36"/>
    <w:rsid w:val="002B4F56"/>
    <w:rsid w:val="002C3275"/>
    <w:rsid w:val="002D11E0"/>
    <w:rsid w:val="002D3667"/>
    <w:rsid w:val="002D783A"/>
    <w:rsid w:val="002E05A5"/>
    <w:rsid w:val="002E3F18"/>
    <w:rsid w:val="002E5266"/>
    <w:rsid w:val="002E7775"/>
    <w:rsid w:val="002E7FD5"/>
    <w:rsid w:val="002F413C"/>
    <w:rsid w:val="002F5715"/>
    <w:rsid w:val="002F6684"/>
    <w:rsid w:val="00301916"/>
    <w:rsid w:val="00301C69"/>
    <w:rsid w:val="00305396"/>
    <w:rsid w:val="00305737"/>
    <w:rsid w:val="00305A63"/>
    <w:rsid w:val="003118BC"/>
    <w:rsid w:val="00321A3A"/>
    <w:rsid w:val="003229AE"/>
    <w:rsid w:val="00323CD4"/>
    <w:rsid w:val="00330A11"/>
    <w:rsid w:val="00335146"/>
    <w:rsid w:val="00343AE9"/>
    <w:rsid w:val="00344630"/>
    <w:rsid w:val="00345CC8"/>
    <w:rsid w:val="00347615"/>
    <w:rsid w:val="00347E4D"/>
    <w:rsid w:val="00354188"/>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59D"/>
    <w:rsid w:val="003E5DE3"/>
    <w:rsid w:val="003F3CA8"/>
    <w:rsid w:val="003F605D"/>
    <w:rsid w:val="004005D8"/>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0BC0"/>
    <w:rsid w:val="005F113A"/>
    <w:rsid w:val="00601D89"/>
    <w:rsid w:val="006069D9"/>
    <w:rsid w:val="00613B6D"/>
    <w:rsid w:val="00615E1C"/>
    <w:rsid w:val="006279E0"/>
    <w:rsid w:val="0063533E"/>
    <w:rsid w:val="00637AC4"/>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19D7"/>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673FF"/>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6B8C"/>
    <w:rsid w:val="00967114"/>
    <w:rsid w:val="009709F5"/>
    <w:rsid w:val="009810A1"/>
    <w:rsid w:val="00985CD1"/>
    <w:rsid w:val="00991259"/>
    <w:rsid w:val="00991F39"/>
    <w:rsid w:val="00992FD1"/>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43D01"/>
    <w:rsid w:val="00A55B50"/>
    <w:rsid w:val="00A55DCE"/>
    <w:rsid w:val="00A70774"/>
    <w:rsid w:val="00A924C6"/>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2223"/>
    <w:rsid w:val="00C328E3"/>
    <w:rsid w:val="00C3299D"/>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F5DC5"/>
    <w:rsid w:val="00E01BD3"/>
    <w:rsid w:val="00E13AE3"/>
    <w:rsid w:val="00E16DB9"/>
    <w:rsid w:val="00E205BA"/>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29BA"/>
    <w:rsid w:val="00F041D2"/>
    <w:rsid w:val="00F046EC"/>
    <w:rsid w:val="00F063F4"/>
    <w:rsid w:val="00F1155F"/>
    <w:rsid w:val="00F149AD"/>
    <w:rsid w:val="00F1719D"/>
    <w:rsid w:val="00F21BB1"/>
    <w:rsid w:val="00F22AE3"/>
    <w:rsid w:val="00F315E0"/>
    <w:rsid w:val="00F32E21"/>
    <w:rsid w:val="00F34413"/>
    <w:rsid w:val="00F348B7"/>
    <w:rsid w:val="00F35A34"/>
    <w:rsid w:val="00F41077"/>
    <w:rsid w:val="00F44847"/>
    <w:rsid w:val="00F44CE5"/>
    <w:rsid w:val="00F44F31"/>
    <w:rsid w:val="00F54089"/>
    <w:rsid w:val="00F56132"/>
    <w:rsid w:val="00F6093E"/>
    <w:rsid w:val="00F60F5C"/>
    <w:rsid w:val="00F614ED"/>
    <w:rsid w:val="00F62C5D"/>
    <w:rsid w:val="00F638A7"/>
    <w:rsid w:val="00F6512B"/>
    <w:rsid w:val="00F70EE0"/>
    <w:rsid w:val="00F718C2"/>
    <w:rsid w:val="00F85174"/>
    <w:rsid w:val="00F86FB2"/>
    <w:rsid w:val="00F96A59"/>
    <w:rsid w:val="00F9778C"/>
    <w:rsid w:val="00FA1BA5"/>
    <w:rsid w:val="00FA4601"/>
    <w:rsid w:val="00FC0FED"/>
    <w:rsid w:val="00FC1286"/>
    <w:rsid w:val="00FC2B5B"/>
    <w:rsid w:val="00FC6ACB"/>
    <w:rsid w:val="00FD04B9"/>
    <w:rsid w:val="00FD5259"/>
    <w:rsid w:val="00FE1D6F"/>
    <w:rsid w:val="00FE21C0"/>
    <w:rsid w:val="00FE7367"/>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8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styleId="UnresolvedMention">
    <w:name w:val="Unresolved Mention"/>
    <w:basedOn w:val="DefaultParagraphFont"/>
    <w:rsid w:val="00F4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