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80F9D3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A0E99A6" w14:textId="77777777">
      <w:pPr>
        <w:pStyle w:val="StyleBoldCentered"/>
      </w:pPr>
      <w:r>
        <w:t>F</w:t>
      </w:r>
      <w:r>
        <w:rPr>
          <w:caps w:val="0"/>
        </w:rPr>
        <w:t>ederal Communications Commission</w:t>
      </w:r>
    </w:p>
    <w:p w:rsidR="004C2EE3" w:rsidP="00096D8C" w14:paraId="7D295343" w14:textId="77777777">
      <w:pPr>
        <w:pStyle w:val="StyleBoldCentered"/>
      </w:pPr>
      <w:r>
        <w:rPr>
          <w:caps w:val="0"/>
        </w:rPr>
        <w:t>Washington, D.C. 20554</w:t>
      </w:r>
    </w:p>
    <w:p w:rsidR="004C2EE3" w:rsidP="0070224F" w14:paraId="356C2900" w14:textId="77777777"/>
    <w:tbl>
      <w:tblPr>
        <w:tblW w:w="0" w:type="auto"/>
        <w:tblLayout w:type="fixed"/>
        <w:tblLook w:val="04A0"/>
      </w:tblPr>
      <w:tblGrid>
        <w:gridCol w:w="4698"/>
        <w:gridCol w:w="630"/>
        <w:gridCol w:w="4248"/>
      </w:tblGrid>
      <w:tr w14:paraId="2E6F17FE" w14:textId="77777777">
        <w:tblPrEx>
          <w:tblW w:w="0" w:type="auto"/>
          <w:tblLayout w:type="fixed"/>
          <w:tblLook w:val="04A0"/>
        </w:tblPrEx>
        <w:tc>
          <w:tcPr>
            <w:tcW w:w="4698" w:type="dxa"/>
          </w:tcPr>
          <w:p w:rsidR="00EA7D70" w14:paraId="5D2C1D69" w14:textId="77777777">
            <w:pPr>
              <w:tabs>
                <w:tab w:val="center" w:pos="4680"/>
              </w:tabs>
              <w:suppressAutoHyphens/>
              <w:rPr>
                <w:spacing w:val="-2"/>
              </w:rPr>
            </w:pPr>
            <w:r>
              <w:rPr>
                <w:spacing w:val="-2"/>
              </w:rPr>
              <w:t>In the Matter of</w:t>
            </w:r>
          </w:p>
          <w:p w:rsidR="00EA7D70" w14:paraId="00713983" w14:textId="77777777">
            <w:pPr>
              <w:tabs>
                <w:tab w:val="center" w:pos="4680"/>
              </w:tabs>
              <w:suppressAutoHyphens/>
              <w:rPr>
                <w:spacing w:val="-2"/>
              </w:rPr>
            </w:pPr>
          </w:p>
          <w:p w:rsidR="00EA7D70" w14:paraId="12B80D71" w14:textId="77777777">
            <w:pPr>
              <w:tabs>
                <w:tab w:val="center" w:pos="4680"/>
              </w:tabs>
              <w:suppressAutoHyphens/>
              <w:rPr>
                <w:spacing w:val="-2"/>
              </w:rPr>
            </w:pPr>
            <w:r>
              <w:rPr>
                <w:spacing w:val="-2"/>
              </w:rPr>
              <w:t xml:space="preserve">Partitioning, Disaggregation, and </w:t>
            </w:r>
            <w:r>
              <w:rPr>
                <w:spacing w:val="-2"/>
              </w:rPr>
              <w:br/>
              <w:t>Leasing of Spectrum</w:t>
            </w:r>
          </w:p>
        </w:tc>
        <w:tc>
          <w:tcPr>
            <w:tcW w:w="630" w:type="dxa"/>
          </w:tcPr>
          <w:p w:rsidR="00EA7D70" w14:paraId="39E85A08" w14:textId="77777777">
            <w:pPr>
              <w:tabs>
                <w:tab w:val="center" w:pos="4680"/>
              </w:tabs>
              <w:suppressAutoHyphens/>
              <w:rPr>
                <w:b/>
                <w:spacing w:val="-2"/>
              </w:rPr>
            </w:pPr>
            <w:r>
              <w:rPr>
                <w:b/>
                <w:spacing w:val="-2"/>
              </w:rPr>
              <w:t>)</w:t>
            </w:r>
          </w:p>
          <w:p w:rsidR="00EA7D70" w14:paraId="21D2A9CE" w14:textId="77777777">
            <w:pPr>
              <w:tabs>
                <w:tab w:val="center" w:pos="4680"/>
              </w:tabs>
              <w:suppressAutoHyphens/>
              <w:rPr>
                <w:b/>
                <w:spacing w:val="-2"/>
              </w:rPr>
            </w:pPr>
            <w:r>
              <w:rPr>
                <w:b/>
                <w:spacing w:val="-2"/>
              </w:rPr>
              <w:t>)</w:t>
            </w:r>
          </w:p>
          <w:p w:rsidR="00EA7D70" w14:paraId="29C90B2B" w14:textId="77777777">
            <w:pPr>
              <w:tabs>
                <w:tab w:val="center" w:pos="4680"/>
              </w:tabs>
              <w:suppressAutoHyphens/>
              <w:rPr>
                <w:b/>
                <w:spacing w:val="-2"/>
              </w:rPr>
            </w:pPr>
            <w:r>
              <w:rPr>
                <w:b/>
                <w:spacing w:val="-2"/>
              </w:rPr>
              <w:t>)</w:t>
            </w:r>
          </w:p>
          <w:p w:rsidR="00EA7D70" w14:paraId="20BE4777" w14:textId="77777777">
            <w:pPr>
              <w:tabs>
                <w:tab w:val="center" w:pos="4680"/>
              </w:tabs>
              <w:suppressAutoHyphens/>
              <w:rPr>
                <w:b/>
                <w:spacing w:val="-2"/>
              </w:rPr>
            </w:pPr>
            <w:r>
              <w:rPr>
                <w:b/>
                <w:spacing w:val="-2"/>
              </w:rPr>
              <w:t>)</w:t>
            </w:r>
          </w:p>
          <w:p w:rsidR="00EA7D70" w14:paraId="3EC867B6" w14:textId="77777777">
            <w:pPr>
              <w:tabs>
                <w:tab w:val="center" w:pos="4680"/>
              </w:tabs>
              <w:suppressAutoHyphens/>
              <w:rPr>
                <w:spacing w:val="-2"/>
              </w:rPr>
            </w:pPr>
          </w:p>
        </w:tc>
        <w:tc>
          <w:tcPr>
            <w:tcW w:w="4248" w:type="dxa"/>
          </w:tcPr>
          <w:p w:rsidR="00EA7D70" w14:paraId="293F95E6" w14:textId="77777777">
            <w:pPr>
              <w:tabs>
                <w:tab w:val="center" w:pos="4680"/>
              </w:tabs>
              <w:suppressAutoHyphens/>
              <w:rPr>
                <w:spacing w:val="-2"/>
              </w:rPr>
            </w:pPr>
          </w:p>
          <w:p w:rsidR="00EA7D70" w14:paraId="076657CC" w14:textId="77777777">
            <w:pPr>
              <w:pStyle w:val="TOAHeading"/>
              <w:tabs>
                <w:tab w:val="center" w:pos="4680"/>
              </w:tabs>
              <w:rPr>
                <w:spacing w:val="-2"/>
              </w:rPr>
            </w:pPr>
          </w:p>
          <w:p w:rsidR="00EA7D70" w14:paraId="7C42EC45" w14:textId="77777777">
            <w:pPr>
              <w:tabs>
                <w:tab w:val="center" w:pos="4680"/>
              </w:tabs>
              <w:suppressAutoHyphens/>
              <w:rPr>
                <w:spacing w:val="-2"/>
              </w:rPr>
            </w:pPr>
            <w:r>
              <w:rPr>
                <w:spacing w:val="-2"/>
              </w:rPr>
              <w:t>WT Docket No. 19-38</w:t>
            </w:r>
          </w:p>
        </w:tc>
      </w:tr>
    </w:tbl>
    <w:p w:rsidR="004C2EE3" w:rsidP="0070224F" w14:paraId="691D048B" w14:textId="77777777"/>
    <w:p w:rsidR="00841AB1" w:rsidP="00F021FA" w14:paraId="194425EF" w14:textId="34FA8AB1">
      <w:pPr>
        <w:pStyle w:val="StyleBoldCentered"/>
      </w:pPr>
      <w:r>
        <w:t>ERRATUM</w:t>
      </w:r>
    </w:p>
    <w:p w:rsidR="004C2EE3" w14:paraId="667008B4" w14:textId="77777777">
      <w:pPr>
        <w:tabs>
          <w:tab w:val="left" w:pos="-720"/>
        </w:tabs>
        <w:suppressAutoHyphens/>
        <w:spacing w:line="227" w:lineRule="auto"/>
        <w:rPr>
          <w:spacing w:val="-2"/>
        </w:rPr>
      </w:pPr>
    </w:p>
    <w:p w:rsidR="004C2EE3" w:rsidP="0076298E" w14:paraId="730ADB25" w14:textId="66C3F771">
      <w:pPr>
        <w:tabs>
          <w:tab w:val="left" w:pos="720"/>
          <w:tab w:val="right" w:pos="9360"/>
        </w:tabs>
        <w:suppressAutoHyphens/>
        <w:spacing w:line="227" w:lineRule="auto"/>
        <w:jc w:val="right"/>
        <w:rPr>
          <w:spacing w:val="-2"/>
        </w:rPr>
      </w:pPr>
      <w:r>
        <w:rPr>
          <w:b/>
          <w:spacing w:val="-2"/>
        </w:rPr>
        <w:t>Released</w:t>
      </w:r>
      <w:r w:rsidR="004F0E01">
        <w:rPr>
          <w:b/>
          <w:spacing w:val="-2"/>
        </w:rPr>
        <w:t>:</w:t>
      </w:r>
      <w:r>
        <w:rPr>
          <w:b/>
          <w:spacing w:val="-2"/>
        </w:rPr>
        <w:t xml:space="preserve"> </w:t>
      </w:r>
      <w:r w:rsidR="004F0E01">
        <w:rPr>
          <w:b/>
          <w:spacing w:val="-2"/>
        </w:rPr>
        <w:t xml:space="preserve"> </w:t>
      </w:r>
      <w:r w:rsidR="00DA1309">
        <w:rPr>
          <w:b/>
          <w:spacing w:val="-2"/>
        </w:rPr>
        <w:t xml:space="preserve">September </w:t>
      </w:r>
      <w:r w:rsidR="0092689A">
        <w:rPr>
          <w:b/>
          <w:spacing w:val="-2"/>
        </w:rPr>
        <w:t>20</w:t>
      </w:r>
      <w:r w:rsidR="00DA1309">
        <w:rPr>
          <w:b/>
          <w:spacing w:val="-2"/>
        </w:rPr>
        <w:t>, 2022</w:t>
      </w:r>
    </w:p>
    <w:p w:rsidR="00822CE0" w14:paraId="02862104" w14:textId="77777777"/>
    <w:p w:rsidR="002058BF" w:rsidP="00B9372C" w14:paraId="71CA0E86" w14:textId="1EC56A74">
      <w:pPr>
        <w:pStyle w:val="ParaNum"/>
        <w:numPr>
          <w:ilvl w:val="0"/>
          <w:numId w:val="0"/>
        </w:numPr>
        <w:spacing w:after="0"/>
        <w:rPr>
          <w:spacing w:val="-2"/>
        </w:rPr>
      </w:pPr>
      <w:r>
        <w:t xml:space="preserve">By </w:t>
      </w:r>
      <w:r w:rsidR="004E4A22">
        <w:t>the</w:t>
      </w:r>
      <w:r>
        <w:t xml:space="preserve"> Managing Director and the Acting Chief, Wireless Telecommunications Bureau</w:t>
      </w:r>
      <w:r>
        <w:rPr>
          <w:spacing w:val="-2"/>
        </w:rPr>
        <w:t>:</w:t>
      </w:r>
    </w:p>
    <w:p w:rsidR="008D3F26" w:rsidRPr="00F520BD" w:rsidP="008D3F26" w14:paraId="1691AEEC" w14:textId="77777777"/>
    <w:p w:rsidR="002058BF" w:rsidP="002058BF" w14:paraId="43D85F3E" w14:textId="56329322">
      <w:pPr>
        <w:pStyle w:val="ParaNum"/>
        <w:numPr>
          <w:ilvl w:val="0"/>
          <w:numId w:val="0"/>
        </w:numPr>
        <w:ind w:firstLine="720"/>
      </w:pPr>
      <w:r>
        <w:t>On July 1</w:t>
      </w:r>
      <w:r w:rsidR="00EA7D70">
        <w:t>8</w:t>
      </w:r>
      <w:r>
        <w:t>, 202</w:t>
      </w:r>
      <w:r w:rsidR="00EA7D70">
        <w:t>2</w:t>
      </w:r>
      <w:r>
        <w:t>, the Commission released a Report and Order and Second Further Notice of Proposed Rulemaking (</w:t>
      </w:r>
      <w:r w:rsidRPr="00B9372C" w:rsidR="005537BE">
        <w:rPr>
          <w:i/>
          <w:iCs/>
        </w:rPr>
        <w:t>R&amp;O and Second FNPRM</w:t>
      </w:r>
      <w:r>
        <w:t>), FCC 2</w:t>
      </w:r>
      <w:r w:rsidR="00386B9D">
        <w:t>2-53</w:t>
      </w:r>
      <w:r>
        <w:t>, in the above-captioned proceeding.  To conform to the publishing conventions of the National Archives and Records Administration’s Office of the Federal Register, to simplify the process of making the rule changes effective following review by the Office of Management and Budget pursuant to the Paperwork Reduction Act of 1995, and to correct other minor errors, this Erratum amends</w:t>
      </w:r>
      <w:r w:rsidR="005537BE">
        <w:t xml:space="preserve"> </w:t>
      </w:r>
      <w:r w:rsidR="00B91A68">
        <w:t xml:space="preserve">the </w:t>
      </w:r>
      <w:r w:rsidR="00561031">
        <w:t>F</w:t>
      </w:r>
      <w:r w:rsidR="00B91A68">
        <w:t xml:space="preserve">inal </w:t>
      </w:r>
      <w:r w:rsidR="00561031">
        <w:t>R</w:t>
      </w:r>
      <w:r w:rsidR="00B91A68">
        <w:t xml:space="preserve">ules in </w:t>
      </w:r>
      <w:r w:rsidRPr="00B9372C" w:rsidR="00E36EEC">
        <w:rPr>
          <w:b/>
          <w:bCs/>
        </w:rPr>
        <w:t>Appendix A</w:t>
      </w:r>
      <w:r w:rsidR="00E36EEC">
        <w:t xml:space="preserve"> of </w:t>
      </w:r>
      <w:r w:rsidR="005537BE">
        <w:t xml:space="preserve">the </w:t>
      </w:r>
      <w:r w:rsidRPr="006B2833" w:rsidR="005537BE">
        <w:rPr>
          <w:i/>
          <w:iCs/>
        </w:rPr>
        <w:t>R&amp;O and Second FNPRM</w:t>
      </w:r>
      <w:r>
        <w:t xml:space="preserve"> as </w:t>
      </w:r>
      <w:r w:rsidR="005537BE">
        <w:t>indicated be</w:t>
      </w:r>
      <w:r>
        <w:t>low:</w:t>
      </w:r>
    </w:p>
    <w:p w:rsidR="00B729FF" w:rsidP="00951F5A" w14:paraId="3B970528" w14:textId="70873E57">
      <w:pPr>
        <w:pStyle w:val="ParaNum"/>
      </w:pPr>
      <w:r>
        <w:t xml:space="preserve">In </w:t>
      </w:r>
      <w:r w:rsidRPr="00B729FF">
        <w:t>Section 1.9</w:t>
      </w:r>
      <w:r>
        <w:t>48,</w:t>
      </w:r>
      <w:r w:rsidRPr="00B729FF">
        <w:t xml:space="preserve"> </w:t>
      </w:r>
      <w:r>
        <w:t>t</w:t>
      </w:r>
      <w:r w:rsidRPr="00B729FF">
        <w:t xml:space="preserve">he corrections are as follows: </w:t>
      </w:r>
    </w:p>
    <w:p w:rsidR="00B57B05" w:rsidP="00574EF3" w14:paraId="4B8C1BE1" w14:textId="1B65C6A7">
      <w:pPr>
        <w:pStyle w:val="ListParagraph"/>
        <w:numPr>
          <w:ilvl w:val="0"/>
          <w:numId w:val="43"/>
        </w:numPr>
        <w:spacing w:after="120"/>
        <w:contextualSpacing w:val="0"/>
      </w:pPr>
      <w:r w:rsidRPr="00B57B05">
        <w:t>In paragraph (</w:t>
      </w:r>
      <w:r>
        <w:t>j</w:t>
      </w:r>
      <w:r w:rsidRPr="00B57B05">
        <w:t>),</w:t>
      </w:r>
      <w:r w:rsidR="00626FC8">
        <w:t xml:space="preserve"> </w:t>
      </w:r>
      <w:r w:rsidRPr="00B57B05">
        <w:t>replace “</w:t>
      </w:r>
      <w:r>
        <w:t>herein</w:t>
      </w:r>
      <w:r w:rsidRPr="00B57B05">
        <w:t>” with “</w:t>
      </w:r>
      <w:r w:rsidR="001D1577">
        <w:t xml:space="preserve">in </w:t>
      </w:r>
      <w:r>
        <w:t>this paragraph (j)</w:t>
      </w:r>
      <w:r w:rsidRPr="00B57B05">
        <w:t>”.</w:t>
      </w:r>
    </w:p>
    <w:p w:rsidR="00755B0E" w:rsidP="00951F5A" w14:paraId="1927CAC3" w14:textId="14256D95">
      <w:pPr>
        <w:pStyle w:val="ListParagraph"/>
        <w:numPr>
          <w:ilvl w:val="0"/>
          <w:numId w:val="43"/>
        </w:numPr>
        <w:spacing w:after="120"/>
        <w:contextualSpacing w:val="0"/>
      </w:pPr>
      <w:r>
        <w:t>In p</w:t>
      </w:r>
      <w:r w:rsidRPr="004E043D" w:rsidR="004E043D">
        <w:t xml:space="preserve">aragraph </w:t>
      </w:r>
      <w:r w:rsidRPr="00BF333C" w:rsidR="00BF333C">
        <w:t>(j)(2)(</w:t>
      </w:r>
      <w:r w:rsidRPr="00BF333C" w:rsidR="00BF333C">
        <w:t>i</w:t>
      </w:r>
      <w:r w:rsidRPr="00BF333C" w:rsidR="00BF333C">
        <w:t>)(B)</w:t>
      </w:r>
      <w:r w:rsidR="003566C1">
        <w:t xml:space="preserve">, </w:t>
      </w:r>
      <w:r w:rsidR="00B50F87">
        <w:t>delete “and</w:t>
      </w:r>
      <w:r w:rsidR="00ED0AB9">
        <w:t>,</w:t>
      </w:r>
      <w:r w:rsidR="00B50F87">
        <w:t xml:space="preserve">” at the </w:t>
      </w:r>
      <w:r>
        <w:t>end of the paragraph.</w:t>
      </w:r>
    </w:p>
    <w:p w:rsidR="00C50F6F" w:rsidP="00951F5A" w14:paraId="0EF23384" w14:textId="7DFD6424">
      <w:pPr>
        <w:pStyle w:val="ParaNum"/>
        <w:numPr>
          <w:ilvl w:val="0"/>
          <w:numId w:val="43"/>
        </w:numPr>
      </w:pPr>
      <w:r>
        <w:t>In p</w:t>
      </w:r>
      <w:r w:rsidR="003F71EC">
        <w:t xml:space="preserve">aragraph </w:t>
      </w:r>
      <w:r w:rsidRPr="00D95210" w:rsidR="00D95210">
        <w:t>(j)(2)(</w:t>
      </w:r>
      <w:r w:rsidRPr="00D95210" w:rsidR="00D95210">
        <w:t>i</w:t>
      </w:r>
      <w:r w:rsidRPr="00D95210" w:rsidR="00D95210">
        <w:t>)(</w:t>
      </w:r>
      <w:r w:rsidR="00D95210">
        <w:t>C</w:t>
      </w:r>
      <w:r w:rsidRPr="00D95210" w:rsidR="00D95210">
        <w:t>)</w:t>
      </w:r>
      <w:r w:rsidR="00B95D9E">
        <w:t>,</w:t>
      </w:r>
      <w:r w:rsidRPr="00D95210" w:rsidR="00D95210">
        <w:t xml:space="preserve"> </w:t>
      </w:r>
      <w:r w:rsidR="00460930">
        <w:t>replace “Commission rules” with “</w:t>
      </w:r>
      <w:r w:rsidRPr="00460930" w:rsidR="00460930">
        <w:t>Commission rules in this chapter</w:t>
      </w:r>
      <w:r w:rsidR="00460930">
        <w:t>”</w:t>
      </w:r>
      <w:r w:rsidR="00FF4034">
        <w:t>.</w:t>
      </w:r>
    </w:p>
    <w:p w:rsidR="00E94DAE" w:rsidP="00951F5A" w14:paraId="402B4185" w14:textId="44C2C564">
      <w:pPr>
        <w:pStyle w:val="ParaNum"/>
        <w:numPr>
          <w:ilvl w:val="0"/>
          <w:numId w:val="43"/>
        </w:numPr>
      </w:pPr>
      <w:r>
        <w:t>In p</w:t>
      </w:r>
      <w:r w:rsidR="007E1282">
        <w:t>ara</w:t>
      </w:r>
      <w:r>
        <w:t>graph (j)(2)(iii)</w:t>
      </w:r>
      <w:r w:rsidR="00A50CAC">
        <w:t>,</w:t>
      </w:r>
      <w:r>
        <w:t xml:space="preserve"> </w:t>
      </w:r>
      <w:r w:rsidR="000741DF">
        <w:t>replace “(</w:t>
      </w:r>
      <w:r w:rsidRPr="000741DF" w:rsidR="000741DF">
        <w:t>see §§ 1.106(f), 1.108, 1.113</w:t>
      </w:r>
      <w:r w:rsidR="000741DF">
        <w:t>)”</w:t>
      </w:r>
      <w:r w:rsidRPr="004E7F56" w:rsidR="004E7F56">
        <w:t xml:space="preserve"> </w:t>
      </w:r>
      <w:r w:rsidR="000741DF">
        <w:t>with “</w:t>
      </w:r>
      <w:r w:rsidRPr="004E7F56" w:rsidR="004E7F56">
        <w:t>(see §§ 1.106(f), 1.108, and 1.113)</w:t>
      </w:r>
      <w:r w:rsidR="004E7F56">
        <w:t>”</w:t>
      </w:r>
      <w:r w:rsidR="00FF4034">
        <w:t>.</w:t>
      </w:r>
    </w:p>
    <w:p w:rsidR="00544E28" w:rsidP="00951F5A" w14:paraId="37FD37A1" w14:textId="674D49D9">
      <w:pPr>
        <w:pStyle w:val="ParaNum"/>
      </w:pPr>
      <w:r>
        <w:t xml:space="preserve">In </w:t>
      </w:r>
      <w:r w:rsidRPr="00544E28">
        <w:t>Section 1.</w:t>
      </w:r>
      <w:r>
        <w:t>950, t</w:t>
      </w:r>
      <w:r w:rsidRPr="00544E28">
        <w:t xml:space="preserve">he corrections are as follows: </w:t>
      </w:r>
    </w:p>
    <w:p w:rsidR="00544E28" w:rsidP="00951F5A" w14:paraId="76EEC71C" w14:textId="4C6F2ED0">
      <w:pPr>
        <w:pStyle w:val="ParaNum"/>
        <w:numPr>
          <w:ilvl w:val="0"/>
          <w:numId w:val="40"/>
        </w:numPr>
      </w:pPr>
      <w:r>
        <w:t xml:space="preserve">In </w:t>
      </w:r>
      <w:r w:rsidR="00845CDE">
        <w:t>p</w:t>
      </w:r>
      <w:r w:rsidRPr="00B9372C" w:rsidR="00845CDE">
        <w:t>aragraph (</w:t>
      </w:r>
      <w:r w:rsidR="00845CDE">
        <w:t>b</w:t>
      </w:r>
      <w:r w:rsidRPr="00B9372C" w:rsidR="00845CDE">
        <w:t>)</w:t>
      </w:r>
      <w:r w:rsidR="00845CDE">
        <w:t xml:space="preserve">(3), in </w:t>
      </w:r>
      <w:r>
        <w:t>t</w:t>
      </w:r>
      <w:r w:rsidR="00AA2F95">
        <w:t xml:space="preserve">he </w:t>
      </w:r>
      <w:r>
        <w:t>first sentence</w:t>
      </w:r>
      <w:r w:rsidR="00845CDE">
        <w:t>,</w:t>
      </w:r>
      <w:r>
        <w:t xml:space="preserve"> </w:t>
      </w:r>
      <w:r w:rsidR="00E1233F">
        <w:t xml:space="preserve">replace </w:t>
      </w:r>
      <w:r w:rsidR="00281610">
        <w:t xml:space="preserve">“this rule” </w:t>
      </w:r>
      <w:r w:rsidR="0010688D">
        <w:t>with</w:t>
      </w:r>
      <w:r w:rsidR="004E3818">
        <w:t xml:space="preserve"> “this section”</w:t>
      </w:r>
      <w:r w:rsidR="00DD3C3E">
        <w:t>.</w:t>
      </w:r>
      <w:r w:rsidR="0010688D">
        <w:t xml:space="preserve"> </w:t>
      </w:r>
    </w:p>
    <w:p w:rsidR="0054754C" w:rsidP="00EE6873" w14:paraId="26DF8E49" w14:textId="0F650D83">
      <w:pPr>
        <w:pStyle w:val="ListParagraph"/>
        <w:numPr>
          <w:ilvl w:val="0"/>
          <w:numId w:val="40"/>
        </w:numPr>
        <w:spacing w:after="120"/>
        <w:contextualSpacing w:val="0"/>
      </w:pPr>
      <w:r>
        <w:t xml:space="preserve">In </w:t>
      </w:r>
      <w:r w:rsidR="00845CDE">
        <w:t>p</w:t>
      </w:r>
      <w:r w:rsidRPr="00544E28" w:rsidR="00845CDE">
        <w:t>aragraph (</w:t>
      </w:r>
      <w:r w:rsidR="00845CDE">
        <w:t>i</w:t>
      </w:r>
      <w:r w:rsidRPr="00544E28" w:rsidR="00845CDE">
        <w:t>)</w:t>
      </w:r>
      <w:r w:rsidR="00845CDE">
        <w:t xml:space="preserve">, in </w:t>
      </w:r>
      <w:r>
        <w:t>t</w:t>
      </w:r>
      <w:r w:rsidR="00544E28">
        <w:t>he first sentence</w:t>
      </w:r>
      <w:r w:rsidR="00845CDE">
        <w:t>,</w:t>
      </w:r>
      <w:r w:rsidR="00544E28">
        <w:t xml:space="preserve"> </w:t>
      </w:r>
      <w:r>
        <w:t>replace “this paragraph” with “this section”</w:t>
      </w:r>
      <w:r w:rsidR="00A66117">
        <w:t>.</w:t>
      </w:r>
    </w:p>
    <w:p w:rsidR="008E390D" w:rsidP="00EE6873" w14:paraId="7657957E" w14:textId="22D4EB68">
      <w:pPr>
        <w:pStyle w:val="ListParagraph"/>
        <w:keepNext/>
        <w:widowControl/>
        <w:numPr>
          <w:ilvl w:val="0"/>
          <w:numId w:val="40"/>
        </w:numPr>
        <w:spacing w:after="120"/>
        <w:contextualSpacing w:val="0"/>
      </w:pPr>
      <w:r>
        <w:t>In p</w:t>
      </w:r>
      <w:r>
        <w:t>aragraph (</w:t>
      </w:r>
      <w:r>
        <w:t>i</w:t>
      </w:r>
      <w:r>
        <w:t>)(2)</w:t>
      </w:r>
      <w:r w:rsidR="00583A44">
        <w:t>,</w:t>
      </w:r>
      <w:r w:rsidR="004620EA">
        <w:t xml:space="preserve"> </w:t>
      </w:r>
      <w:r>
        <w:t>replace “</w:t>
      </w:r>
      <w:r w:rsidRPr="00F85119">
        <w:t>§ 1.913, §1.929, and § 1.947</w:t>
      </w:r>
      <w:r>
        <w:t>” with</w:t>
      </w:r>
      <w:r w:rsidRPr="008E390D">
        <w:t xml:space="preserve"> </w:t>
      </w:r>
      <w:r>
        <w:t>“</w:t>
      </w:r>
      <w:r w:rsidRPr="008E390D">
        <w:t>§§</w:t>
      </w:r>
      <w:r w:rsidR="00D57EC8">
        <w:t xml:space="preserve"> </w:t>
      </w:r>
      <w:r w:rsidRPr="008E390D">
        <w:t>1.913, 1.929, and 1.947</w:t>
      </w:r>
      <w:r w:rsidR="00E72643">
        <w:t>”</w:t>
      </w:r>
      <w:r w:rsidR="00430359">
        <w:t>.</w:t>
      </w:r>
      <w:r w:rsidRPr="008E390D">
        <w:t xml:space="preserve"> </w:t>
      </w:r>
    </w:p>
    <w:p w:rsidR="009E752C" w:rsidP="00951F5A" w14:paraId="41880DC4" w14:textId="0AAF8248">
      <w:pPr>
        <w:pStyle w:val="ListParagraph"/>
        <w:keepNext/>
        <w:widowControl/>
        <w:numPr>
          <w:ilvl w:val="0"/>
          <w:numId w:val="40"/>
        </w:numPr>
        <w:spacing w:after="120"/>
        <w:contextualSpacing w:val="0"/>
      </w:pPr>
      <w:r>
        <w:t>In p</w:t>
      </w:r>
      <w:r w:rsidR="00544E28">
        <w:t>aragraph</w:t>
      </w:r>
      <w:r w:rsidR="006C30C1">
        <w:t xml:space="preserve"> (</w:t>
      </w:r>
      <w:r w:rsidR="006C30C1">
        <w:t>i</w:t>
      </w:r>
      <w:r w:rsidR="006C30C1">
        <w:t>)(2)(</w:t>
      </w:r>
      <w:r w:rsidR="006C30C1">
        <w:t>i</w:t>
      </w:r>
      <w:r w:rsidR="006C30C1">
        <w:t>)</w:t>
      </w:r>
      <w:r w:rsidR="00583A44">
        <w:t>,</w:t>
      </w:r>
      <w:r w:rsidR="004620EA">
        <w:t xml:space="preserve"> </w:t>
      </w:r>
      <w:r>
        <w:t>replace “</w:t>
      </w:r>
      <w:r w:rsidRPr="00E72643">
        <w:t>(</w:t>
      </w:r>
      <w:r w:rsidRPr="00E72643">
        <w:t>i</w:t>
      </w:r>
      <w:r w:rsidRPr="00E72643">
        <w:t>)(1)(</w:t>
      </w:r>
      <w:r w:rsidRPr="00E72643">
        <w:t>i</w:t>
      </w:r>
      <w:r w:rsidRPr="00E72643">
        <w:t>-iv) of this rule</w:t>
      </w:r>
      <w:r>
        <w:t xml:space="preserve">” with </w:t>
      </w:r>
      <w:r w:rsidRPr="00E72643">
        <w:t>“(</w:t>
      </w:r>
      <w:r w:rsidRPr="00E72643">
        <w:t>i</w:t>
      </w:r>
      <w:r w:rsidRPr="00E72643">
        <w:t>)(1)(</w:t>
      </w:r>
      <w:r w:rsidRPr="00E72643">
        <w:t>i</w:t>
      </w:r>
      <w:r w:rsidRPr="00E72643">
        <w:t>) through (iv) of this section”</w:t>
      </w:r>
      <w:r w:rsidR="008610F7">
        <w:t>.</w:t>
      </w:r>
    </w:p>
    <w:p w:rsidR="0054754C" w:rsidP="0054754C" w14:paraId="1349AF9D" w14:textId="0EB48BDE">
      <w:pPr>
        <w:pStyle w:val="ParaNum"/>
      </w:pPr>
      <w:r>
        <w:t>In p</w:t>
      </w:r>
      <w:r w:rsidR="00B17C04">
        <w:t>aragraph (e)</w:t>
      </w:r>
      <w:r>
        <w:t>(1)</w:t>
      </w:r>
      <w:r w:rsidR="00B17C04">
        <w:t xml:space="preserve"> of</w:t>
      </w:r>
      <w:r w:rsidRPr="00077F21" w:rsidR="00077F21">
        <w:t xml:space="preserve"> Section </w:t>
      </w:r>
      <w:r w:rsidR="00077F21">
        <w:t>1.60001</w:t>
      </w:r>
      <w:r w:rsidR="00583A44">
        <w:t>,</w:t>
      </w:r>
      <w:r w:rsidR="00930973">
        <w:t xml:space="preserve"> </w:t>
      </w:r>
      <w:r>
        <w:t>replace “</w:t>
      </w:r>
      <w:r w:rsidRPr="00073686">
        <w:t>(as determined under § 121.106 of title 13, Code of Federal Regulations, or any successor thereto)</w:t>
      </w:r>
      <w:r>
        <w:t>” with</w:t>
      </w:r>
      <w:r w:rsidRPr="00073686">
        <w:t xml:space="preserve"> </w:t>
      </w:r>
      <w:r>
        <w:t>“(</w:t>
      </w:r>
      <w:r w:rsidRPr="00073686">
        <w:t>as determined under 13 CFR 121.106)</w:t>
      </w:r>
      <w:r>
        <w:t>”</w:t>
      </w:r>
      <w:r w:rsidR="00B222C2">
        <w:t>.</w:t>
      </w:r>
      <w:r>
        <w:t xml:space="preserve"> </w:t>
      </w:r>
    </w:p>
    <w:p w:rsidR="0054754C" w:rsidP="0054754C" w14:paraId="3B854089" w14:textId="62CC217D">
      <w:pPr>
        <w:pStyle w:val="ParaNum"/>
      </w:pPr>
      <w:r>
        <w:t>In p</w:t>
      </w:r>
      <w:r w:rsidR="00067366">
        <w:t xml:space="preserve">aragraph </w:t>
      </w:r>
      <w:r w:rsidR="00404ED3">
        <w:t>(b) of Section 1.60002</w:t>
      </w:r>
      <w:r w:rsidR="00583A44">
        <w:t>,</w:t>
      </w:r>
      <w:r w:rsidR="00404ED3">
        <w:t xml:space="preserve"> </w:t>
      </w:r>
      <w:r>
        <w:t xml:space="preserve">replace “thereunder” with “under </w:t>
      </w:r>
      <w:r w:rsidRPr="00633348" w:rsidR="00633348">
        <w:t>§ 1.60003 or § 1.60004</w:t>
      </w:r>
      <w:r w:rsidR="00633348">
        <w:t>”</w:t>
      </w:r>
      <w:r w:rsidR="00475661">
        <w:t>.</w:t>
      </w:r>
    </w:p>
    <w:p w:rsidR="00BF1B52" w:rsidP="00BF1B52" w14:paraId="16A9BA3A" w14:textId="4C2DA8E1">
      <w:pPr>
        <w:pStyle w:val="ParaNum"/>
      </w:pPr>
      <w:r>
        <w:t>In p</w:t>
      </w:r>
      <w:r w:rsidRPr="00AA2F95" w:rsidR="00AA2F95">
        <w:t>aragraph (</w:t>
      </w:r>
      <w:r w:rsidR="00AA2F95">
        <w:t>c</w:t>
      </w:r>
      <w:r w:rsidRPr="00AA2F95" w:rsidR="00AA2F95">
        <w:t xml:space="preserve">) of </w:t>
      </w:r>
      <w:r w:rsidRPr="00077F21" w:rsidR="00077F21">
        <w:t>Section 1.600</w:t>
      </w:r>
      <w:r w:rsidR="00B17C04">
        <w:t>03</w:t>
      </w:r>
      <w:r w:rsidR="00583A44">
        <w:t>,</w:t>
      </w:r>
      <w:r w:rsidR="00930973">
        <w:t xml:space="preserve"> </w:t>
      </w:r>
      <w:r>
        <w:t>replace “</w:t>
      </w:r>
      <w:r w:rsidRPr="00AA2F95">
        <w:t xml:space="preserve">in paragraph (b) of this </w:t>
      </w:r>
      <w:r>
        <w:t xml:space="preserve">rule” with “ in paragraph </w:t>
      </w:r>
      <w:r w:rsidR="00CC4C32">
        <w:t>(b) of this section”</w:t>
      </w:r>
      <w:r w:rsidR="00612B2D">
        <w:t>.</w:t>
      </w:r>
    </w:p>
    <w:p w:rsidR="00B53533" w:rsidP="00BF1B52" w14:paraId="5CFF6149" w14:textId="5D716DF7">
      <w:pPr>
        <w:pStyle w:val="ParaNum"/>
      </w:pPr>
      <w:r>
        <w:t xml:space="preserve">In </w:t>
      </w:r>
      <w:r w:rsidRPr="00B53533">
        <w:t>Section 1.6000</w:t>
      </w:r>
      <w:r>
        <w:t>4,</w:t>
      </w:r>
      <w:r w:rsidRPr="00B53533">
        <w:t xml:space="preserve"> </w:t>
      </w:r>
      <w:r>
        <w:t>t</w:t>
      </w:r>
      <w:r w:rsidRPr="00B53533">
        <w:t xml:space="preserve">he corrections are as follows: </w:t>
      </w:r>
    </w:p>
    <w:p w:rsidR="00FF62C6" w:rsidP="00951F5A" w14:paraId="0534C31B" w14:textId="3F668C1B">
      <w:pPr>
        <w:pStyle w:val="ParaNum"/>
        <w:numPr>
          <w:ilvl w:val="0"/>
          <w:numId w:val="42"/>
        </w:numPr>
      </w:pPr>
      <w:r>
        <w:t>In p</w:t>
      </w:r>
      <w:r w:rsidRPr="00FF62C6">
        <w:t>aragraph (</w:t>
      </w:r>
      <w:r>
        <w:t>a</w:t>
      </w:r>
      <w:r w:rsidRPr="00FF62C6">
        <w:t>)</w:t>
      </w:r>
      <w:r>
        <w:t>(2)</w:t>
      </w:r>
      <w:r w:rsidR="00583A44">
        <w:t>,</w:t>
      </w:r>
      <w:r w:rsidR="00930973">
        <w:t xml:space="preserve"> </w:t>
      </w:r>
      <w:r>
        <w:t>replace “pursuant to rule</w:t>
      </w:r>
      <w:r w:rsidRPr="00CC4C32">
        <w:t xml:space="preserve"> § 1.950(g)”</w:t>
      </w:r>
      <w:r>
        <w:t xml:space="preserve"> with “</w:t>
      </w:r>
      <w:r w:rsidRPr="00CC4C32">
        <w:t>pursuant to § 1.950(g)”</w:t>
      </w:r>
      <w:r w:rsidR="001D7390">
        <w:t>.</w:t>
      </w:r>
      <w:r w:rsidRPr="00CC4C32">
        <w:t xml:space="preserve"> </w:t>
      </w:r>
      <w:r>
        <w:t xml:space="preserve"> </w:t>
      </w:r>
    </w:p>
    <w:p w:rsidR="00B53533" w:rsidP="00951F5A" w14:paraId="6FC1A3FC" w14:textId="70146267">
      <w:pPr>
        <w:pStyle w:val="ParaNum"/>
        <w:numPr>
          <w:ilvl w:val="0"/>
          <w:numId w:val="42"/>
        </w:numPr>
      </w:pPr>
      <w:r>
        <w:t>In p</w:t>
      </w:r>
      <w:r w:rsidRPr="009B62C3" w:rsidR="009B62C3">
        <w:t>aragraph (</w:t>
      </w:r>
      <w:r>
        <w:t>b</w:t>
      </w:r>
      <w:r w:rsidRPr="009B62C3" w:rsidR="009B62C3">
        <w:t>)(</w:t>
      </w:r>
      <w:r>
        <w:t>1</w:t>
      </w:r>
      <w:r w:rsidRPr="009B62C3" w:rsidR="009B62C3">
        <w:t>)</w:t>
      </w:r>
      <w:r w:rsidR="00583A44">
        <w:t>,</w:t>
      </w:r>
      <w:r w:rsidR="00930973">
        <w:t xml:space="preserve"> </w:t>
      </w:r>
      <w:r w:rsidR="00FF507E">
        <w:t xml:space="preserve">delete </w:t>
      </w:r>
      <w:r w:rsidR="00976695">
        <w:t>“</w:t>
      </w:r>
      <w:r w:rsidR="00FF507E">
        <w:t>and</w:t>
      </w:r>
      <w:r w:rsidR="00976695">
        <w:t>”</w:t>
      </w:r>
      <w:r>
        <w:t xml:space="preserve"> </w:t>
      </w:r>
      <w:r w:rsidR="00AE01FA">
        <w:t>a</w:t>
      </w:r>
      <w:r>
        <w:t>t the end of the paragraph.</w:t>
      </w:r>
    </w:p>
    <w:p w:rsidR="00CC4C32" w:rsidRPr="00077F21" w:rsidP="0076298E" w14:paraId="15FDBA0C" w14:textId="7E11E0A7">
      <w:pPr>
        <w:pStyle w:val="ParaNum"/>
      </w:pPr>
      <w:r>
        <w:t xml:space="preserve">In </w:t>
      </w:r>
      <w:r w:rsidR="00845CDE">
        <w:t>p</w:t>
      </w:r>
      <w:r w:rsidRPr="00AD70D1" w:rsidR="00845CDE">
        <w:t>aragraph (</w:t>
      </w:r>
      <w:r w:rsidR="00845CDE">
        <w:t>a</w:t>
      </w:r>
      <w:r w:rsidRPr="00AD70D1" w:rsidR="00845CDE">
        <w:t>)</w:t>
      </w:r>
      <w:r w:rsidR="00845CDE">
        <w:t xml:space="preserve">(3) </w:t>
      </w:r>
      <w:r w:rsidR="00CD40EC">
        <w:t xml:space="preserve">of </w:t>
      </w:r>
      <w:r w:rsidRPr="001070DA" w:rsidR="00CD40EC">
        <w:t>Section 1.6000</w:t>
      </w:r>
      <w:r w:rsidR="00CD40EC">
        <w:t>5,</w:t>
      </w:r>
      <w:r w:rsidRPr="001070DA" w:rsidR="00CD40EC">
        <w:t xml:space="preserve"> </w:t>
      </w:r>
      <w:r w:rsidR="00E94A0B">
        <w:t xml:space="preserve">in the first sentence, </w:t>
      </w:r>
      <w:r>
        <w:t>replace “</w:t>
      </w:r>
      <w:r w:rsidRPr="00AD70D1" w:rsidR="00AD70D1">
        <w:t>rural focused-transaction prong</w:t>
      </w:r>
      <w:r>
        <w:t>” with “rural-focused transaction prong</w:t>
      </w:r>
      <w:r w:rsidRPr="00AD70D1" w:rsidR="00AD70D1">
        <w:t xml:space="preserve"> in § 1.60004</w:t>
      </w:r>
      <w:r>
        <w:t>”</w:t>
      </w:r>
      <w:r w:rsidR="00845CDE">
        <w:t xml:space="preserve"> and </w:t>
      </w:r>
      <w:r w:rsidRPr="001070DA" w:rsidR="001070DA">
        <w:t xml:space="preserve">replace </w:t>
      </w:r>
      <w:r w:rsidR="001070DA">
        <w:t>“</w:t>
      </w:r>
      <w:r w:rsidRPr="001070DA" w:rsidR="001070DA">
        <w:t>set forth in rule § 1.60006</w:t>
      </w:r>
      <w:r w:rsidR="001070DA">
        <w:t>” with “</w:t>
      </w:r>
      <w:r w:rsidRPr="001070DA" w:rsidR="001070DA">
        <w:t>set forth in § 1.60006</w:t>
      </w:r>
      <w:r w:rsidR="001070DA">
        <w:t>.”</w:t>
      </w:r>
    </w:p>
    <w:p w:rsidR="00846BCD" w:rsidRPr="00846BCD" w:rsidP="00DF46D9" w14:paraId="1A833D97" w14:textId="721256A0">
      <w:pPr>
        <w:pStyle w:val="ParaNum"/>
      </w:pPr>
      <w:r>
        <w:t xml:space="preserve">In </w:t>
      </w:r>
      <w:r w:rsidRPr="00846BCD">
        <w:t>Section 1.</w:t>
      </w:r>
      <w:r>
        <w:t>60006,</w:t>
      </w:r>
      <w:r w:rsidRPr="00846BCD">
        <w:t xml:space="preserve"> </w:t>
      </w:r>
      <w:r>
        <w:t>t</w:t>
      </w:r>
      <w:r w:rsidRPr="00846BCD">
        <w:t>he corrections are as follows</w:t>
      </w:r>
      <w:r>
        <w:t xml:space="preserve">: </w:t>
      </w:r>
    </w:p>
    <w:p w:rsidR="00951F5A" w:rsidP="000A5A96" w14:paraId="6BDC7DDB" w14:textId="32F8EBBC">
      <w:pPr>
        <w:pStyle w:val="ListParagraph"/>
        <w:numPr>
          <w:ilvl w:val="0"/>
          <w:numId w:val="41"/>
        </w:numPr>
        <w:spacing w:after="120"/>
        <w:contextualSpacing w:val="0"/>
      </w:pPr>
      <w:r>
        <w:t xml:space="preserve">In </w:t>
      </w:r>
      <w:r w:rsidR="000A5A96">
        <w:t>p</w:t>
      </w:r>
      <w:r w:rsidRPr="00AB598E" w:rsidR="000A5A96">
        <w:t>aragraph (b)(</w:t>
      </w:r>
      <w:r w:rsidR="000A5A96">
        <w:t>3</w:t>
      </w:r>
      <w:r w:rsidRPr="00AB598E" w:rsidR="000A5A96">
        <w:t>)</w:t>
      </w:r>
      <w:r w:rsidR="000A5A96">
        <w:t xml:space="preserve">, in </w:t>
      </w:r>
      <w:r w:rsidR="00C266C9">
        <w:t>the first sentence</w:t>
      </w:r>
      <w:r w:rsidR="000A5A96">
        <w:t>,</w:t>
      </w:r>
      <w:r w:rsidR="00C266C9">
        <w:t xml:space="preserve"> </w:t>
      </w:r>
      <w:r>
        <w:t>replace “</w:t>
      </w:r>
      <w:r w:rsidRPr="001070DA">
        <w:t>in this paragraph</w:t>
      </w:r>
      <w:r>
        <w:t>” with “</w:t>
      </w:r>
      <w:r w:rsidRPr="001070DA">
        <w:t>in this paragraph (b)</w:t>
      </w:r>
      <w:r>
        <w:t>”</w:t>
      </w:r>
      <w:r w:rsidR="000A5A96">
        <w:t xml:space="preserve"> and, i</w:t>
      </w:r>
      <w:r w:rsidRPr="00C266C9" w:rsidR="00C266C9">
        <w:t xml:space="preserve">n </w:t>
      </w:r>
      <w:r w:rsidR="00752D7E">
        <w:t>the second sentence,</w:t>
      </w:r>
      <w:r w:rsidRPr="00C266C9" w:rsidR="00C266C9">
        <w:t xml:space="preserve"> replace “in this paragraph” with “in this paragraph (b)”</w:t>
      </w:r>
      <w:r w:rsidR="00752D7E">
        <w:t>.</w:t>
      </w:r>
    </w:p>
    <w:p w:rsidR="00AE01FA" w:rsidP="00EE6873" w14:paraId="288AD662" w14:textId="446B351E">
      <w:pPr>
        <w:pStyle w:val="ListParagraph"/>
        <w:numPr>
          <w:ilvl w:val="0"/>
          <w:numId w:val="41"/>
        </w:numPr>
        <w:spacing w:after="120"/>
        <w:contextualSpacing w:val="0"/>
      </w:pPr>
      <w:r>
        <w:t xml:space="preserve">In </w:t>
      </w:r>
      <w:r w:rsidRPr="00846BCD" w:rsidR="00846BCD">
        <w:t>paragraph (</w:t>
      </w:r>
      <w:r w:rsidR="00846BCD">
        <w:t>b</w:t>
      </w:r>
      <w:r w:rsidRPr="00846BCD" w:rsidR="00846BCD">
        <w:t>)(</w:t>
      </w:r>
      <w:r w:rsidR="00846BCD">
        <w:t>5</w:t>
      </w:r>
      <w:r w:rsidRPr="00846BCD" w:rsidR="00846BCD">
        <w:t>)</w:t>
      </w:r>
      <w:r w:rsidR="00583A44">
        <w:t>,</w:t>
      </w:r>
      <w:r w:rsidRPr="00846BCD" w:rsidR="00846BCD">
        <w:t xml:space="preserve"> </w:t>
      </w:r>
      <w:r w:rsidR="00A647B2">
        <w:t>replace “</w:t>
      </w:r>
      <w:r w:rsidRPr="00A647B2" w:rsidR="00A647B2">
        <w:t>two (2) year period in subsection</w:t>
      </w:r>
      <w:r w:rsidR="00A647B2">
        <w:t xml:space="preserve"> (2)” with “</w:t>
      </w:r>
      <w:r w:rsidRPr="00A647B2" w:rsidR="00A647B2">
        <w:t>two (2) year period in paragraph (b)(2) of this section</w:t>
      </w:r>
      <w:r w:rsidR="00A647B2">
        <w:t>”</w:t>
      </w:r>
      <w:r w:rsidR="00214E0F">
        <w:t>.</w:t>
      </w:r>
    </w:p>
    <w:p w:rsidR="00CC3451" w:rsidP="00EE6873" w14:paraId="65535253" w14:textId="16058633">
      <w:pPr>
        <w:pStyle w:val="ListParagraph"/>
        <w:numPr>
          <w:ilvl w:val="0"/>
          <w:numId w:val="41"/>
        </w:numPr>
        <w:spacing w:after="120"/>
        <w:contextualSpacing w:val="0"/>
      </w:pPr>
      <w:r>
        <w:t>P</w:t>
      </w:r>
      <w:r w:rsidRPr="00846BCD" w:rsidR="00846BCD">
        <w:t>aragraph (</w:t>
      </w:r>
      <w:r w:rsidR="00846BCD">
        <w:t>c</w:t>
      </w:r>
      <w:r w:rsidRPr="00846BCD" w:rsidR="00846BCD">
        <w:t>)(</w:t>
      </w:r>
      <w:r w:rsidR="00846BCD">
        <w:t>2</w:t>
      </w:r>
      <w:r w:rsidRPr="00846BCD" w:rsidR="00846BCD">
        <w:t>)</w:t>
      </w:r>
      <w:r w:rsidR="00930973">
        <w:t xml:space="preserve"> </w:t>
      </w:r>
      <w:r w:rsidRPr="00846BCD" w:rsidR="00846BCD">
        <w:t>is corrected to read as follows:</w:t>
      </w:r>
    </w:p>
    <w:p w:rsidR="00846BCD" w:rsidP="00951F5A" w14:paraId="2412794D" w14:textId="7504A5C8">
      <w:pPr>
        <w:pStyle w:val="ParaNum"/>
        <w:numPr>
          <w:ilvl w:val="0"/>
          <w:numId w:val="0"/>
        </w:numPr>
        <w:ind w:left="1080"/>
      </w:pPr>
      <w:r>
        <w:t>“Operation or service must not fall below that used to meet the construction requirement in paragraph (b) of this section for the entire three (3) year period; and”</w:t>
      </w:r>
    </w:p>
    <w:p w:rsidR="00AD70D1" w:rsidP="00D75798" w14:paraId="4314A010" w14:textId="11458240">
      <w:pPr>
        <w:pStyle w:val="ListParagraph"/>
        <w:numPr>
          <w:ilvl w:val="0"/>
          <w:numId w:val="41"/>
        </w:numPr>
        <w:spacing w:after="120"/>
      </w:pPr>
      <w:r>
        <w:t xml:space="preserve">In </w:t>
      </w:r>
      <w:r w:rsidRPr="00846BCD" w:rsidR="00845CDE">
        <w:t>paragraph (</w:t>
      </w:r>
      <w:r w:rsidR="00845CDE">
        <w:t>c</w:t>
      </w:r>
      <w:r w:rsidRPr="00846BCD" w:rsidR="00845CDE">
        <w:t>)(</w:t>
      </w:r>
      <w:r w:rsidR="00845CDE">
        <w:t>3</w:t>
      </w:r>
      <w:r w:rsidRPr="00846BCD" w:rsidR="00845CDE">
        <w:t>)</w:t>
      </w:r>
      <w:r w:rsidR="00845CDE">
        <w:t xml:space="preserve">, in </w:t>
      </w:r>
      <w:r>
        <w:t>t</w:t>
      </w:r>
      <w:r w:rsidRPr="00846BCD" w:rsidR="00846BCD">
        <w:t>he first sentence</w:t>
      </w:r>
      <w:r w:rsidR="00845CDE">
        <w:t>,</w:t>
      </w:r>
      <w:r w:rsidRPr="00846BCD" w:rsidR="00846BCD">
        <w:t xml:space="preserve"> </w:t>
      </w:r>
      <w:r>
        <w:t>replace “paragraph (b)” with “paragraph (b) of this section”</w:t>
      </w:r>
      <w:r w:rsidR="00327F77">
        <w:t>.</w:t>
      </w:r>
    </w:p>
    <w:p w:rsidR="00CC3451" w:rsidP="00D75798" w14:paraId="19C887B5" w14:textId="1F5B1204">
      <w:pPr>
        <w:pStyle w:val="ParaNum"/>
        <w:numPr>
          <w:ilvl w:val="0"/>
          <w:numId w:val="41"/>
        </w:numPr>
      </w:pPr>
      <w:r>
        <w:t>In p</w:t>
      </w:r>
      <w:r w:rsidRPr="00CC3451">
        <w:t>aragraph (</w:t>
      </w:r>
      <w:r>
        <w:t>e</w:t>
      </w:r>
      <w:r w:rsidRPr="00CC3451">
        <w:t>)</w:t>
      </w:r>
      <w:r w:rsidR="00583A44">
        <w:t>,</w:t>
      </w:r>
      <w:r w:rsidR="00930973">
        <w:t xml:space="preserve"> </w:t>
      </w:r>
      <w:r w:rsidR="00B36323">
        <w:t>replace “</w:t>
      </w:r>
      <w:r w:rsidRPr="00B36323" w:rsidR="00B36323">
        <w:t>paragraphs (a) through (c)</w:t>
      </w:r>
      <w:r w:rsidR="00B36323">
        <w:t>” with “</w:t>
      </w:r>
      <w:r w:rsidRPr="00B36323" w:rsidR="00B36323">
        <w:t>paragraphs (a) through (c) of this section</w:t>
      </w:r>
      <w:r w:rsidR="00B36323">
        <w:t>”</w:t>
      </w:r>
      <w:r w:rsidR="00F05D87">
        <w:t>.</w:t>
      </w:r>
    </w:p>
    <w:p w:rsidR="00CC3451" w:rsidP="00D75798" w14:paraId="5C308D29" w14:textId="1AF6F208">
      <w:pPr>
        <w:pStyle w:val="ListParagraph"/>
        <w:numPr>
          <w:ilvl w:val="0"/>
          <w:numId w:val="41"/>
        </w:numPr>
        <w:spacing w:after="120"/>
      </w:pPr>
      <w:r>
        <w:t>In p</w:t>
      </w:r>
      <w:r>
        <w:t>aragraph</w:t>
      </w:r>
      <w:r w:rsidR="00B51C4E">
        <w:t xml:space="preserve"> (f)(1)</w:t>
      </w:r>
      <w:r w:rsidR="00583A44">
        <w:t>,</w:t>
      </w:r>
      <w:r w:rsidRPr="00B51C4E" w:rsidR="00B51C4E">
        <w:t xml:space="preserve"> </w:t>
      </w:r>
      <w:r>
        <w:t xml:space="preserve">replace </w:t>
      </w:r>
      <w:bookmarkStart w:id="0" w:name="_Hlk114205219"/>
      <w:r>
        <w:t>“</w:t>
      </w:r>
      <w:r w:rsidRPr="00B36323">
        <w:t>except as provided in paragraph (g)</w:t>
      </w:r>
      <w:r w:rsidR="00245D82">
        <w:t>”</w:t>
      </w:r>
      <w:r>
        <w:t xml:space="preserve"> with “</w:t>
      </w:r>
      <w:r w:rsidRPr="00B36323">
        <w:t>except as provided in paragraph (g)</w:t>
      </w:r>
      <w:r>
        <w:t xml:space="preserve"> of this section”</w:t>
      </w:r>
      <w:bookmarkEnd w:id="0"/>
      <w:r w:rsidR="002518F7">
        <w:t>.</w:t>
      </w:r>
    </w:p>
    <w:p w:rsidR="00B51C4E" w:rsidP="00D75798" w14:paraId="44E940CF" w14:textId="77777777">
      <w:pPr>
        <w:pStyle w:val="ListParagraph"/>
        <w:spacing w:after="120"/>
        <w:ind w:left="1080"/>
      </w:pPr>
    </w:p>
    <w:p w:rsidR="00B51C4E" w:rsidP="00D75798" w14:paraId="45231D10" w14:textId="0E8E6325">
      <w:pPr>
        <w:pStyle w:val="ListParagraph"/>
        <w:numPr>
          <w:ilvl w:val="0"/>
          <w:numId w:val="41"/>
        </w:numPr>
        <w:spacing w:after="120"/>
      </w:pPr>
      <w:r>
        <w:t>In p</w:t>
      </w:r>
      <w:r w:rsidR="00CC3451">
        <w:t>aragraph</w:t>
      </w:r>
      <w:r>
        <w:t xml:space="preserve"> (f)(2)</w:t>
      </w:r>
      <w:r w:rsidR="00583A44">
        <w:t>,</w:t>
      </w:r>
      <w:r w:rsidRPr="00B51C4E">
        <w:t xml:space="preserve"> </w:t>
      </w:r>
      <w:r>
        <w:t xml:space="preserve">replace </w:t>
      </w:r>
      <w:r w:rsidRPr="00B36323">
        <w:t>“except as provided in paragraph (g)</w:t>
      </w:r>
      <w:r w:rsidR="00245D82">
        <w:t xml:space="preserve">” </w:t>
      </w:r>
      <w:r w:rsidRPr="00B36323">
        <w:t xml:space="preserve">with “except as provided in paragraph (g) </w:t>
      </w:r>
      <w:r>
        <w:t>of</w:t>
      </w:r>
      <w:r w:rsidRPr="00B36323">
        <w:t xml:space="preserve"> this section”</w:t>
      </w:r>
      <w:r w:rsidR="00235FF8">
        <w:t>.</w:t>
      </w:r>
    </w:p>
    <w:p w:rsidR="00B51C4E" w:rsidP="00D75798" w14:paraId="1F97BBBC" w14:textId="08FFDB09">
      <w:pPr>
        <w:pStyle w:val="ParaNum"/>
        <w:numPr>
          <w:ilvl w:val="0"/>
          <w:numId w:val="41"/>
        </w:numPr>
      </w:pPr>
      <w:r>
        <w:t>In p</w:t>
      </w:r>
      <w:r>
        <w:t>aragraph</w:t>
      </w:r>
      <w:r w:rsidR="0016485F">
        <w:t xml:space="preserve"> (f)(3)(i</w:t>
      </w:r>
      <w:r w:rsidR="000C6D8C">
        <w:t>i</w:t>
      </w:r>
      <w:r w:rsidR="0016485F">
        <w:t>)</w:t>
      </w:r>
      <w:r w:rsidR="00583A44">
        <w:t>,</w:t>
      </w:r>
      <w:r w:rsidRPr="0016485F" w:rsidR="0016485F">
        <w:t xml:space="preserve"> </w:t>
      </w:r>
      <w:r>
        <w:t>replace “</w:t>
      </w:r>
      <w:r w:rsidRPr="00B51C4E">
        <w:t>paragraphs (a) through (d)</w:t>
      </w:r>
      <w:r>
        <w:t>” with “paragraphs (a) through (d)</w:t>
      </w:r>
      <w:r w:rsidRPr="00B51C4E">
        <w:t xml:space="preserve"> of this section</w:t>
      </w:r>
      <w:r>
        <w:t>”</w:t>
      </w:r>
      <w:r w:rsidR="00497254">
        <w:t>.</w:t>
      </w:r>
      <w:r w:rsidRPr="00B51C4E">
        <w:t xml:space="preserve"> </w:t>
      </w:r>
    </w:p>
    <w:p w:rsidR="00CC3451" w:rsidRPr="00B17C04" w:rsidP="007F244A" w14:paraId="67894474" w14:textId="4E778CFF">
      <w:pPr>
        <w:pStyle w:val="ParaNum"/>
        <w:numPr>
          <w:ilvl w:val="0"/>
          <w:numId w:val="41"/>
        </w:numPr>
      </w:pPr>
      <w:bookmarkStart w:id="1" w:name="_Hlk114205471"/>
      <w:r>
        <w:t>In p</w:t>
      </w:r>
      <w:r>
        <w:t>aragraph (g</w:t>
      </w:r>
      <w:r w:rsidRPr="00CC3451">
        <w:t>)</w:t>
      </w:r>
      <w:bookmarkEnd w:id="1"/>
      <w:r w:rsidR="00583A44">
        <w:t>,</w:t>
      </w:r>
      <w:r w:rsidRPr="00CC3451">
        <w:t xml:space="preserve"> </w:t>
      </w:r>
      <w:r>
        <w:t xml:space="preserve">replace </w:t>
      </w:r>
      <w:r w:rsidR="007D7F02">
        <w:t>“</w:t>
      </w:r>
      <w:r w:rsidRPr="00CC3451" w:rsidR="007D7F02">
        <w:t>paragraphs (a) through</w:t>
      </w:r>
      <w:r w:rsidR="007D7F02">
        <w:t xml:space="preserve"> (e)” with “paragraphs (a) through </w:t>
      </w:r>
      <w:r w:rsidR="00B7135E">
        <w:t>(e)</w:t>
      </w:r>
      <w:r w:rsidR="007D7F02">
        <w:t xml:space="preserve"> of this section”</w:t>
      </w:r>
      <w:r w:rsidR="007F244A">
        <w:t xml:space="preserve"> and, </w:t>
      </w:r>
      <w:r w:rsidR="007D7F02">
        <w:t>at the end of the paragraph</w:t>
      </w:r>
      <w:r w:rsidR="00583A44">
        <w:t>,</w:t>
      </w:r>
      <w:r w:rsidR="00651533">
        <w:t xml:space="preserve"> </w:t>
      </w:r>
      <w:r w:rsidR="007D7F02">
        <w:t xml:space="preserve">replace </w:t>
      </w:r>
      <w:r>
        <w:t>“</w:t>
      </w:r>
      <w:r w:rsidRPr="00CC3451">
        <w:t>(as defined in § 20.30</w:t>
      </w:r>
      <w:r w:rsidR="007D7F02">
        <w:t xml:space="preserve">)” with “(as defined in </w:t>
      </w:r>
      <w:r w:rsidRPr="007D7F02" w:rsidR="007D7F02">
        <w:t>§ 20.30</w:t>
      </w:r>
      <w:r w:rsidRPr="00CC3451">
        <w:t xml:space="preserve"> of this chapter)</w:t>
      </w:r>
      <w:r w:rsidR="007D7F02">
        <w:t>”</w:t>
      </w:r>
      <w:r w:rsidRPr="00CC3451">
        <w:t>.</w:t>
      </w:r>
    </w:p>
    <w:p w:rsidR="0016485F" w:rsidP="00DF46D9" w14:paraId="07938FDA" w14:textId="58E2141A">
      <w:pPr>
        <w:pStyle w:val="ParaNum"/>
      </w:pPr>
      <w:r>
        <w:t xml:space="preserve">In </w:t>
      </w:r>
      <w:r w:rsidRPr="00B17C04">
        <w:t>Section 1.6000</w:t>
      </w:r>
      <w:r>
        <w:t>7,</w:t>
      </w:r>
      <w:r w:rsidRPr="00B17C04">
        <w:t xml:space="preserve"> </w:t>
      </w:r>
      <w:r>
        <w:t>t</w:t>
      </w:r>
      <w:r w:rsidRPr="00B17C04" w:rsidR="00B17C04">
        <w:t>he corrections are as follows</w:t>
      </w:r>
      <w:r w:rsidR="00B7135E">
        <w:t>:</w:t>
      </w:r>
    </w:p>
    <w:p w:rsidR="0016485F" w:rsidP="00951F5A" w14:paraId="017DF76A" w14:textId="37E71993">
      <w:pPr>
        <w:pStyle w:val="ParaNum"/>
        <w:numPr>
          <w:ilvl w:val="1"/>
          <w:numId w:val="41"/>
        </w:numPr>
        <w:ind w:left="1080"/>
      </w:pPr>
      <w:r>
        <w:t xml:space="preserve"> </w:t>
      </w:r>
      <w:r>
        <w:t xml:space="preserve">Paragraph </w:t>
      </w:r>
      <w:r w:rsidR="0043157F">
        <w:t>(b)</w:t>
      </w:r>
      <w:r w:rsidRPr="007A45DE">
        <w:t>(1)</w:t>
      </w:r>
      <w:r>
        <w:t xml:space="preserve"> </w:t>
      </w:r>
      <w:r w:rsidR="007D7F02">
        <w:t>is</w:t>
      </w:r>
      <w:r w:rsidR="0043157F">
        <w:t xml:space="preserve"> corrected to read as follows:</w:t>
      </w:r>
    </w:p>
    <w:p w:rsidR="0016485F" w:rsidP="00951F5A" w14:paraId="4CCB6569" w14:textId="6DED0198">
      <w:pPr>
        <w:pStyle w:val="ParaNum"/>
        <w:numPr>
          <w:ilvl w:val="0"/>
          <w:numId w:val="0"/>
        </w:numPr>
        <w:ind w:left="1080"/>
      </w:pPr>
      <w:r>
        <w:t>“</w:t>
      </w:r>
      <w:r w:rsidRPr="007A45DE" w:rsidR="007A45DE">
        <w:t>Violated the five (5) year holding period requirements of § 1.60006(e), including premature termination of a lease or entering into a sublease in violation of § 1.60006(f)(2), if applicable;</w:t>
      </w:r>
      <w:r w:rsidR="0043157F">
        <w:t>”</w:t>
      </w:r>
    </w:p>
    <w:p w:rsidR="002058BF" w:rsidP="0076298E" w14:paraId="68907D59" w14:textId="00C18285">
      <w:pPr>
        <w:pStyle w:val="ParaNum"/>
        <w:keepNext/>
        <w:widowControl/>
        <w:numPr>
          <w:ilvl w:val="1"/>
          <w:numId w:val="41"/>
        </w:numPr>
        <w:ind w:left="1080"/>
      </w:pPr>
      <w:r>
        <w:t xml:space="preserve"> </w:t>
      </w:r>
      <w:r w:rsidR="007D7F02">
        <w:t xml:space="preserve">In </w:t>
      </w:r>
      <w:r w:rsidR="00DA1309">
        <w:t xml:space="preserve">paragraph (c)(1), in </w:t>
      </w:r>
      <w:r w:rsidR="007D7F02">
        <w:t xml:space="preserve">the </w:t>
      </w:r>
      <w:r>
        <w:t>f</w:t>
      </w:r>
      <w:r w:rsidR="0043157F">
        <w:t>irst sentence</w:t>
      </w:r>
      <w:r w:rsidR="00DA1309">
        <w:t>,</w:t>
      </w:r>
      <w:r w:rsidR="0043157F">
        <w:t xml:space="preserve"> </w:t>
      </w:r>
      <w:r w:rsidR="007D7F02">
        <w:t>replace</w:t>
      </w:r>
      <w:r w:rsidR="0043157F">
        <w:t xml:space="preserve"> </w:t>
      </w:r>
      <w:r w:rsidR="007F3891">
        <w:t>“</w:t>
      </w:r>
      <w:r w:rsidR="0043157F">
        <w:t>paragraph (b)</w:t>
      </w:r>
      <w:r w:rsidR="007F3891">
        <w:t>” with “paragraph (b)</w:t>
      </w:r>
      <w:r w:rsidR="0043157F">
        <w:t xml:space="preserve"> of this section”</w:t>
      </w:r>
      <w:r w:rsidR="007C38F5">
        <w:t>.</w:t>
      </w:r>
    </w:p>
    <w:p w:rsidR="007A45DE" w:rsidP="00DA1309" w14:paraId="29A79348" w14:textId="77777777">
      <w:pPr>
        <w:keepNext/>
        <w:widowControl/>
      </w:pPr>
    </w:p>
    <w:p w:rsidR="00713967" w:rsidP="00DA1309" w14:paraId="2A58007E" w14:textId="77777777">
      <w:pPr>
        <w:keepNext/>
        <w:widowControl/>
      </w:pPr>
      <w:r>
        <w:tab/>
      </w:r>
      <w:r>
        <w:tab/>
      </w:r>
      <w:r>
        <w:tab/>
      </w:r>
      <w:r>
        <w:tab/>
      </w:r>
      <w:r>
        <w:tab/>
      </w:r>
      <w:r>
        <w:tab/>
        <w:t>FEDERAL COMMUNICATIONS COMMISSION</w:t>
      </w:r>
    </w:p>
    <w:p w:rsidR="00713967" w:rsidP="00DA1309" w14:paraId="0D17AC7B" w14:textId="77777777">
      <w:pPr>
        <w:keepNext/>
        <w:widowControl/>
      </w:pPr>
    </w:p>
    <w:p w:rsidR="00713967" w:rsidP="00DA1309" w14:paraId="6040A1D4" w14:textId="77777777">
      <w:pPr>
        <w:keepNext/>
        <w:widowControl/>
      </w:pPr>
    </w:p>
    <w:p w:rsidR="00713967" w:rsidP="00DA1309" w14:paraId="2A8D363B" w14:textId="77777777">
      <w:pPr>
        <w:keepNext/>
        <w:widowControl/>
      </w:pPr>
    </w:p>
    <w:p w:rsidR="00713967" w:rsidP="00DA1309" w14:paraId="066644B6" w14:textId="77777777">
      <w:pPr>
        <w:keepNext/>
        <w:widowControl/>
      </w:pPr>
    </w:p>
    <w:p w:rsidR="00713967" w:rsidP="00DA1309" w14:paraId="1C66B457" w14:textId="309383E6">
      <w:pPr>
        <w:keepNext/>
        <w:widowControl/>
      </w:pPr>
      <w:r>
        <w:tab/>
      </w:r>
      <w:r>
        <w:tab/>
      </w:r>
      <w:r>
        <w:tab/>
      </w:r>
      <w:r>
        <w:tab/>
      </w:r>
      <w:r>
        <w:tab/>
      </w:r>
      <w:r>
        <w:tab/>
        <w:t>Mark Stephens</w:t>
      </w:r>
    </w:p>
    <w:p w:rsidR="00713967" w:rsidP="00DA1309" w14:paraId="2B212641" w14:textId="71200C78">
      <w:pPr>
        <w:keepNext/>
        <w:widowControl/>
      </w:pPr>
      <w:r>
        <w:tab/>
      </w:r>
      <w:r>
        <w:tab/>
      </w:r>
      <w:r>
        <w:tab/>
      </w:r>
      <w:r>
        <w:tab/>
      </w:r>
      <w:r>
        <w:tab/>
      </w:r>
      <w:r>
        <w:tab/>
        <w:t xml:space="preserve">Managing Director </w:t>
      </w:r>
    </w:p>
    <w:p w:rsidR="00713967" w:rsidP="00DA1309" w14:paraId="7A0AE903" w14:textId="13C2E5B0">
      <w:pPr>
        <w:keepNext/>
        <w:widowControl/>
      </w:pPr>
      <w:r>
        <w:tab/>
      </w:r>
      <w:r>
        <w:tab/>
      </w:r>
      <w:r>
        <w:tab/>
      </w:r>
      <w:r>
        <w:tab/>
      </w:r>
      <w:r>
        <w:tab/>
      </w:r>
      <w:r>
        <w:tab/>
      </w:r>
    </w:p>
    <w:p w:rsidR="00E4724E" w:rsidP="00DA1309" w14:paraId="6CD59977" w14:textId="77777777">
      <w:pPr>
        <w:keepNext/>
        <w:widowControl/>
      </w:pPr>
    </w:p>
    <w:p w:rsidR="00713967" w:rsidP="00DA1309" w14:paraId="5A6059F0" w14:textId="77777777">
      <w:pPr>
        <w:keepNext/>
        <w:widowControl/>
      </w:pPr>
      <w:r>
        <w:tab/>
      </w:r>
      <w:r>
        <w:tab/>
      </w:r>
      <w:r>
        <w:tab/>
      </w:r>
      <w:r>
        <w:tab/>
      </w:r>
      <w:r>
        <w:tab/>
      </w:r>
      <w:r>
        <w:tab/>
        <w:t>and</w:t>
      </w:r>
    </w:p>
    <w:p w:rsidR="00713967" w:rsidP="00DA1309" w14:paraId="012C45BE" w14:textId="07EB0782">
      <w:pPr>
        <w:keepNext/>
        <w:widowControl/>
      </w:pPr>
    </w:p>
    <w:p w:rsidR="00654C71" w:rsidP="00DA1309" w14:paraId="67D3654F" w14:textId="38A97983">
      <w:pPr>
        <w:keepNext/>
        <w:widowControl/>
      </w:pPr>
    </w:p>
    <w:p w:rsidR="0067099D" w:rsidP="00DA1309" w14:paraId="374EA6E1" w14:textId="77777777">
      <w:pPr>
        <w:keepNext/>
        <w:widowControl/>
      </w:pPr>
    </w:p>
    <w:p w:rsidR="00713967" w:rsidP="00DA1309" w14:paraId="1945F6BD" w14:textId="25BADE0D">
      <w:pPr>
        <w:keepNext/>
        <w:widowControl/>
      </w:pPr>
      <w:r>
        <w:tab/>
      </w:r>
      <w:r>
        <w:tab/>
      </w:r>
      <w:r>
        <w:tab/>
      </w:r>
      <w:r>
        <w:tab/>
      </w:r>
      <w:r>
        <w:tab/>
      </w:r>
      <w:r>
        <w:tab/>
        <w:t>Joel Taubenblatt</w:t>
      </w:r>
    </w:p>
    <w:p w:rsidR="00713967" w:rsidP="0017296B" w14:paraId="0CE5659A" w14:textId="5E22160F">
      <w:r>
        <w:tab/>
      </w:r>
      <w:r>
        <w:tab/>
      </w:r>
      <w:r>
        <w:tab/>
      </w:r>
      <w:r>
        <w:tab/>
      </w:r>
      <w:r>
        <w:tab/>
      </w:r>
      <w:r>
        <w:tab/>
        <w:t>Acting Chief</w:t>
      </w:r>
      <w:r w:rsidR="00654C71">
        <w:t>, Wireless Telecommunications Bureau</w:t>
      </w:r>
    </w:p>
    <w:sectPr w:rsidSect="0076298E">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9546CB" w14:textId="77777777">
    <w:pPr>
      <w:pStyle w:val="Footer"/>
      <w:framePr w:wrap="around" w:vAnchor="text" w:hAnchor="margin" w:xAlign="center" w:y="1"/>
    </w:pPr>
    <w:r>
      <w:fldChar w:fldCharType="begin"/>
    </w:r>
    <w:r>
      <w:instrText xml:space="preserve">PAGE  </w:instrText>
    </w:r>
    <w:r w:rsidR="001C11B2">
      <w:fldChar w:fldCharType="separate"/>
    </w:r>
    <w:r>
      <w:fldChar w:fldCharType="end"/>
    </w:r>
  </w:p>
  <w:p w:rsidR="00D25FB5" w14:paraId="5FC9A9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9372C" w14:paraId="0B9D6159" w14:textId="4AFAE0E8">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1556D" w14:paraId="06B09E9B" w14:textId="77777777">
    <w:pPr>
      <w:pStyle w:val="Footer"/>
      <w:tabs>
        <w:tab w:val="clear" w:pos="4320"/>
        <w:tab w:val="center" w:pos="4680"/>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309" w:rsidP="00DA1309" w14:paraId="056D35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A1309" w14:paraId="71FA7F05" w14:textId="5520DB41">
    <w:pPr>
      <w:pStyle w:val="Header"/>
    </w:pPr>
    <w:r>
      <w:tab/>
      <w:t>Federal Communications Commission</w:t>
    </w:r>
    <w:r>
      <w:tab/>
    </w:r>
  </w:p>
  <w:p w:rsidR="00D25FB5" w14:paraId="31E7C593" w14:textId="1D10CDF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3935B7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A1309" w14:paraId="0169EAC0" w14:textId="6C791E34">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4F0E01">
      <w:tab/>
      <w:t>Federal Communications Commission</w:t>
    </w:r>
    <w:r w:rsidR="004F0E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F599A"/>
    <w:multiLevelType w:val="hybridMultilevel"/>
    <w:tmpl w:val="F6CEBE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5615D48"/>
    <w:multiLevelType w:val="hybridMultilevel"/>
    <w:tmpl w:val="96FE3D7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D0F7825"/>
    <w:multiLevelType w:val="hybridMultilevel"/>
    <w:tmpl w:val="95D69F3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6DA2FD9"/>
    <w:multiLevelType w:val="hybridMultilevel"/>
    <w:tmpl w:val="BE788514"/>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DC75C28"/>
    <w:multiLevelType w:val="hybridMultilevel"/>
    <w:tmpl w:val="DDACC1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10C489B"/>
    <w:multiLevelType w:val="hybridMultilevel"/>
    <w:tmpl w:val="56B825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A4204A"/>
    <w:multiLevelType w:val="hybridMultilevel"/>
    <w:tmpl w:val="403CC00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32813F3"/>
    <w:multiLevelType w:val="hybridMultilevel"/>
    <w:tmpl w:val="305457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F2453D5"/>
    <w:multiLevelType w:val="hybridMultilevel"/>
    <w:tmpl w:val="AE28B66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1182925"/>
    <w:multiLevelType w:val="multilevel"/>
    <w:tmpl w:val="308604AA"/>
    <w:lvl w:ilvl="0">
      <w:start w:val="1"/>
      <w:numFmt w:val="decimal"/>
      <w:pStyle w:val="ParaNum"/>
      <w:lvlText w:val="%1."/>
      <w:lvlJc w:val="left"/>
      <w:pPr>
        <w:tabs>
          <w:tab w:val="num" w:pos="720"/>
        </w:tabs>
        <w:ind w:left="0" w:firstLine="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8BD59F4"/>
    <w:multiLevelType w:val="hybridMultilevel"/>
    <w:tmpl w:val="BB3ECF1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C195448"/>
    <w:multiLevelType w:val="hybridMultilevel"/>
    <w:tmpl w:val="65EA3ED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EB449A8"/>
    <w:multiLevelType w:val="hybridMultilevel"/>
    <w:tmpl w:val="FFB6791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14"/>
  </w:num>
  <w:num w:numId="3">
    <w:abstractNumId w:val="7"/>
  </w:num>
  <w:num w:numId="4">
    <w:abstractNumId w:val="12"/>
  </w:num>
  <w:num w:numId="5">
    <w:abstractNumId w:val="5"/>
  </w:num>
  <w:num w:numId="6">
    <w:abstractNumId w:val="1"/>
  </w:num>
  <w:num w:numId="7">
    <w:abstractNumId w:val="11"/>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2"/>
  </w:num>
  <w:num w:numId="37">
    <w:abstractNumId w:val="16"/>
  </w:num>
  <w:num w:numId="38">
    <w:abstractNumId w:val="9"/>
  </w:num>
  <w:num w:numId="39">
    <w:abstractNumId w:val="10"/>
  </w:num>
  <w:num w:numId="40">
    <w:abstractNumId w:val="15"/>
  </w:num>
  <w:num w:numId="41">
    <w:abstractNumId w:val="6"/>
  </w:num>
  <w:num w:numId="42">
    <w:abstractNumId w:val="3"/>
  </w:num>
  <w:num w:numId="43">
    <w:abstractNumId w:val="8"/>
  </w:num>
  <w:num w:numId="44">
    <w:abstractNumId w:val="0"/>
  </w:num>
  <w:num w:numId="45">
    <w:abstractNumId w:val="1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BF"/>
    <w:rsid w:val="00001CF2"/>
    <w:rsid w:val="0001167E"/>
    <w:rsid w:val="00014E58"/>
    <w:rsid w:val="00017562"/>
    <w:rsid w:val="00036039"/>
    <w:rsid w:val="00037F90"/>
    <w:rsid w:val="00055953"/>
    <w:rsid w:val="000643EA"/>
    <w:rsid w:val="00066D91"/>
    <w:rsid w:val="00067366"/>
    <w:rsid w:val="0007298F"/>
    <w:rsid w:val="00072BD5"/>
    <w:rsid w:val="00073686"/>
    <w:rsid w:val="000741DF"/>
    <w:rsid w:val="0007533C"/>
    <w:rsid w:val="00077F21"/>
    <w:rsid w:val="000855F3"/>
    <w:rsid w:val="000875BF"/>
    <w:rsid w:val="00096D8C"/>
    <w:rsid w:val="000A5143"/>
    <w:rsid w:val="000A5A96"/>
    <w:rsid w:val="000A7083"/>
    <w:rsid w:val="000B7650"/>
    <w:rsid w:val="000C0B65"/>
    <w:rsid w:val="000C4A5A"/>
    <w:rsid w:val="000C6D8C"/>
    <w:rsid w:val="000D2256"/>
    <w:rsid w:val="000D657F"/>
    <w:rsid w:val="000D7533"/>
    <w:rsid w:val="000E05FE"/>
    <w:rsid w:val="000E3D42"/>
    <w:rsid w:val="000F4F67"/>
    <w:rsid w:val="00103E5C"/>
    <w:rsid w:val="0010688D"/>
    <w:rsid w:val="001070DA"/>
    <w:rsid w:val="0011645B"/>
    <w:rsid w:val="00122064"/>
    <w:rsid w:val="00122BD5"/>
    <w:rsid w:val="00133F79"/>
    <w:rsid w:val="0014131A"/>
    <w:rsid w:val="0015509A"/>
    <w:rsid w:val="001628CF"/>
    <w:rsid w:val="0016485F"/>
    <w:rsid w:val="0017296B"/>
    <w:rsid w:val="00172FE5"/>
    <w:rsid w:val="0017394D"/>
    <w:rsid w:val="00194A66"/>
    <w:rsid w:val="001B276A"/>
    <w:rsid w:val="001B4602"/>
    <w:rsid w:val="001C11B2"/>
    <w:rsid w:val="001D1577"/>
    <w:rsid w:val="001D6BCF"/>
    <w:rsid w:val="001D7390"/>
    <w:rsid w:val="001E01CA"/>
    <w:rsid w:val="001E3C17"/>
    <w:rsid w:val="001E4381"/>
    <w:rsid w:val="001E59B7"/>
    <w:rsid w:val="0020269B"/>
    <w:rsid w:val="002058BF"/>
    <w:rsid w:val="00214E0F"/>
    <w:rsid w:val="00216238"/>
    <w:rsid w:val="00222A93"/>
    <w:rsid w:val="00235FF8"/>
    <w:rsid w:val="00245D82"/>
    <w:rsid w:val="00246418"/>
    <w:rsid w:val="002518F7"/>
    <w:rsid w:val="002627D7"/>
    <w:rsid w:val="002704F1"/>
    <w:rsid w:val="00275CF5"/>
    <w:rsid w:val="00281610"/>
    <w:rsid w:val="0028301F"/>
    <w:rsid w:val="00283548"/>
    <w:rsid w:val="00285017"/>
    <w:rsid w:val="002A0073"/>
    <w:rsid w:val="002A2D2E"/>
    <w:rsid w:val="002C00E8"/>
    <w:rsid w:val="002C3740"/>
    <w:rsid w:val="002D4A66"/>
    <w:rsid w:val="002E6491"/>
    <w:rsid w:val="00311516"/>
    <w:rsid w:val="00317969"/>
    <w:rsid w:val="00327F77"/>
    <w:rsid w:val="00342620"/>
    <w:rsid w:val="00343749"/>
    <w:rsid w:val="00350994"/>
    <w:rsid w:val="00355111"/>
    <w:rsid w:val="003566C1"/>
    <w:rsid w:val="003660ED"/>
    <w:rsid w:val="003731E5"/>
    <w:rsid w:val="00381BDA"/>
    <w:rsid w:val="00386B9D"/>
    <w:rsid w:val="003B0550"/>
    <w:rsid w:val="003B694F"/>
    <w:rsid w:val="003D1B51"/>
    <w:rsid w:val="003D278A"/>
    <w:rsid w:val="003D2B7F"/>
    <w:rsid w:val="003D4A78"/>
    <w:rsid w:val="003F171C"/>
    <w:rsid w:val="003F71EC"/>
    <w:rsid w:val="00404ED3"/>
    <w:rsid w:val="00406B5A"/>
    <w:rsid w:val="00412FC5"/>
    <w:rsid w:val="00420007"/>
    <w:rsid w:val="00422276"/>
    <w:rsid w:val="00423EF6"/>
    <w:rsid w:val="004242F1"/>
    <w:rsid w:val="00424733"/>
    <w:rsid w:val="00430359"/>
    <w:rsid w:val="0043087E"/>
    <w:rsid w:val="0043157F"/>
    <w:rsid w:val="0044450C"/>
    <w:rsid w:val="00445A00"/>
    <w:rsid w:val="00451B0F"/>
    <w:rsid w:val="00452AB8"/>
    <w:rsid w:val="00460930"/>
    <w:rsid w:val="004620EA"/>
    <w:rsid w:val="00475661"/>
    <w:rsid w:val="004768FE"/>
    <w:rsid w:val="00482CC9"/>
    <w:rsid w:val="00485BED"/>
    <w:rsid w:val="00491FB4"/>
    <w:rsid w:val="004968E2"/>
    <w:rsid w:val="00497254"/>
    <w:rsid w:val="004C2EE3"/>
    <w:rsid w:val="004C6178"/>
    <w:rsid w:val="004E043D"/>
    <w:rsid w:val="004E3818"/>
    <w:rsid w:val="004E4A22"/>
    <w:rsid w:val="004E7D34"/>
    <w:rsid w:val="004E7F56"/>
    <w:rsid w:val="004F0E01"/>
    <w:rsid w:val="00511968"/>
    <w:rsid w:val="00515D4F"/>
    <w:rsid w:val="00532BDC"/>
    <w:rsid w:val="0053691E"/>
    <w:rsid w:val="005440F0"/>
    <w:rsid w:val="00544E28"/>
    <w:rsid w:val="0054754C"/>
    <w:rsid w:val="005537BE"/>
    <w:rsid w:val="0055614C"/>
    <w:rsid w:val="00561031"/>
    <w:rsid w:val="00563B5C"/>
    <w:rsid w:val="00566D06"/>
    <w:rsid w:val="005704BB"/>
    <w:rsid w:val="00574EF3"/>
    <w:rsid w:val="00583A44"/>
    <w:rsid w:val="0058625C"/>
    <w:rsid w:val="005B1833"/>
    <w:rsid w:val="005E14C2"/>
    <w:rsid w:val="005F10F1"/>
    <w:rsid w:val="005F59F6"/>
    <w:rsid w:val="00607BA5"/>
    <w:rsid w:val="0061075C"/>
    <w:rsid w:val="0061180A"/>
    <w:rsid w:val="00612B2D"/>
    <w:rsid w:val="00613120"/>
    <w:rsid w:val="00614FD3"/>
    <w:rsid w:val="00626EB6"/>
    <w:rsid w:val="00626FC8"/>
    <w:rsid w:val="00633348"/>
    <w:rsid w:val="006435D0"/>
    <w:rsid w:val="00643FD9"/>
    <w:rsid w:val="00651533"/>
    <w:rsid w:val="00654C71"/>
    <w:rsid w:val="00655D03"/>
    <w:rsid w:val="006663F7"/>
    <w:rsid w:val="0067099D"/>
    <w:rsid w:val="00683388"/>
    <w:rsid w:val="00683F84"/>
    <w:rsid w:val="006A4F56"/>
    <w:rsid w:val="006A6A81"/>
    <w:rsid w:val="006B2833"/>
    <w:rsid w:val="006C2393"/>
    <w:rsid w:val="006C30C1"/>
    <w:rsid w:val="006D0E23"/>
    <w:rsid w:val="006D0F52"/>
    <w:rsid w:val="006D372D"/>
    <w:rsid w:val="006D457D"/>
    <w:rsid w:val="006F7393"/>
    <w:rsid w:val="0070224F"/>
    <w:rsid w:val="007022EC"/>
    <w:rsid w:val="00707264"/>
    <w:rsid w:val="007115F7"/>
    <w:rsid w:val="00713967"/>
    <w:rsid w:val="007340AD"/>
    <w:rsid w:val="00752D7E"/>
    <w:rsid w:val="00755B0E"/>
    <w:rsid w:val="0076298E"/>
    <w:rsid w:val="00777460"/>
    <w:rsid w:val="00785689"/>
    <w:rsid w:val="007907A5"/>
    <w:rsid w:val="0079754B"/>
    <w:rsid w:val="007A1E6D"/>
    <w:rsid w:val="007A45DE"/>
    <w:rsid w:val="007B015B"/>
    <w:rsid w:val="007B0EB2"/>
    <w:rsid w:val="007C38F5"/>
    <w:rsid w:val="007D7F02"/>
    <w:rsid w:val="007E1282"/>
    <w:rsid w:val="007E446A"/>
    <w:rsid w:val="007E6156"/>
    <w:rsid w:val="007F244A"/>
    <w:rsid w:val="007F3189"/>
    <w:rsid w:val="007F3891"/>
    <w:rsid w:val="00810B6F"/>
    <w:rsid w:val="0081143E"/>
    <w:rsid w:val="00813F9B"/>
    <w:rsid w:val="00815F7C"/>
    <w:rsid w:val="00822CE0"/>
    <w:rsid w:val="008267CC"/>
    <w:rsid w:val="008274AB"/>
    <w:rsid w:val="00841AB1"/>
    <w:rsid w:val="008458CC"/>
    <w:rsid w:val="00845CDE"/>
    <w:rsid w:val="00846BCD"/>
    <w:rsid w:val="00851F9E"/>
    <w:rsid w:val="00856E7B"/>
    <w:rsid w:val="00857A8A"/>
    <w:rsid w:val="008610F7"/>
    <w:rsid w:val="00865B00"/>
    <w:rsid w:val="008666D0"/>
    <w:rsid w:val="00866CD8"/>
    <w:rsid w:val="00875889"/>
    <w:rsid w:val="008835AB"/>
    <w:rsid w:val="00887E9A"/>
    <w:rsid w:val="008A05AE"/>
    <w:rsid w:val="008A5598"/>
    <w:rsid w:val="008A5FF7"/>
    <w:rsid w:val="008B1608"/>
    <w:rsid w:val="008C68F1"/>
    <w:rsid w:val="008D3F26"/>
    <w:rsid w:val="008D3F98"/>
    <w:rsid w:val="008E1DD9"/>
    <w:rsid w:val="008E390D"/>
    <w:rsid w:val="008F35B1"/>
    <w:rsid w:val="0092049C"/>
    <w:rsid w:val="00921803"/>
    <w:rsid w:val="0092395D"/>
    <w:rsid w:val="00926503"/>
    <w:rsid w:val="0092689A"/>
    <w:rsid w:val="009275AC"/>
    <w:rsid w:val="00930973"/>
    <w:rsid w:val="00930F17"/>
    <w:rsid w:val="00933CBB"/>
    <w:rsid w:val="00951F5A"/>
    <w:rsid w:val="00953AFA"/>
    <w:rsid w:val="00962103"/>
    <w:rsid w:val="00965F0E"/>
    <w:rsid w:val="009726D8"/>
    <w:rsid w:val="00976695"/>
    <w:rsid w:val="009849FF"/>
    <w:rsid w:val="00992A51"/>
    <w:rsid w:val="009A2A44"/>
    <w:rsid w:val="009B02F9"/>
    <w:rsid w:val="009B5FEF"/>
    <w:rsid w:val="009B62C3"/>
    <w:rsid w:val="009C3555"/>
    <w:rsid w:val="009D372E"/>
    <w:rsid w:val="009D3B6D"/>
    <w:rsid w:val="009D7308"/>
    <w:rsid w:val="009E752C"/>
    <w:rsid w:val="009F6A81"/>
    <w:rsid w:val="009F76DB"/>
    <w:rsid w:val="00A21B84"/>
    <w:rsid w:val="00A32C3B"/>
    <w:rsid w:val="00A45F4F"/>
    <w:rsid w:val="00A50CAC"/>
    <w:rsid w:val="00A51F1B"/>
    <w:rsid w:val="00A52EE3"/>
    <w:rsid w:val="00A600A9"/>
    <w:rsid w:val="00A645B7"/>
    <w:rsid w:val="00A647B2"/>
    <w:rsid w:val="00A66117"/>
    <w:rsid w:val="00A91FF3"/>
    <w:rsid w:val="00AA2F95"/>
    <w:rsid w:val="00AA55B7"/>
    <w:rsid w:val="00AA5B9E"/>
    <w:rsid w:val="00AA6527"/>
    <w:rsid w:val="00AB2407"/>
    <w:rsid w:val="00AB40AC"/>
    <w:rsid w:val="00AB53DF"/>
    <w:rsid w:val="00AB598E"/>
    <w:rsid w:val="00AB5A19"/>
    <w:rsid w:val="00AB5A89"/>
    <w:rsid w:val="00AD3031"/>
    <w:rsid w:val="00AD451B"/>
    <w:rsid w:val="00AD70D1"/>
    <w:rsid w:val="00AE01FA"/>
    <w:rsid w:val="00AE1BFA"/>
    <w:rsid w:val="00AE4BEE"/>
    <w:rsid w:val="00AF453A"/>
    <w:rsid w:val="00AF7DA8"/>
    <w:rsid w:val="00B076EE"/>
    <w:rsid w:val="00B07E5C"/>
    <w:rsid w:val="00B17C04"/>
    <w:rsid w:val="00B20D96"/>
    <w:rsid w:val="00B222C2"/>
    <w:rsid w:val="00B32248"/>
    <w:rsid w:val="00B35C5C"/>
    <w:rsid w:val="00B36323"/>
    <w:rsid w:val="00B43DDB"/>
    <w:rsid w:val="00B50F87"/>
    <w:rsid w:val="00B51C4E"/>
    <w:rsid w:val="00B53533"/>
    <w:rsid w:val="00B57B05"/>
    <w:rsid w:val="00B70C60"/>
    <w:rsid w:val="00B7135E"/>
    <w:rsid w:val="00B729FF"/>
    <w:rsid w:val="00B811F7"/>
    <w:rsid w:val="00B83080"/>
    <w:rsid w:val="00B91A68"/>
    <w:rsid w:val="00B9372C"/>
    <w:rsid w:val="00B95D9E"/>
    <w:rsid w:val="00BA002B"/>
    <w:rsid w:val="00BA2F37"/>
    <w:rsid w:val="00BA5DC6"/>
    <w:rsid w:val="00BA6196"/>
    <w:rsid w:val="00BB07CF"/>
    <w:rsid w:val="00BB1837"/>
    <w:rsid w:val="00BB3DCF"/>
    <w:rsid w:val="00BC6D8C"/>
    <w:rsid w:val="00BE7805"/>
    <w:rsid w:val="00BF1B52"/>
    <w:rsid w:val="00BF333C"/>
    <w:rsid w:val="00C021AF"/>
    <w:rsid w:val="00C1556D"/>
    <w:rsid w:val="00C266C9"/>
    <w:rsid w:val="00C34006"/>
    <w:rsid w:val="00C36B4C"/>
    <w:rsid w:val="00C41618"/>
    <w:rsid w:val="00C426B1"/>
    <w:rsid w:val="00C42E34"/>
    <w:rsid w:val="00C50F6F"/>
    <w:rsid w:val="00C616B7"/>
    <w:rsid w:val="00C66160"/>
    <w:rsid w:val="00C721AC"/>
    <w:rsid w:val="00C742BD"/>
    <w:rsid w:val="00C90D6A"/>
    <w:rsid w:val="00C9765D"/>
    <w:rsid w:val="00CA247E"/>
    <w:rsid w:val="00CA6D21"/>
    <w:rsid w:val="00CB725D"/>
    <w:rsid w:val="00CC3451"/>
    <w:rsid w:val="00CC4C32"/>
    <w:rsid w:val="00CC5A33"/>
    <w:rsid w:val="00CC72B6"/>
    <w:rsid w:val="00CD40EC"/>
    <w:rsid w:val="00CF643B"/>
    <w:rsid w:val="00D0218D"/>
    <w:rsid w:val="00D10921"/>
    <w:rsid w:val="00D1493A"/>
    <w:rsid w:val="00D1542D"/>
    <w:rsid w:val="00D25FB5"/>
    <w:rsid w:val="00D44223"/>
    <w:rsid w:val="00D57EC8"/>
    <w:rsid w:val="00D6147A"/>
    <w:rsid w:val="00D62E4B"/>
    <w:rsid w:val="00D75798"/>
    <w:rsid w:val="00D763AC"/>
    <w:rsid w:val="00D93FDD"/>
    <w:rsid w:val="00D95210"/>
    <w:rsid w:val="00DA1309"/>
    <w:rsid w:val="00DA2529"/>
    <w:rsid w:val="00DB130A"/>
    <w:rsid w:val="00DB2EBB"/>
    <w:rsid w:val="00DB4264"/>
    <w:rsid w:val="00DC10A1"/>
    <w:rsid w:val="00DC655F"/>
    <w:rsid w:val="00DD0B59"/>
    <w:rsid w:val="00DD254F"/>
    <w:rsid w:val="00DD3C3E"/>
    <w:rsid w:val="00DD7EBD"/>
    <w:rsid w:val="00DE6716"/>
    <w:rsid w:val="00DF22E6"/>
    <w:rsid w:val="00DF46D9"/>
    <w:rsid w:val="00DF62B6"/>
    <w:rsid w:val="00E01E7C"/>
    <w:rsid w:val="00E04374"/>
    <w:rsid w:val="00E07225"/>
    <w:rsid w:val="00E1233F"/>
    <w:rsid w:val="00E358B8"/>
    <w:rsid w:val="00E36EEC"/>
    <w:rsid w:val="00E37445"/>
    <w:rsid w:val="00E45206"/>
    <w:rsid w:val="00E4724E"/>
    <w:rsid w:val="00E51DBC"/>
    <w:rsid w:val="00E5409F"/>
    <w:rsid w:val="00E570EE"/>
    <w:rsid w:val="00E65773"/>
    <w:rsid w:val="00E6705E"/>
    <w:rsid w:val="00E70DE6"/>
    <w:rsid w:val="00E72643"/>
    <w:rsid w:val="00E74599"/>
    <w:rsid w:val="00E803E6"/>
    <w:rsid w:val="00E93134"/>
    <w:rsid w:val="00E94A0B"/>
    <w:rsid w:val="00E94DAE"/>
    <w:rsid w:val="00EA6DB2"/>
    <w:rsid w:val="00EA7B50"/>
    <w:rsid w:val="00EA7D70"/>
    <w:rsid w:val="00ED0AB9"/>
    <w:rsid w:val="00ED2A7F"/>
    <w:rsid w:val="00EE4F9E"/>
    <w:rsid w:val="00EE6488"/>
    <w:rsid w:val="00EE6873"/>
    <w:rsid w:val="00EF0DD9"/>
    <w:rsid w:val="00F021FA"/>
    <w:rsid w:val="00F05D87"/>
    <w:rsid w:val="00F20A21"/>
    <w:rsid w:val="00F2796C"/>
    <w:rsid w:val="00F3636D"/>
    <w:rsid w:val="00F45A20"/>
    <w:rsid w:val="00F520BD"/>
    <w:rsid w:val="00F62E97"/>
    <w:rsid w:val="00F64209"/>
    <w:rsid w:val="00F754D0"/>
    <w:rsid w:val="00F83F47"/>
    <w:rsid w:val="00F85119"/>
    <w:rsid w:val="00F86211"/>
    <w:rsid w:val="00F9148E"/>
    <w:rsid w:val="00F93BF5"/>
    <w:rsid w:val="00FB0218"/>
    <w:rsid w:val="00FB150B"/>
    <w:rsid w:val="00FC4338"/>
    <w:rsid w:val="00FC64B2"/>
    <w:rsid w:val="00FD68E9"/>
    <w:rsid w:val="00FE769F"/>
    <w:rsid w:val="00FF4034"/>
    <w:rsid w:val="00FF507E"/>
    <w:rsid w:val="00FF62C6"/>
    <w:rsid w:val="3F0500F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CFA2479"/>
  <w15:chartTrackingRefBased/>
  <w15:docId w15:val="{10BDED5D-1EF4-4D9F-9F7D-607421FF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A130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1">
    <w:name w:val="ParaNum Char1"/>
    <w:link w:val="ParaNum"/>
    <w:locked/>
    <w:rsid w:val="002058BF"/>
    <w:rPr>
      <w:snapToGrid w:val="0"/>
      <w:kern w:val="28"/>
      <w:sz w:val="22"/>
    </w:rPr>
  </w:style>
  <w:style w:type="paragraph" w:customStyle="1" w:styleId="ParaNumChar">
    <w:name w:val="ParaNum Char"/>
    <w:basedOn w:val="Normal"/>
    <w:rsid w:val="002058BF"/>
    <w:pPr>
      <w:tabs>
        <w:tab w:val="num" w:pos="1080"/>
      </w:tabs>
      <w:spacing w:after="220"/>
      <w:ind w:firstLine="720"/>
    </w:pPr>
  </w:style>
  <w:style w:type="character" w:styleId="CommentReference">
    <w:name w:val="annotation reference"/>
    <w:rsid w:val="008666D0"/>
    <w:rPr>
      <w:sz w:val="16"/>
      <w:szCs w:val="16"/>
    </w:rPr>
  </w:style>
  <w:style w:type="paragraph" w:styleId="CommentText">
    <w:name w:val="annotation text"/>
    <w:basedOn w:val="Normal"/>
    <w:link w:val="CommentTextChar"/>
    <w:rsid w:val="008666D0"/>
    <w:rPr>
      <w:sz w:val="20"/>
    </w:rPr>
  </w:style>
  <w:style w:type="character" w:customStyle="1" w:styleId="CommentTextChar">
    <w:name w:val="Comment Text Char"/>
    <w:link w:val="CommentText"/>
    <w:rsid w:val="008666D0"/>
    <w:rPr>
      <w:snapToGrid w:val="0"/>
      <w:kern w:val="28"/>
    </w:rPr>
  </w:style>
  <w:style w:type="paragraph" w:styleId="CommentSubject">
    <w:name w:val="annotation subject"/>
    <w:basedOn w:val="CommentText"/>
    <w:next w:val="CommentText"/>
    <w:link w:val="CommentSubjectChar"/>
    <w:rsid w:val="008666D0"/>
    <w:rPr>
      <w:b/>
      <w:bCs/>
    </w:rPr>
  </w:style>
  <w:style w:type="character" w:customStyle="1" w:styleId="CommentSubjectChar">
    <w:name w:val="Comment Subject Char"/>
    <w:link w:val="CommentSubject"/>
    <w:rsid w:val="008666D0"/>
    <w:rPr>
      <w:b/>
      <w:bCs/>
      <w:snapToGrid w:val="0"/>
      <w:kern w:val="28"/>
    </w:rPr>
  </w:style>
  <w:style w:type="paragraph" w:styleId="BalloonText">
    <w:name w:val="Balloon Text"/>
    <w:basedOn w:val="Normal"/>
    <w:link w:val="BalloonTextChar"/>
    <w:rsid w:val="008666D0"/>
    <w:rPr>
      <w:rFonts w:ascii="Segoe UI" w:hAnsi="Segoe UI" w:cs="Segoe UI"/>
      <w:sz w:val="18"/>
      <w:szCs w:val="18"/>
    </w:rPr>
  </w:style>
  <w:style w:type="character" w:customStyle="1" w:styleId="BalloonTextChar">
    <w:name w:val="Balloon Text Char"/>
    <w:link w:val="BalloonText"/>
    <w:rsid w:val="008666D0"/>
    <w:rPr>
      <w:rFonts w:ascii="Segoe UI" w:hAnsi="Segoe UI" w:cs="Segoe UI"/>
      <w:snapToGrid w:val="0"/>
      <w:kern w:val="28"/>
      <w:sz w:val="18"/>
      <w:szCs w:val="18"/>
    </w:rPr>
  </w:style>
  <w:style w:type="paragraph" w:styleId="Revision">
    <w:name w:val="Revision"/>
    <w:hidden/>
    <w:uiPriority w:val="99"/>
    <w:semiHidden/>
    <w:rsid w:val="00452AB8"/>
    <w:rPr>
      <w:snapToGrid w:val="0"/>
      <w:kern w:val="28"/>
      <w:sz w:val="22"/>
    </w:rPr>
  </w:style>
  <w:style w:type="paragraph" w:styleId="ListParagraph">
    <w:name w:val="List Paragraph"/>
    <w:basedOn w:val="Normal"/>
    <w:uiPriority w:val="34"/>
    <w:qFormat/>
    <w:rsid w:val="00077F21"/>
    <w:pPr>
      <w:ind w:left="720"/>
      <w:contextualSpacing/>
    </w:pPr>
  </w:style>
  <w:style w:type="character" w:styleId="Mention">
    <w:name w:val="Mention"/>
    <w:basedOn w:val="DefaultParagraphFont"/>
    <w:rsid w:val="005440F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