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124AE" w:rsidRPr="00C8485B" w:rsidP="00C8485B" w14:paraId="4B1E4360" w14:textId="77777777">
      <w:pPr>
        <w:pStyle w:val="StyleBoldCentered"/>
        <w:rPr>
          <w:caps w:val="0"/>
        </w:rPr>
      </w:pPr>
      <w:r w:rsidRPr="00C8485B">
        <w:rPr>
          <w:rFonts w:ascii="Times New Roman" w:hAnsi="Times New Roman"/>
          <w:caps w:val="0"/>
        </w:rPr>
        <w:t>Before</w:t>
      </w:r>
      <w:r w:rsidRPr="00A632C9">
        <w:t xml:space="preserve"> </w:t>
      </w:r>
      <w:r w:rsidRPr="00C8485B">
        <w:rPr>
          <w:caps w:val="0"/>
        </w:rPr>
        <w:t>the</w:t>
      </w:r>
    </w:p>
    <w:p w:rsidR="006124AE" w:rsidRPr="00A632C9" w:rsidP="006124AE" w14:paraId="630B9044" w14:textId="77777777">
      <w:pPr>
        <w:pStyle w:val="StyleBoldCentered"/>
        <w:rPr>
          <w:rFonts w:ascii="Times New Roman" w:hAnsi="Times New Roman"/>
        </w:rPr>
      </w:pPr>
      <w:r w:rsidRPr="00A632C9">
        <w:rPr>
          <w:rFonts w:ascii="Times New Roman" w:hAnsi="Times New Roman"/>
        </w:rPr>
        <w:t>F</w:t>
      </w:r>
      <w:r w:rsidRPr="00A632C9">
        <w:rPr>
          <w:rFonts w:ascii="Times New Roman" w:hAnsi="Times New Roman"/>
          <w:caps w:val="0"/>
        </w:rPr>
        <w:t>ederal Communications Commission</w:t>
      </w:r>
    </w:p>
    <w:p w:rsidR="006124AE" w:rsidRPr="00A632C9" w:rsidP="006124AE" w14:paraId="4DAA6B1A" w14:textId="77777777">
      <w:pPr>
        <w:pStyle w:val="StyleBoldCentered"/>
        <w:rPr>
          <w:rFonts w:ascii="Times New Roman" w:hAnsi="Times New Roman"/>
        </w:rPr>
      </w:pPr>
      <w:r w:rsidRPr="00A632C9">
        <w:rPr>
          <w:rFonts w:ascii="Times New Roman" w:hAnsi="Times New Roman"/>
          <w:caps w:val="0"/>
        </w:rPr>
        <w:t>Washington, DC 20554</w:t>
      </w:r>
    </w:p>
    <w:p w:rsidR="006124AE" w:rsidRPr="00A632C9" w:rsidP="006124AE" w14:paraId="1DDB9B97" w14:textId="77777777">
      <w:pPr>
        <w:rPr>
          <w:szCs w:val="22"/>
        </w:rPr>
      </w:pPr>
    </w:p>
    <w:tbl>
      <w:tblPr>
        <w:tblW w:w="9576" w:type="dxa"/>
        <w:tblLayout w:type="fixed"/>
        <w:tblLook w:val="0000"/>
      </w:tblPr>
      <w:tblGrid>
        <w:gridCol w:w="4698"/>
        <w:gridCol w:w="630"/>
        <w:gridCol w:w="4248"/>
      </w:tblGrid>
      <w:tr w14:paraId="5B259135" w14:textId="77777777" w:rsidTr="00431516">
        <w:tblPrEx>
          <w:tblW w:w="9576" w:type="dxa"/>
          <w:tblLayout w:type="fixed"/>
          <w:tblLook w:val="0000"/>
        </w:tblPrEx>
        <w:tc>
          <w:tcPr>
            <w:tcW w:w="4698" w:type="dxa"/>
          </w:tcPr>
          <w:p w:rsidR="007F5CD6" w:rsidRPr="00876822" w:rsidP="007F5CD6" w14:paraId="13F921F3" w14:textId="77777777">
            <w:pPr>
              <w:tabs>
                <w:tab w:val="center" w:pos="4680"/>
              </w:tabs>
              <w:suppressAutoHyphens/>
              <w:rPr>
                <w:spacing w:val="-2"/>
                <w:szCs w:val="22"/>
              </w:rPr>
            </w:pPr>
            <w:r w:rsidRPr="00876822">
              <w:rPr>
                <w:spacing w:val="-2"/>
                <w:szCs w:val="22"/>
              </w:rPr>
              <w:t>In the Matter of</w:t>
            </w:r>
          </w:p>
          <w:p w:rsidR="007F5CD6" w:rsidRPr="00876822" w:rsidP="007F5CD6" w14:paraId="57981ECC" w14:textId="77777777">
            <w:pPr>
              <w:tabs>
                <w:tab w:val="center" w:pos="4680"/>
              </w:tabs>
              <w:suppressAutoHyphens/>
              <w:rPr>
                <w:spacing w:val="-2"/>
                <w:szCs w:val="22"/>
              </w:rPr>
            </w:pPr>
          </w:p>
          <w:p w:rsidR="007F5CD6" w:rsidRPr="00876822" w:rsidP="007F5CD6" w14:paraId="01E268CE" w14:textId="77777777">
            <w:pPr>
              <w:tabs>
                <w:tab w:val="center" w:pos="4680"/>
              </w:tabs>
              <w:suppressAutoHyphens/>
              <w:rPr>
                <w:spacing w:val="-2"/>
                <w:szCs w:val="22"/>
              </w:rPr>
            </w:pPr>
            <w:r w:rsidRPr="00876822">
              <w:rPr>
                <w:spacing w:val="-2"/>
                <w:szCs w:val="22"/>
              </w:rPr>
              <w:t>Resilient Networks</w:t>
            </w:r>
          </w:p>
          <w:p w:rsidR="007F5CD6" w:rsidRPr="00876822" w:rsidP="007F5CD6" w14:paraId="65DB6181" w14:textId="77777777">
            <w:pPr>
              <w:tabs>
                <w:tab w:val="center" w:pos="4680"/>
              </w:tabs>
              <w:suppressAutoHyphens/>
              <w:rPr>
                <w:spacing w:val="-2"/>
                <w:szCs w:val="22"/>
              </w:rPr>
            </w:pPr>
          </w:p>
          <w:p w:rsidR="007F5CD6" w:rsidRPr="00876822" w:rsidP="007F5CD6" w14:paraId="2C387453" w14:textId="77777777">
            <w:pPr>
              <w:tabs>
                <w:tab w:val="left" w:pos="1062"/>
                <w:tab w:val="center" w:pos="4680"/>
              </w:tabs>
              <w:suppressAutoHyphens/>
              <w:rPr>
                <w:spacing w:val="-2"/>
                <w:szCs w:val="22"/>
              </w:rPr>
            </w:pPr>
            <w:bookmarkStart w:id="0" w:name="_Hlk100085545"/>
            <w:r w:rsidRPr="00876822">
              <w:rPr>
                <w:spacing w:val="-2"/>
                <w:szCs w:val="22"/>
              </w:rPr>
              <w:t>Amendments to Part 4 of the Commission’s Rules Concerning Disruptions to Communications</w:t>
            </w:r>
          </w:p>
          <w:p w:rsidR="007F5CD6" w:rsidRPr="00876822" w:rsidP="007F5CD6" w14:paraId="0CD35232" w14:textId="77777777">
            <w:pPr>
              <w:tabs>
                <w:tab w:val="center" w:pos="4680"/>
              </w:tabs>
              <w:suppressAutoHyphens/>
              <w:rPr>
                <w:spacing w:val="-2"/>
                <w:szCs w:val="22"/>
              </w:rPr>
            </w:pPr>
          </w:p>
          <w:p w:rsidR="007F5CD6" w:rsidRPr="00876822" w:rsidP="007F5CD6" w14:paraId="22050AED" w14:textId="77777777">
            <w:pPr>
              <w:tabs>
                <w:tab w:val="left" w:pos="1062"/>
                <w:tab w:val="center" w:pos="4680"/>
              </w:tabs>
              <w:suppressAutoHyphens/>
              <w:rPr>
                <w:spacing w:val="-2"/>
                <w:szCs w:val="22"/>
              </w:rPr>
            </w:pPr>
            <w:r w:rsidRPr="00876822">
              <w:rPr>
                <w:spacing w:val="-2"/>
                <w:szCs w:val="22"/>
              </w:rPr>
              <w:t>New Part 4 of the Commission’s Rules Concerning Disruptions to Communications</w:t>
            </w:r>
          </w:p>
          <w:bookmarkEnd w:id="0"/>
          <w:p w:rsidR="007F5CD6" w:rsidRPr="00A632C9" w:rsidP="007F5CD6" w14:paraId="1FE2C7D1" w14:textId="38CFB901">
            <w:pPr>
              <w:tabs>
                <w:tab w:val="center" w:pos="4680"/>
              </w:tabs>
              <w:suppressAutoHyphens/>
              <w:rPr>
                <w:spacing w:val="-2"/>
                <w:szCs w:val="22"/>
              </w:rPr>
            </w:pPr>
          </w:p>
        </w:tc>
        <w:tc>
          <w:tcPr>
            <w:tcW w:w="630" w:type="dxa"/>
          </w:tcPr>
          <w:p w:rsidR="007F5CD6" w:rsidRPr="00876822" w:rsidP="007F5CD6" w14:paraId="0CFE9657" w14:textId="77777777">
            <w:pPr>
              <w:tabs>
                <w:tab w:val="center" w:pos="4680"/>
              </w:tabs>
              <w:suppressAutoHyphens/>
              <w:rPr>
                <w:b/>
                <w:spacing w:val="-2"/>
                <w:szCs w:val="22"/>
              </w:rPr>
            </w:pPr>
            <w:r w:rsidRPr="00876822">
              <w:rPr>
                <w:b/>
                <w:spacing w:val="-2"/>
                <w:szCs w:val="22"/>
              </w:rPr>
              <w:t>)</w:t>
            </w:r>
          </w:p>
          <w:p w:rsidR="007F5CD6" w:rsidRPr="00876822" w:rsidP="007F5CD6" w14:paraId="1DDA2F2C" w14:textId="77777777">
            <w:pPr>
              <w:tabs>
                <w:tab w:val="center" w:pos="4680"/>
              </w:tabs>
              <w:suppressAutoHyphens/>
              <w:rPr>
                <w:b/>
                <w:spacing w:val="-2"/>
                <w:szCs w:val="22"/>
              </w:rPr>
            </w:pPr>
            <w:r w:rsidRPr="00876822">
              <w:rPr>
                <w:b/>
                <w:spacing w:val="-2"/>
                <w:szCs w:val="22"/>
              </w:rPr>
              <w:t>)</w:t>
            </w:r>
          </w:p>
          <w:p w:rsidR="007F5CD6" w:rsidRPr="00876822" w:rsidP="007F5CD6" w14:paraId="56505ADD" w14:textId="77777777">
            <w:pPr>
              <w:tabs>
                <w:tab w:val="center" w:pos="4680"/>
              </w:tabs>
              <w:suppressAutoHyphens/>
              <w:rPr>
                <w:b/>
                <w:spacing w:val="-2"/>
                <w:szCs w:val="22"/>
              </w:rPr>
            </w:pPr>
            <w:r w:rsidRPr="00876822">
              <w:rPr>
                <w:b/>
                <w:spacing w:val="-2"/>
                <w:szCs w:val="22"/>
              </w:rPr>
              <w:t>)</w:t>
            </w:r>
          </w:p>
          <w:p w:rsidR="007F5CD6" w:rsidRPr="00876822" w:rsidP="007F5CD6" w14:paraId="63BAACBF" w14:textId="77777777">
            <w:pPr>
              <w:tabs>
                <w:tab w:val="center" w:pos="4680"/>
              </w:tabs>
              <w:suppressAutoHyphens/>
              <w:rPr>
                <w:b/>
                <w:spacing w:val="-2"/>
                <w:szCs w:val="22"/>
              </w:rPr>
            </w:pPr>
            <w:r w:rsidRPr="00876822">
              <w:rPr>
                <w:b/>
                <w:spacing w:val="-2"/>
                <w:szCs w:val="22"/>
              </w:rPr>
              <w:t>)</w:t>
            </w:r>
          </w:p>
          <w:p w:rsidR="007F5CD6" w:rsidRPr="00876822" w:rsidP="007F5CD6" w14:paraId="0B81FAC6" w14:textId="77777777">
            <w:pPr>
              <w:tabs>
                <w:tab w:val="center" w:pos="4680"/>
              </w:tabs>
              <w:suppressAutoHyphens/>
              <w:rPr>
                <w:b/>
                <w:spacing w:val="-2"/>
                <w:szCs w:val="22"/>
              </w:rPr>
            </w:pPr>
            <w:r w:rsidRPr="00876822">
              <w:rPr>
                <w:b/>
                <w:spacing w:val="-2"/>
                <w:szCs w:val="22"/>
              </w:rPr>
              <w:t>)</w:t>
            </w:r>
          </w:p>
          <w:p w:rsidR="007F5CD6" w:rsidRPr="00876822" w:rsidP="007F5CD6" w14:paraId="147E3A2D" w14:textId="77777777">
            <w:pPr>
              <w:tabs>
                <w:tab w:val="center" w:pos="4680"/>
              </w:tabs>
              <w:suppressAutoHyphens/>
              <w:rPr>
                <w:b/>
                <w:spacing w:val="-2"/>
                <w:szCs w:val="22"/>
              </w:rPr>
            </w:pPr>
            <w:r w:rsidRPr="00876822">
              <w:rPr>
                <w:b/>
                <w:spacing w:val="-2"/>
                <w:szCs w:val="22"/>
              </w:rPr>
              <w:t>)</w:t>
            </w:r>
          </w:p>
          <w:p w:rsidR="007F5CD6" w:rsidRPr="00876822" w:rsidP="007F5CD6" w14:paraId="498A8552" w14:textId="77777777">
            <w:pPr>
              <w:tabs>
                <w:tab w:val="center" w:pos="4680"/>
              </w:tabs>
              <w:suppressAutoHyphens/>
              <w:rPr>
                <w:b/>
                <w:spacing w:val="-2"/>
                <w:szCs w:val="22"/>
              </w:rPr>
            </w:pPr>
            <w:r w:rsidRPr="00876822">
              <w:rPr>
                <w:b/>
                <w:spacing w:val="-2"/>
                <w:szCs w:val="22"/>
              </w:rPr>
              <w:t>)</w:t>
            </w:r>
          </w:p>
          <w:p w:rsidR="007F5CD6" w:rsidRPr="00876822" w:rsidP="007F5CD6" w14:paraId="622984BC" w14:textId="77777777">
            <w:pPr>
              <w:tabs>
                <w:tab w:val="center" w:pos="4680"/>
              </w:tabs>
              <w:suppressAutoHyphens/>
              <w:rPr>
                <w:b/>
                <w:spacing w:val="-2"/>
                <w:szCs w:val="22"/>
              </w:rPr>
            </w:pPr>
            <w:r w:rsidRPr="00876822">
              <w:rPr>
                <w:b/>
                <w:spacing w:val="-2"/>
                <w:szCs w:val="22"/>
              </w:rPr>
              <w:t>)</w:t>
            </w:r>
          </w:p>
          <w:p w:rsidR="007F5CD6" w:rsidRPr="00876822" w:rsidP="007F5CD6" w14:paraId="6DD61A5A" w14:textId="77777777">
            <w:pPr>
              <w:tabs>
                <w:tab w:val="center" w:pos="4680"/>
              </w:tabs>
              <w:suppressAutoHyphens/>
              <w:rPr>
                <w:b/>
                <w:spacing w:val="-2"/>
                <w:szCs w:val="22"/>
              </w:rPr>
            </w:pPr>
            <w:r w:rsidRPr="00876822">
              <w:rPr>
                <w:b/>
                <w:spacing w:val="-2"/>
                <w:szCs w:val="22"/>
              </w:rPr>
              <w:t>)</w:t>
            </w:r>
          </w:p>
          <w:p w:rsidR="007F5CD6" w:rsidRPr="00A632C9" w:rsidP="007F5CD6" w14:paraId="41932F51" w14:textId="3680F9DE">
            <w:pPr>
              <w:tabs>
                <w:tab w:val="center" w:pos="4680"/>
              </w:tabs>
              <w:suppressAutoHyphens/>
              <w:rPr>
                <w:spacing w:val="-2"/>
                <w:szCs w:val="22"/>
              </w:rPr>
            </w:pPr>
          </w:p>
        </w:tc>
        <w:tc>
          <w:tcPr>
            <w:tcW w:w="4248" w:type="dxa"/>
          </w:tcPr>
          <w:p w:rsidR="007F5CD6" w:rsidRPr="00876822" w:rsidP="007F5CD6" w14:paraId="49BDEAC7" w14:textId="77777777">
            <w:pPr>
              <w:tabs>
                <w:tab w:val="center" w:pos="4680"/>
              </w:tabs>
              <w:suppressAutoHyphens/>
              <w:rPr>
                <w:spacing w:val="-2"/>
                <w:szCs w:val="22"/>
              </w:rPr>
            </w:pPr>
          </w:p>
          <w:p w:rsidR="007F5CD6" w:rsidRPr="00876822" w:rsidP="007F5CD6" w14:paraId="15E4A658" w14:textId="77777777">
            <w:pPr>
              <w:pStyle w:val="TOAHeading"/>
              <w:tabs>
                <w:tab w:val="center" w:pos="4680"/>
                <w:tab w:val="clear" w:pos="9360"/>
              </w:tabs>
              <w:rPr>
                <w:spacing w:val="-2"/>
                <w:szCs w:val="22"/>
              </w:rPr>
            </w:pPr>
          </w:p>
          <w:p w:rsidR="007F5CD6" w:rsidRPr="00876822" w:rsidP="007F5CD6" w14:paraId="7FCE2D78" w14:textId="77777777">
            <w:pPr>
              <w:tabs>
                <w:tab w:val="center" w:pos="4680"/>
              </w:tabs>
              <w:suppressAutoHyphens/>
              <w:rPr>
                <w:szCs w:val="22"/>
              </w:rPr>
            </w:pPr>
            <w:bookmarkStart w:id="1" w:name="_Hlk100085593"/>
            <w:r w:rsidRPr="00876822">
              <w:rPr>
                <w:spacing w:val="-2"/>
                <w:szCs w:val="22"/>
              </w:rPr>
              <w:t>PS Docket No. 21-346</w:t>
            </w:r>
          </w:p>
          <w:p w:rsidR="007F5CD6" w:rsidRPr="00876822" w:rsidP="007F5CD6" w14:paraId="23B35AF1" w14:textId="77777777">
            <w:pPr>
              <w:tabs>
                <w:tab w:val="center" w:pos="4680"/>
              </w:tabs>
              <w:suppressAutoHyphens/>
              <w:rPr>
                <w:spacing w:val="-2"/>
                <w:szCs w:val="22"/>
              </w:rPr>
            </w:pPr>
          </w:p>
          <w:p w:rsidR="007F5CD6" w:rsidRPr="00876822" w:rsidP="007F5CD6" w14:paraId="32B49D41" w14:textId="77777777">
            <w:pPr>
              <w:tabs>
                <w:tab w:val="center" w:pos="4680"/>
              </w:tabs>
              <w:suppressAutoHyphens/>
              <w:rPr>
                <w:spacing w:val="-2"/>
                <w:szCs w:val="22"/>
              </w:rPr>
            </w:pPr>
            <w:r w:rsidRPr="00876822">
              <w:rPr>
                <w:spacing w:val="-2"/>
                <w:szCs w:val="22"/>
              </w:rPr>
              <w:t>PS Docket No. 15-80</w:t>
            </w:r>
          </w:p>
          <w:p w:rsidR="007F5CD6" w:rsidRPr="00876822" w:rsidP="007F5CD6" w14:paraId="560187F3" w14:textId="77777777">
            <w:pPr>
              <w:tabs>
                <w:tab w:val="center" w:pos="4680"/>
              </w:tabs>
              <w:suppressAutoHyphens/>
              <w:rPr>
                <w:spacing w:val="-2"/>
                <w:szCs w:val="22"/>
              </w:rPr>
            </w:pPr>
          </w:p>
          <w:p w:rsidR="007F5CD6" w:rsidRPr="00876822" w:rsidP="007F5CD6" w14:paraId="13C95E1B" w14:textId="77777777">
            <w:pPr>
              <w:tabs>
                <w:tab w:val="center" w:pos="4680"/>
              </w:tabs>
              <w:suppressAutoHyphens/>
              <w:rPr>
                <w:spacing w:val="-2"/>
                <w:szCs w:val="22"/>
              </w:rPr>
            </w:pPr>
          </w:p>
          <w:p w:rsidR="007F5CD6" w:rsidRPr="00876822" w:rsidP="007F5CD6" w14:paraId="2F2BE9B5" w14:textId="77777777">
            <w:pPr>
              <w:tabs>
                <w:tab w:val="center" w:pos="4680"/>
              </w:tabs>
              <w:suppressAutoHyphens/>
              <w:rPr>
                <w:spacing w:val="-2"/>
                <w:szCs w:val="22"/>
              </w:rPr>
            </w:pPr>
            <w:r w:rsidRPr="00876822">
              <w:rPr>
                <w:spacing w:val="-2"/>
                <w:szCs w:val="22"/>
              </w:rPr>
              <w:t>ET Docket No. 04-35</w:t>
            </w:r>
          </w:p>
          <w:bookmarkEnd w:id="1"/>
          <w:p w:rsidR="007F5CD6" w:rsidRPr="00A632C9" w:rsidP="007F5CD6" w14:paraId="584145F4" w14:textId="73284D4F">
            <w:pPr>
              <w:tabs>
                <w:tab w:val="left" w:pos="2592"/>
              </w:tabs>
              <w:suppressAutoHyphens/>
              <w:rPr>
                <w:spacing w:val="-2"/>
                <w:szCs w:val="22"/>
              </w:rPr>
            </w:pPr>
          </w:p>
        </w:tc>
      </w:tr>
    </w:tbl>
    <w:p w:rsidR="00510173" w14:paraId="4B4089DA" w14:textId="77777777">
      <w:pPr>
        <w:spacing w:before="120"/>
        <w:jc w:val="center"/>
        <w:rPr>
          <w:b/>
          <w:spacing w:val="-2"/>
        </w:rPr>
      </w:pPr>
      <w:r>
        <w:rPr>
          <w:b/>
          <w:spacing w:val="-2"/>
        </w:rPr>
        <w:t>ERRATUM</w:t>
      </w:r>
    </w:p>
    <w:p w:rsidR="00510173" w14:paraId="05F543BF" w14:textId="77777777">
      <w:pPr>
        <w:tabs>
          <w:tab w:val="left" w:pos="5760"/>
        </w:tabs>
        <w:rPr>
          <w:b/>
        </w:rPr>
      </w:pPr>
    </w:p>
    <w:p w:rsidR="00510173" w14:paraId="2D3497CE" w14:textId="15056F49">
      <w:pPr>
        <w:jc w:val="right"/>
        <w:rPr>
          <w:b/>
        </w:rPr>
      </w:pPr>
      <w:r>
        <w:rPr>
          <w:b/>
        </w:rPr>
        <w:t xml:space="preserve">Released:  </w:t>
      </w:r>
      <w:r w:rsidR="00431516">
        <w:rPr>
          <w:b/>
        </w:rPr>
        <w:t>September</w:t>
      </w:r>
      <w:r w:rsidR="006124AE">
        <w:rPr>
          <w:b/>
        </w:rPr>
        <w:t xml:space="preserve"> </w:t>
      </w:r>
      <w:r w:rsidR="00266FF6">
        <w:rPr>
          <w:b/>
        </w:rPr>
        <w:t>21</w:t>
      </w:r>
      <w:r w:rsidR="006124AE">
        <w:rPr>
          <w:b/>
        </w:rPr>
        <w:t>, 2022</w:t>
      </w:r>
    </w:p>
    <w:p w:rsidR="004160C6" w14:paraId="55B09420" w14:textId="77777777">
      <w:pPr>
        <w:tabs>
          <w:tab w:val="left" w:pos="5760"/>
        </w:tabs>
        <w:rPr>
          <w:b/>
        </w:rPr>
      </w:pPr>
    </w:p>
    <w:p w:rsidR="00510173" w14:paraId="722F64BE" w14:textId="431F3621">
      <w:pPr>
        <w:tabs>
          <w:tab w:val="left" w:pos="5760"/>
        </w:tabs>
      </w:pPr>
      <w:r w:rsidRPr="00602610">
        <w:rPr>
          <w:szCs w:val="22"/>
        </w:rPr>
        <w:t>By the</w:t>
      </w:r>
      <w:r w:rsidR="00643B4D">
        <w:rPr>
          <w:szCs w:val="22"/>
        </w:rPr>
        <w:t xml:space="preserve"> Managing Director and the</w:t>
      </w:r>
      <w:r w:rsidRPr="00602610">
        <w:rPr>
          <w:szCs w:val="22"/>
        </w:rPr>
        <w:t xml:space="preserve"> Chief, Public Safety and Homeland Security</w:t>
      </w:r>
      <w:r w:rsidR="00643B4D">
        <w:rPr>
          <w:szCs w:val="22"/>
        </w:rPr>
        <w:t xml:space="preserve"> Bureau</w:t>
      </w:r>
      <w:r w:rsidRPr="00602610">
        <w:rPr>
          <w:spacing w:val="-2"/>
          <w:szCs w:val="22"/>
        </w:rPr>
        <w:t>:</w:t>
      </w:r>
    </w:p>
    <w:p w:rsidR="00510173" w14:paraId="1F38B40D" w14:textId="77777777"/>
    <w:p w:rsidR="00734BBA" w:rsidP="00734BBA" w14:paraId="5D602745" w14:textId="7BCC67CA">
      <w:pPr>
        <w:pStyle w:val="ParaNum"/>
        <w:numPr>
          <w:ilvl w:val="0"/>
          <w:numId w:val="0"/>
        </w:numPr>
        <w:ind w:firstLine="720"/>
        <w:rPr>
          <w:szCs w:val="22"/>
        </w:rPr>
      </w:pPr>
      <w:r>
        <w:t xml:space="preserve">On </w:t>
      </w:r>
      <w:r w:rsidR="007F5CD6">
        <w:t xml:space="preserve">July </w:t>
      </w:r>
      <w:r w:rsidR="00E8206E">
        <w:t>6</w:t>
      </w:r>
      <w:r w:rsidR="00431516">
        <w:t xml:space="preserve">, </w:t>
      </w:r>
      <w:r w:rsidR="006124AE">
        <w:t>2022</w:t>
      </w:r>
      <w:r w:rsidR="009A48DA">
        <w:t xml:space="preserve">, </w:t>
      </w:r>
      <w:r w:rsidR="00565746">
        <w:t xml:space="preserve">the </w:t>
      </w:r>
      <w:r w:rsidR="00E8206E">
        <w:t>Commission</w:t>
      </w:r>
      <w:r w:rsidR="00431516">
        <w:t xml:space="preserve"> </w:t>
      </w:r>
      <w:r w:rsidR="00565746">
        <w:t xml:space="preserve">released </w:t>
      </w:r>
      <w:r w:rsidR="009A48DA">
        <w:t>a</w:t>
      </w:r>
      <w:r w:rsidR="00431516">
        <w:t xml:space="preserve"> </w:t>
      </w:r>
      <w:r w:rsidR="00643B4D">
        <w:t>Report and Order and Fur</w:t>
      </w:r>
      <w:r w:rsidR="009533A3">
        <w:t>ther Notice of Proposed Rulemaking (</w:t>
      </w:r>
      <w:r w:rsidRPr="00266FF6" w:rsidR="009533A3">
        <w:rPr>
          <w:i/>
          <w:iCs/>
        </w:rPr>
        <w:t>R&amp;O</w:t>
      </w:r>
      <w:r w:rsidRPr="00266FF6" w:rsidR="00266FF6">
        <w:rPr>
          <w:i/>
          <w:iCs/>
        </w:rPr>
        <w:t xml:space="preserve"> and FNPRM</w:t>
      </w:r>
      <w:r w:rsidR="009533A3">
        <w:t>)</w:t>
      </w:r>
      <w:r w:rsidR="009D116E">
        <w:t xml:space="preserve">, </w:t>
      </w:r>
      <w:r w:rsidR="00E8206E">
        <w:t>FCC 22-50</w:t>
      </w:r>
      <w:r w:rsidRPr="00F25961" w:rsidR="004160C6">
        <w:rPr>
          <w:szCs w:val="22"/>
        </w:rPr>
        <w:t>,</w:t>
      </w:r>
      <w:r w:rsidRPr="00F25961" w:rsidR="009A48DA">
        <w:rPr>
          <w:szCs w:val="22"/>
        </w:rPr>
        <w:t xml:space="preserve"> </w:t>
      </w:r>
      <w:r w:rsidRPr="00F25961">
        <w:rPr>
          <w:szCs w:val="22"/>
        </w:rPr>
        <w:t>in the above captioned proceeding.</w:t>
      </w:r>
      <w:r w:rsidRPr="00F25961" w:rsidR="009A48DA">
        <w:rPr>
          <w:szCs w:val="22"/>
        </w:rPr>
        <w:t xml:space="preserve">  </w:t>
      </w:r>
      <w:r w:rsidRPr="009533A3" w:rsidR="009533A3">
        <w:rPr>
          <w:szCs w:val="22"/>
        </w:rPr>
        <w:t xml:space="preserve">To conform to the publishing conventions of the National Archives and Records Administration’s Office of the Federal Register, this Erratum </w:t>
      </w:r>
      <w:r w:rsidR="00266FF6">
        <w:rPr>
          <w:szCs w:val="22"/>
        </w:rPr>
        <w:t>replace</w:t>
      </w:r>
      <w:r w:rsidRPr="009533A3" w:rsidR="009533A3">
        <w:rPr>
          <w:szCs w:val="22"/>
        </w:rPr>
        <w:t xml:space="preserve">s </w:t>
      </w:r>
      <w:r w:rsidRPr="00266FF6" w:rsidR="009533A3">
        <w:rPr>
          <w:b/>
          <w:bCs/>
          <w:szCs w:val="22"/>
        </w:rPr>
        <w:t>Appendix A</w:t>
      </w:r>
      <w:r w:rsidRPr="009533A3" w:rsidR="009533A3">
        <w:rPr>
          <w:szCs w:val="22"/>
        </w:rPr>
        <w:t xml:space="preserve"> of the </w:t>
      </w:r>
      <w:r w:rsidRPr="00715FCF" w:rsidR="009533A3">
        <w:rPr>
          <w:i/>
          <w:iCs/>
          <w:szCs w:val="22"/>
        </w:rPr>
        <w:t>R&amp;O</w:t>
      </w:r>
      <w:r w:rsidRPr="00715FCF" w:rsidR="00715FCF">
        <w:rPr>
          <w:i/>
          <w:iCs/>
        </w:rPr>
        <w:t xml:space="preserve"> </w:t>
      </w:r>
      <w:r w:rsidRPr="00266FF6" w:rsidR="00715FCF">
        <w:rPr>
          <w:i/>
          <w:iCs/>
        </w:rPr>
        <w:t>and FNPRM</w:t>
      </w:r>
      <w:r w:rsidRPr="009533A3" w:rsidR="009533A3">
        <w:rPr>
          <w:szCs w:val="22"/>
        </w:rPr>
        <w:t xml:space="preserve"> </w:t>
      </w:r>
      <w:r w:rsidR="00266FF6">
        <w:rPr>
          <w:szCs w:val="22"/>
        </w:rPr>
        <w:t>in its entirety</w:t>
      </w:r>
      <w:r w:rsidR="00345E73">
        <w:rPr>
          <w:szCs w:val="22"/>
        </w:rPr>
        <w:t>.</w:t>
      </w:r>
      <w:r w:rsidR="00266FF6">
        <w:rPr>
          <w:szCs w:val="22"/>
        </w:rPr>
        <w:t xml:space="preserve">  See new </w:t>
      </w:r>
      <w:r w:rsidRPr="00266FF6" w:rsidR="00266FF6">
        <w:rPr>
          <w:b/>
          <w:bCs/>
          <w:szCs w:val="22"/>
        </w:rPr>
        <w:t>Appendix A</w:t>
      </w:r>
      <w:r w:rsidR="00266FF6">
        <w:rPr>
          <w:szCs w:val="22"/>
        </w:rPr>
        <w:t xml:space="preserve"> attached.</w:t>
      </w:r>
    </w:p>
    <w:p w:rsidR="00266FF6" w:rsidP="00266FF6" w14:paraId="6FDA8916" w14:textId="77777777"/>
    <w:p w:rsidR="00266FF6" w:rsidP="00266FF6" w14:paraId="266A9DD6" w14:textId="68571557">
      <w:r>
        <w:tab/>
      </w:r>
      <w:r>
        <w:tab/>
      </w:r>
      <w:r>
        <w:tab/>
      </w:r>
      <w:r>
        <w:tab/>
      </w:r>
      <w:r>
        <w:tab/>
      </w:r>
      <w:r>
        <w:tab/>
        <w:t>FEDERAL COMMUNICATIONS COMMISSION</w:t>
      </w:r>
    </w:p>
    <w:p w:rsidR="00266FF6" w:rsidRPr="00602610" w:rsidP="00266FF6" w14:paraId="6335F029" w14:textId="77777777">
      <w:pPr>
        <w:keepNext/>
        <w:widowControl/>
      </w:pPr>
    </w:p>
    <w:p w:rsidR="00266FF6" w:rsidRPr="00602610" w:rsidP="00266FF6" w14:paraId="274B316F" w14:textId="77777777">
      <w:pPr>
        <w:keepNext/>
        <w:widowControl/>
      </w:pPr>
    </w:p>
    <w:p w:rsidR="00266FF6" w:rsidRPr="00602610" w:rsidP="00266FF6" w14:paraId="0AB42F51" w14:textId="77777777">
      <w:pPr>
        <w:keepNext/>
        <w:widowControl/>
      </w:pPr>
    </w:p>
    <w:p w:rsidR="00266FF6" w:rsidRPr="00602610" w:rsidP="00266FF6" w14:paraId="3D87EE8C" w14:textId="77777777">
      <w:pPr>
        <w:keepNext/>
        <w:widowControl/>
      </w:pPr>
    </w:p>
    <w:p w:rsidR="00266FF6" w:rsidP="00266FF6" w14:paraId="22D74C93" w14:textId="77777777">
      <w:pPr>
        <w:keepNext/>
        <w:widowControl/>
      </w:pPr>
      <w:r w:rsidRPr="00602610">
        <w:tab/>
      </w:r>
      <w:r w:rsidRPr="00602610">
        <w:tab/>
      </w:r>
      <w:r w:rsidRPr="00602610">
        <w:tab/>
      </w:r>
      <w:r w:rsidRPr="00602610">
        <w:tab/>
      </w:r>
      <w:r w:rsidRPr="00602610">
        <w:tab/>
      </w:r>
      <w:r w:rsidRPr="00602610">
        <w:tab/>
      </w:r>
      <w:r>
        <w:t>Mark Stephens</w:t>
      </w:r>
    </w:p>
    <w:p w:rsidR="00266FF6" w:rsidP="00C8485B" w14:paraId="38A16378" w14:textId="37360611">
      <w:pPr>
        <w:keepNext/>
        <w:widowControl/>
      </w:pPr>
      <w:r>
        <w:tab/>
      </w:r>
      <w:r>
        <w:tab/>
      </w:r>
      <w:r>
        <w:tab/>
      </w:r>
      <w:r>
        <w:tab/>
      </w:r>
      <w:r>
        <w:tab/>
      </w:r>
      <w:r>
        <w:tab/>
      </w:r>
      <w:r>
        <w:t>Managing Director</w:t>
      </w:r>
    </w:p>
    <w:p w:rsidR="00266FF6" w:rsidP="00266FF6" w14:paraId="2271B1AF" w14:textId="77777777">
      <w:pPr>
        <w:keepNext/>
        <w:widowControl/>
      </w:pPr>
    </w:p>
    <w:p w:rsidR="00266FF6" w:rsidP="00266FF6" w14:paraId="7EBA5E29" w14:textId="77777777">
      <w:pPr>
        <w:keepNext/>
        <w:widowControl/>
      </w:pPr>
    </w:p>
    <w:p w:rsidR="00266FF6" w:rsidP="00266FF6" w14:paraId="4EBB580F" w14:textId="77777777">
      <w:pPr>
        <w:keepNext/>
        <w:widowControl/>
      </w:pPr>
    </w:p>
    <w:p w:rsidR="00266FF6" w:rsidP="00266FF6" w14:paraId="042E1962" w14:textId="77777777">
      <w:pPr>
        <w:keepNext/>
        <w:widowControl/>
      </w:pPr>
    </w:p>
    <w:p w:rsidR="00266FF6" w:rsidP="00266FF6" w14:paraId="77908796" w14:textId="77777777">
      <w:pPr>
        <w:keepNext/>
        <w:widowControl/>
      </w:pPr>
    </w:p>
    <w:p w:rsidR="00266FF6" w:rsidRPr="00602610" w:rsidP="00C8485B" w14:paraId="7EAE6E2A" w14:textId="2A40B16B">
      <w:pPr>
        <w:keepNext/>
        <w:widowControl/>
      </w:pPr>
      <w:r>
        <w:tab/>
      </w:r>
      <w:r>
        <w:tab/>
      </w:r>
      <w:r>
        <w:tab/>
      </w:r>
      <w:r>
        <w:tab/>
      </w:r>
      <w:r>
        <w:tab/>
      </w:r>
      <w:r>
        <w:tab/>
      </w:r>
      <w:r>
        <w:t>Debra Jordan,</w:t>
      </w:r>
    </w:p>
    <w:p w:rsidR="00266FF6" w:rsidP="00C8485B" w14:paraId="04C53806" w14:textId="77777777">
      <w:pPr>
        <w:rPr>
          <w:b/>
          <w:caps/>
        </w:rPr>
      </w:pPr>
      <w:r>
        <w:tab/>
      </w:r>
      <w:r>
        <w:tab/>
      </w:r>
      <w:r>
        <w:tab/>
      </w:r>
      <w:r>
        <w:tab/>
      </w:r>
      <w:r>
        <w:tab/>
      </w:r>
      <w:r>
        <w:tab/>
        <w:t>Chief,</w:t>
      </w:r>
    </w:p>
    <w:p w:rsidR="00266FF6" w:rsidP="00C8485B" w14:paraId="1D02EDE9" w14:textId="77777777">
      <w:pPr>
        <w:rPr>
          <w:b/>
          <w:caps/>
        </w:rPr>
      </w:pPr>
      <w:r>
        <w:tab/>
      </w:r>
      <w:r>
        <w:tab/>
      </w:r>
      <w:r>
        <w:tab/>
      </w:r>
      <w:r>
        <w:tab/>
      </w:r>
      <w:r>
        <w:tab/>
      </w:r>
      <w:r>
        <w:tab/>
        <w:t>Public Safety and Homeland Security Bureau</w:t>
      </w:r>
    </w:p>
    <w:p w:rsidR="00266FF6" w:rsidP="00266FF6" w14:paraId="42803EF6" w14:textId="77777777">
      <w:pPr>
        <w:rPr>
          <w:szCs w:val="22"/>
        </w:rPr>
      </w:pPr>
    </w:p>
    <w:p w:rsidR="00266FF6" w:rsidRPr="00266FF6" w:rsidP="00266FF6" w14:paraId="38692B3A" w14:textId="29B93DB0">
      <w:pPr>
        <w:rPr>
          <w:szCs w:val="22"/>
        </w:rPr>
        <w:sectPr>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pPr>
    </w:p>
    <w:p w:rsidR="00345E73" w:rsidP="00C8485B" w14:paraId="4DED8EE5" w14:textId="1BF6761A">
      <w:pPr>
        <w:jc w:val="center"/>
      </w:pPr>
      <w:r w:rsidRPr="00C8485B">
        <w:rPr>
          <w:rFonts w:ascii="Times New Roman Bold" w:hAnsi="Times New Roman Bold"/>
          <w:b/>
          <w:caps/>
        </w:rPr>
        <w:t xml:space="preserve">Appendix </w:t>
      </w:r>
      <w:r w:rsidRPr="00C8485B">
        <w:rPr>
          <w:rFonts w:ascii="Times New Roman Bold" w:hAnsi="Times New Roman Bold"/>
          <w:b/>
          <w:caps/>
        </w:rPr>
        <w:t>A</w:t>
      </w:r>
    </w:p>
    <w:p w:rsidR="00345E73" w:rsidRPr="00345E73" w:rsidP="00345E73" w14:paraId="6524531A" w14:textId="77777777">
      <w:pPr>
        <w:rPr>
          <w:szCs w:val="22"/>
        </w:rPr>
      </w:pPr>
    </w:p>
    <w:p w:rsidR="00345E73" w:rsidRPr="00345E73" w:rsidP="00345E73" w14:paraId="38B108B0" w14:textId="49A2BAC1">
      <w:pPr>
        <w:spacing w:line="480" w:lineRule="auto"/>
        <w:jc w:val="center"/>
        <w:rPr>
          <w:b/>
          <w:snapToGrid/>
          <w:kern w:val="0"/>
          <w:sz w:val="24"/>
          <w:szCs w:val="22"/>
        </w:rPr>
      </w:pPr>
      <w:r w:rsidRPr="00345E73">
        <w:rPr>
          <w:b/>
          <w:snapToGrid/>
          <w:kern w:val="0"/>
          <w:sz w:val="24"/>
          <w:szCs w:val="22"/>
        </w:rPr>
        <w:t>Final Rul</w:t>
      </w:r>
      <w:r w:rsidR="00C8485B">
        <w:rPr>
          <w:b/>
          <w:snapToGrid/>
          <w:kern w:val="0"/>
          <w:sz w:val="24"/>
          <w:szCs w:val="22"/>
        </w:rPr>
        <w:t>e</w:t>
      </w:r>
      <w:r w:rsidRPr="00345E73">
        <w:rPr>
          <w:b/>
          <w:snapToGrid/>
          <w:kern w:val="0"/>
          <w:sz w:val="24"/>
          <w:szCs w:val="22"/>
        </w:rPr>
        <w:t>s</w:t>
      </w:r>
    </w:p>
    <w:p w:rsidR="00345E73" w:rsidRPr="00345E73" w:rsidP="00345E73" w14:paraId="7AA72A17" w14:textId="77777777">
      <w:pPr>
        <w:spacing w:line="480" w:lineRule="auto"/>
        <w:ind w:firstLine="720"/>
        <w:rPr>
          <w:szCs w:val="22"/>
        </w:rPr>
      </w:pPr>
      <w:r w:rsidRPr="00345E73">
        <w:rPr>
          <w:szCs w:val="22"/>
        </w:rPr>
        <w:t>For the reasons discussed in the preamble, the Federal Communications Commission amends 47 CFR part 4 as follows:</w:t>
      </w:r>
    </w:p>
    <w:p w:rsidR="00345E73" w:rsidRPr="00345E73" w:rsidP="00345E73" w14:paraId="7A06B29B" w14:textId="77777777">
      <w:pPr>
        <w:spacing w:line="480" w:lineRule="auto"/>
        <w:ind w:firstLine="720"/>
        <w:rPr>
          <w:b/>
          <w:szCs w:val="22"/>
        </w:rPr>
      </w:pPr>
      <w:r w:rsidRPr="00345E73">
        <w:rPr>
          <w:b/>
          <w:szCs w:val="22"/>
        </w:rPr>
        <w:t>PART 4 – DISRUPTIONS TO COMMUNICATIONS</w:t>
      </w:r>
    </w:p>
    <w:p w:rsidR="00345E73" w:rsidRPr="00345E73" w:rsidP="00C8485B" w14:paraId="6DFEE70E" w14:textId="77777777">
      <w:pPr>
        <w:keepNext/>
        <w:numPr>
          <w:ilvl w:val="2"/>
          <w:numId w:val="3"/>
        </w:numPr>
        <w:tabs>
          <w:tab w:val="clear" w:pos="2160"/>
        </w:tabs>
        <w:spacing w:line="480" w:lineRule="auto"/>
        <w:ind w:left="0" w:firstLine="720"/>
        <w:outlineLvl w:val="2"/>
        <w:rPr>
          <w:szCs w:val="22"/>
        </w:rPr>
      </w:pPr>
      <w:r w:rsidRPr="00345E73">
        <w:rPr>
          <w:szCs w:val="22"/>
        </w:rPr>
        <w:t>The authority citation for part 4 continues to read as follows:</w:t>
      </w:r>
    </w:p>
    <w:p w:rsidR="00345E73" w:rsidRPr="00345E73" w:rsidP="00C8485B" w14:paraId="66F302F0" w14:textId="77777777">
      <w:pPr>
        <w:spacing w:line="480" w:lineRule="auto"/>
      </w:pPr>
      <w:r w:rsidRPr="00345E73">
        <w:rPr>
          <w:b/>
        </w:rPr>
        <w:t>Authority:</w:t>
      </w:r>
      <w:r w:rsidRPr="00345E73">
        <w:t xml:space="preserve"> 47 U.S.C. 34-39, 151, 154, 155, 157, 201, 251, 307, 316, 615a-1, 1302(a), and 1302(b); 5 U.S.C. 301, and Executive Order no. 10530. </w:t>
      </w:r>
    </w:p>
    <w:p w:rsidR="00345E73" w:rsidRPr="00345E73" w:rsidP="00C8485B" w14:paraId="13C49EF6" w14:textId="77777777">
      <w:pPr>
        <w:keepNext/>
        <w:numPr>
          <w:ilvl w:val="2"/>
          <w:numId w:val="3"/>
        </w:numPr>
        <w:tabs>
          <w:tab w:val="clear" w:pos="2160"/>
        </w:tabs>
        <w:spacing w:line="480" w:lineRule="auto"/>
        <w:ind w:left="0" w:firstLine="720"/>
        <w:outlineLvl w:val="2"/>
        <w:rPr>
          <w:szCs w:val="22"/>
        </w:rPr>
      </w:pPr>
      <w:r w:rsidRPr="00345E73">
        <w:rPr>
          <w:szCs w:val="22"/>
        </w:rPr>
        <w:t>Add § 4.17 to read as follows:</w:t>
      </w:r>
    </w:p>
    <w:p w:rsidR="00345E73" w:rsidRPr="00345E73" w:rsidP="00C8485B" w14:paraId="7912FAD0" w14:textId="77777777">
      <w:pPr>
        <w:spacing w:line="480" w:lineRule="auto"/>
        <w:rPr>
          <w:b/>
          <w:bCs/>
          <w:szCs w:val="22"/>
        </w:rPr>
      </w:pPr>
      <w:r w:rsidRPr="00345E73">
        <w:rPr>
          <w:b/>
          <w:bCs/>
          <w:szCs w:val="22"/>
        </w:rPr>
        <w:t>§ 4.17 Mandatory Disaster Response Initiative.</w:t>
      </w:r>
    </w:p>
    <w:p w:rsidR="00345E73" w:rsidRPr="00345E73" w:rsidP="00E20CC7" w14:paraId="682CE749" w14:textId="771E4567">
      <w:pPr>
        <w:spacing w:line="480" w:lineRule="auto"/>
        <w:rPr>
          <w:szCs w:val="22"/>
        </w:rPr>
      </w:pPr>
      <w:r w:rsidRPr="00345E73">
        <w:rPr>
          <w:szCs w:val="22"/>
        </w:rPr>
        <w:t xml:space="preserve">(a) Facilities-based mobile wireless providers are required to perform, or have established, the following procedures when: </w:t>
      </w:r>
    </w:p>
    <w:p w:rsidR="00345E73" w:rsidRPr="00345E73" w:rsidP="00E20CC7" w14:paraId="1DB1C0C0" w14:textId="77777777">
      <w:pPr>
        <w:spacing w:line="480" w:lineRule="auto"/>
        <w:ind w:left="720"/>
        <w:rPr>
          <w:szCs w:val="22"/>
        </w:rPr>
      </w:pPr>
      <w:r w:rsidRPr="00345E73">
        <w:rPr>
          <w:szCs w:val="22"/>
        </w:rPr>
        <w:t xml:space="preserve">(1) Any entity authorized to declare Emergency Support Function 2 (ESF-2) activates ESF-2 for a given emergency or disaster; </w:t>
      </w:r>
    </w:p>
    <w:p w:rsidR="00345E73" w:rsidRPr="00345E73" w:rsidP="00E20CC7" w14:paraId="473C4870" w14:textId="77777777">
      <w:pPr>
        <w:spacing w:line="480" w:lineRule="auto"/>
        <w:ind w:left="720"/>
        <w:rPr>
          <w:szCs w:val="22"/>
        </w:rPr>
      </w:pPr>
      <w:r w:rsidRPr="00345E73">
        <w:rPr>
          <w:szCs w:val="22"/>
        </w:rPr>
        <w:t xml:space="preserve">(2) The Commission activates the Disaster Information Reporting System (DIRS); or </w:t>
      </w:r>
    </w:p>
    <w:p w:rsidR="00345E73" w:rsidRPr="00345E73" w:rsidP="00E20CC7" w14:paraId="6EB3BD7D" w14:textId="77777777">
      <w:pPr>
        <w:spacing w:line="480" w:lineRule="auto"/>
        <w:ind w:left="720"/>
        <w:rPr>
          <w:szCs w:val="22"/>
        </w:rPr>
      </w:pPr>
      <w:r w:rsidRPr="00345E73">
        <w:rPr>
          <w:szCs w:val="22"/>
        </w:rPr>
        <w:t>(3) The Commission’s Chief of the Public Safety and Homeland Security Bureau issues a Public Notice activating the Mandatory Disaster Response Initiative in response to a state request to do so, where the state has also either activated its Emergency Operations Center, activated mutual aid or proclaimed a local state of emergency:</w:t>
      </w:r>
    </w:p>
    <w:p w:rsidR="00345E73" w:rsidRPr="00345E73" w:rsidP="00E20CC7" w14:paraId="00794539" w14:textId="0D1DE038">
      <w:pPr>
        <w:spacing w:line="480" w:lineRule="auto"/>
        <w:ind w:left="1440"/>
        <w:rPr>
          <w:szCs w:val="22"/>
        </w:rPr>
      </w:pPr>
      <w:r w:rsidRPr="00345E73">
        <w:rPr>
          <w:szCs w:val="22"/>
        </w:rPr>
        <w:t>(</w:t>
      </w:r>
      <w:r w:rsidRPr="00345E73">
        <w:rPr>
          <w:szCs w:val="22"/>
        </w:rPr>
        <w:t>i</w:t>
      </w:r>
      <w:r w:rsidRPr="00345E73">
        <w:rPr>
          <w:szCs w:val="22"/>
        </w:rPr>
        <w:t>)</w:t>
      </w:r>
      <w:r w:rsidR="00E20CC7">
        <w:rPr>
          <w:szCs w:val="22"/>
        </w:rPr>
        <w:t xml:space="preserve"> </w:t>
      </w:r>
      <w:r w:rsidRPr="00345E73">
        <w:rPr>
          <w:szCs w:val="22"/>
        </w:rPr>
        <w:t>Provide for reasonable roaming under disaster arrangements (</w:t>
      </w:r>
      <w:r w:rsidRPr="00345E73">
        <w:rPr>
          <w:szCs w:val="22"/>
        </w:rPr>
        <w:t>RuDs</w:t>
      </w:r>
      <w:r w:rsidRPr="00345E73">
        <w:rPr>
          <w:szCs w:val="22"/>
        </w:rPr>
        <w:t xml:space="preserve">) when technically feasible, where: </w:t>
      </w:r>
    </w:p>
    <w:p w:rsidR="00345E73" w:rsidRPr="00345E73" w:rsidP="00E20CC7" w14:paraId="476142E5" w14:textId="77777777">
      <w:pPr>
        <w:spacing w:line="480" w:lineRule="auto"/>
        <w:ind w:left="2160"/>
        <w:rPr>
          <w:szCs w:val="22"/>
        </w:rPr>
      </w:pPr>
      <w:r w:rsidRPr="00345E73">
        <w:rPr>
          <w:szCs w:val="22"/>
        </w:rPr>
        <w:t xml:space="preserve">(A) A requesting provider’s network has become inoperable and the requesting provider has taken all appropriate steps to attempt to restore its own network; and </w:t>
      </w:r>
    </w:p>
    <w:p w:rsidR="00345E73" w:rsidRPr="00345E73" w:rsidP="00E20CC7" w14:paraId="795024F4" w14:textId="77777777">
      <w:pPr>
        <w:spacing w:line="480" w:lineRule="auto"/>
        <w:ind w:left="2160"/>
        <w:rPr>
          <w:szCs w:val="22"/>
        </w:rPr>
      </w:pPr>
      <w:r w:rsidRPr="00345E73">
        <w:rPr>
          <w:szCs w:val="22"/>
        </w:rPr>
        <w:t xml:space="preserve">(B) The provider receiving the request (home provider) has determined that roaming is technically feasible and will not adversely affect service to the home provider’s own subscribers, provided that existing roaming arrangements and call </w:t>
      </w:r>
      <w:r w:rsidRPr="00345E73">
        <w:rPr>
          <w:szCs w:val="22"/>
        </w:rPr>
        <w:t>processing methods do not already achieve these objectives and that any new arrangements are limited in duration and contingent on the requesting provider taking all possible steps to restore service on its own network as quickly as possible;</w:t>
      </w:r>
    </w:p>
    <w:p w:rsidR="00345E73" w:rsidRPr="00345E73" w:rsidP="00E20CC7" w14:paraId="12A6A12D" w14:textId="23929019">
      <w:pPr>
        <w:spacing w:line="480" w:lineRule="auto"/>
        <w:ind w:left="1440"/>
        <w:rPr>
          <w:szCs w:val="22"/>
        </w:rPr>
      </w:pPr>
      <w:r w:rsidRPr="00345E73">
        <w:rPr>
          <w:szCs w:val="22"/>
        </w:rPr>
        <w:t xml:space="preserve">(ii) Establish mutual aid arrangements with other facilities-based mobile wireless providers for providing aid upon request to those providers during emergencies, where such agreements address the sharing of physical assets and commit to engaging in necessary consultation where feasible during and after disasters, provided that the provider supplying the aid has reasonably first managed its own network needs; </w:t>
      </w:r>
    </w:p>
    <w:p w:rsidR="00345E73" w:rsidRPr="00345E73" w:rsidP="00E20CC7" w14:paraId="1D81EAA1" w14:textId="48AEDA76">
      <w:pPr>
        <w:spacing w:line="480" w:lineRule="auto"/>
        <w:ind w:left="1440"/>
        <w:rPr>
          <w:szCs w:val="22"/>
        </w:rPr>
      </w:pPr>
      <w:r w:rsidRPr="00345E73">
        <w:rPr>
          <w:szCs w:val="22"/>
        </w:rPr>
        <w:t>(iii) Take reasonable measures to enhance municipal preparedness and restoration;</w:t>
      </w:r>
    </w:p>
    <w:p w:rsidR="00345E73" w:rsidRPr="00345E73" w:rsidP="00E20CC7" w14:paraId="1C12ED92" w14:textId="76FFB05D">
      <w:pPr>
        <w:spacing w:line="480" w:lineRule="auto"/>
        <w:ind w:left="1440"/>
        <w:rPr>
          <w:szCs w:val="22"/>
        </w:rPr>
      </w:pPr>
      <w:r w:rsidRPr="00345E73">
        <w:rPr>
          <w:szCs w:val="22"/>
        </w:rPr>
        <w:t xml:space="preserve">(iv) Take reasonable measures to increase consumer readiness and preparation; and </w:t>
      </w:r>
    </w:p>
    <w:p w:rsidR="00345E73" w:rsidRPr="00345E73" w:rsidP="00E20CC7" w14:paraId="1D30ADAB" w14:textId="4A1DD546">
      <w:pPr>
        <w:spacing w:after="120" w:line="480" w:lineRule="auto"/>
        <w:ind w:left="1440"/>
        <w:rPr>
          <w:szCs w:val="22"/>
        </w:rPr>
      </w:pPr>
      <w:r w:rsidRPr="00345E73">
        <w:rPr>
          <w:szCs w:val="22"/>
        </w:rPr>
        <w:t>(v) Take reasonable measures to improve public awareness and stakeholder communications on service and restoration status.</w:t>
      </w:r>
    </w:p>
    <w:p w:rsidR="00345E73" w:rsidRPr="00345E73" w:rsidP="00E20CC7" w14:paraId="6F83325D" w14:textId="04648F8D">
      <w:pPr>
        <w:spacing w:after="120" w:line="480" w:lineRule="auto"/>
        <w:rPr>
          <w:szCs w:val="22"/>
        </w:rPr>
      </w:pPr>
      <w:r w:rsidRPr="00345E73">
        <w:rPr>
          <w:szCs w:val="22"/>
        </w:rPr>
        <w:t>(b)</w:t>
      </w:r>
      <w:r w:rsidR="00E20CC7">
        <w:rPr>
          <w:szCs w:val="22"/>
        </w:rPr>
        <w:t xml:space="preserve"> </w:t>
      </w:r>
      <w:r w:rsidRPr="00345E73">
        <w:rPr>
          <w:szCs w:val="22"/>
        </w:rPr>
        <w:t>Providers subject to the requirements of paragraph (a) of this section are required to perform annual testing of their roaming capabilities and related coordination processes, with such testing performed bilaterally with other providers that may foreseeably roam, or request roaming from, the provider during times of disaster or other exigency.</w:t>
      </w:r>
    </w:p>
    <w:p w:rsidR="00345E73" w:rsidRPr="00345E73" w:rsidP="00E20CC7" w14:paraId="1730114C" w14:textId="60033215">
      <w:pPr>
        <w:spacing w:after="120" w:line="480" w:lineRule="auto"/>
        <w:rPr>
          <w:szCs w:val="22"/>
        </w:rPr>
      </w:pPr>
      <w:r w:rsidRPr="00345E73">
        <w:rPr>
          <w:szCs w:val="22"/>
        </w:rPr>
        <w:t>(c)</w:t>
      </w:r>
      <w:r w:rsidR="00E20CC7">
        <w:rPr>
          <w:szCs w:val="22"/>
        </w:rPr>
        <w:t xml:space="preserve"> </w:t>
      </w:r>
      <w:r w:rsidRPr="00345E73">
        <w:rPr>
          <w:szCs w:val="22"/>
        </w:rPr>
        <w:t>Providers subject to the requirements of paragraph (a) of this section are required to submit reports to the Commission detailing the timing, duration, and effectiveness of their implementation of the Mandatory Disaster Response Initiative’s provisions in this section within 60 days of when the Public Safety and Homeland Security Bureau issues a Public Notice announcing such reports must be filed for providers operating in a certain geographic area in the aftermath of a disaster.</w:t>
      </w:r>
    </w:p>
    <w:p w:rsidR="00345E73" w:rsidRPr="00345E73" w:rsidP="00E20CC7" w14:paraId="2A145FA9" w14:textId="4BEA72DC">
      <w:pPr>
        <w:spacing w:after="120" w:line="480" w:lineRule="auto"/>
        <w:rPr>
          <w:szCs w:val="22"/>
        </w:rPr>
      </w:pPr>
      <w:r w:rsidRPr="00345E73">
        <w:rPr>
          <w:szCs w:val="22"/>
        </w:rPr>
        <w:t xml:space="preserve">(d) Providers subject to the requirements of paragraph (a) of this section are required retain </w:t>
      </w:r>
      <w:r w:rsidRPr="00345E73">
        <w:rPr>
          <w:szCs w:val="22"/>
        </w:rPr>
        <w:t>RuDs</w:t>
      </w:r>
      <w:r w:rsidRPr="00345E73">
        <w:rPr>
          <w:szCs w:val="22"/>
        </w:rPr>
        <w:t xml:space="preserve"> for a period of at least one year after their expiration and supply copies of such agreements to the Commission promptly upon Commission request. </w:t>
      </w:r>
    </w:p>
    <w:p w:rsidR="00345E73" w:rsidRPr="00345E73" w:rsidP="00E20CC7" w14:paraId="6AA6A212" w14:textId="2F2C420D">
      <w:pPr>
        <w:widowControl/>
        <w:spacing w:line="480" w:lineRule="auto"/>
        <w:rPr>
          <w:szCs w:val="22"/>
        </w:rPr>
      </w:pPr>
      <w:r w:rsidRPr="00345E73">
        <w:rPr>
          <w:szCs w:val="22"/>
        </w:rPr>
        <w:t xml:space="preserve">(e)(1) This section may contain information collection and/or recordkeeping requirements.  Compliance with this section will not be required until this paragraph (e) is removed or contains compliance dates, which will not occur until the later of: </w:t>
      </w:r>
    </w:p>
    <w:p w:rsidR="00345E73" w:rsidRPr="00345E73" w:rsidP="00E20CC7" w14:paraId="15A477EA" w14:textId="77777777">
      <w:pPr>
        <w:spacing w:line="480" w:lineRule="auto"/>
        <w:ind w:left="1440"/>
        <w:rPr>
          <w:szCs w:val="22"/>
        </w:rPr>
      </w:pPr>
      <w:r w:rsidRPr="00345E73">
        <w:rPr>
          <w:szCs w:val="22"/>
        </w:rPr>
        <w:t>(</w:t>
      </w:r>
      <w:r w:rsidRPr="00345E73">
        <w:rPr>
          <w:szCs w:val="22"/>
        </w:rPr>
        <w:t>i</w:t>
      </w:r>
      <w:r w:rsidRPr="00345E73">
        <w:rPr>
          <w:szCs w:val="22"/>
        </w:rPr>
        <w:t xml:space="preserve">) 30 days after the Office of Management and Budget completes review of such requirements pursuant to the Paperwork Reduction Act or the Public Safety and Homeland Security Bureau determines that such review is not required; or </w:t>
      </w:r>
    </w:p>
    <w:p w:rsidR="00345E73" w:rsidRPr="00345E73" w:rsidP="00E20CC7" w14:paraId="61990AA5" w14:textId="20E5AD90">
      <w:pPr>
        <w:spacing w:line="480" w:lineRule="auto"/>
        <w:ind w:left="1440"/>
        <w:rPr>
          <w:szCs w:val="22"/>
        </w:rPr>
      </w:pPr>
      <w:r w:rsidRPr="00345E73">
        <w:rPr>
          <w:szCs w:val="22"/>
        </w:rPr>
        <w:t>(ii</w:t>
      </w:r>
      <w:r w:rsidR="00DC3298">
        <w:rPr>
          <w:szCs w:val="22"/>
        </w:rPr>
        <w:t xml:space="preserve">) </w:t>
      </w:r>
      <w:r w:rsidRPr="003E13BE" w:rsidR="003E13BE">
        <w:rPr>
          <w:rFonts w:ascii="Cambria" w:hAnsi="Cambria"/>
          <w:color w:val="201F1E"/>
          <w:szCs w:val="22"/>
          <w:shd w:val="clear" w:color="auto" w:fill="FFFFFF"/>
        </w:rPr>
        <w:t xml:space="preserve"> </w:t>
      </w:r>
      <w:bookmarkStart w:id="2" w:name="_Hlk114138981"/>
      <w:r w:rsidR="003E13BE">
        <w:rPr>
          <w:rFonts w:ascii="Cambria" w:hAnsi="Cambria"/>
          <w:color w:val="201F1E"/>
          <w:szCs w:val="22"/>
          <w:shd w:val="clear" w:color="auto" w:fill="FFFFFF"/>
        </w:rPr>
        <w:t>[INSERT DATE NINE MONTHS AFTER DATE OF FEDERAL REGISTER PUBLICATION]</w:t>
      </w:r>
      <w:bookmarkEnd w:id="2"/>
      <w:r w:rsidR="003E13BE">
        <w:rPr>
          <w:rFonts w:ascii="Cambria" w:hAnsi="Cambria"/>
          <w:color w:val="201F1E"/>
          <w:szCs w:val="22"/>
          <w:shd w:val="clear" w:color="auto" w:fill="FFFFFF"/>
        </w:rPr>
        <w:t xml:space="preserve"> </w:t>
      </w:r>
      <w:r w:rsidRPr="00345E73">
        <w:rPr>
          <w:szCs w:val="22"/>
        </w:rPr>
        <w:t xml:space="preserve">for facilities-based mobile wireless service providers with 1,500 or fewer employees and </w:t>
      </w:r>
      <w:bookmarkStart w:id="3" w:name="_Hlk114139190"/>
      <w:r w:rsidRPr="00345E73">
        <w:rPr>
          <w:szCs w:val="22"/>
        </w:rPr>
        <w:t>[</w:t>
      </w:r>
      <w:bookmarkStart w:id="4" w:name="_Hlk114139004"/>
      <w:r w:rsidR="003E13BE">
        <w:rPr>
          <w:rFonts w:ascii="Cambria" w:hAnsi="Cambria"/>
          <w:color w:val="201F1E"/>
          <w:szCs w:val="22"/>
          <w:shd w:val="clear" w:color="auto" w:fill="FFFFFF"/>
        </w:rPr>
        <w:t>INSERT DATE SIX MONTHS AFTER DATE OF FEDERAL REGISTER PUBLICATION</w:t>
      </w:r>
      <w:r w:rsidRPr="00345E73">
        <w:rPr>
          <w:iCs/>
          <w:szCs w:val="22"/>
        </w:rPr>
        <w:t>]</w:t>
      </w:r>
      <w:bookmarkEnd w:id="3"/>
      <w:bookmarkEnd w:id="4"/>
      <w:r w:rsidRPr="00345E73">
        <w:rPr>
          <w:szCs w:val="22"/>
        </w:rPr>
        <w:t xml:space="preserve"> for all other facilities-based mobile wireless service providers, except that compliance with paragraph (a)(3)(ii) of this section will not be required until 30 days after the compliance date for the other provisions of this section.</w:t>
      </w:r>
      <w:r w:rsidRPr="00345E73">
        <w:rPr>
          <w:i/>
          <w:iCs/>
          <w:szCs w:val="22"/>
        </w:rPr>
        <w:t xml:space="preserve"> </w:t>
      </w:r>
      <w:r w:rsidRPr="00345E73">
        <w:rPr>
          <w:szCs w:val="22"/>
        </w:rPr>
        <w:t xml:space="preserve"> </w:t>
      </w:r>
    </w:p>
    <w:p w:rsidR="00345E73" w:rsidRPr="00345E73" w:rsidP="00E20CC7" w14:paraId="473A5673" w14:textId="77777777">
      <w:pPr>
        <w:spacing w:line="480" w:lineRule="auto"/>
        <w:ind w:left="720"/>
        <w:rPr>
          <w:szCs w:val="22"/>
        </w:rPr>
      </w:pPr>
      <w:r w:rsidRPr="00345E73">
        <w:rPr>
          <w:szCs w:val="22"/>
        </w:rPr>
        <w:t xml:space="preserve">(2) The Commission directs the Public Safety and Homeland Security Bureau to announce the compliance dates for this section by subsequent Public Notice and notification in the </w:t>
      </w:r>
      <w:r w:rsidRPr="00863649">
        <w:rPr>
          <w:szCs w:val="22"/>
        </w:rPr>
        <w:t>Federal Register</w:t>
      </w:r>
      <w:r w:rsidRPr="00345E73">
        <w:rPr>
          <w:szCs w:val="22"/>
        </w:rPr>
        <w:t xml:space="preserve"> and to cause this section to be revised accordingly.</w:t>
      </w:r>
    </w:p>
    <w:p w:rsidR="00510173" w:rsidP="00266FF6" w14:paraId="337D9282" w14:textId="77777777">
      <w:pPr>
        <w:pStyle w:val="ParaNum"/>
        <w:numPr>
          <w:ilvl w:val="0"/>
          <w:numId w:val="0"/>
        </w:numPr>
        <w:spacing w:after="0"/>
      </w:pPr>
    </w:p>
    <w:sectPr w:rsidSect="00E20CC7">
      <w:headerReference w:type="default" r:id="rId9"/>
      <w:footerReference w:type="default" r:id="rId10"/>
      <w:headerReference w:type="first" r:id="rId11"/>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0173" w14:paraId="54508AA8" w14:textId="77777777">
    <w:pPr>
      <w:pStyle w:val="Footer"/>
      <w:framePr w:wrap="around" w:vAnchor="text" w:hAnchor="margin" w:xAlign="center" w:y="1"/>
    </w:pPr>
    <w:r>
      <w:fldChar w:fldCharType="begin"/>
    </w:r>
    <w:r>
      <w:instrText xml:space="preserve">PAGE  </w:instrText>
    </w:r>
    <w:r w:rsidR="00FF77A5">
      <w:fldChar w:fldCharType="separate"/>
    </w:r>
    <w:r>
      <w:fldChar w:fldCharType="end"/>
    </w:r>
  </w:p>
  <w:p w:rsidR="00510173" w14:paraId="30E43AB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0173" w:rsidP="00266FF6" w14:paraId="3F4FD037" w14:textId="474DE3D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0173" w14:paraId="0CE9448F"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0CC7" w:rsidP="00266FF6" w14:paraId="2EB8573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0173" w:rsidP="00035D8D" w14:paraId="46F4BAD0" w14:textId="1C187AF5">
    <w:pPr>
      <w:pStyle w:val="Header"/>
    </w:pPr>
    <w:r>
      <w:tab/>
      <w:t>Federal Communications Commission</w:t>
    </w:r>
    <w:r w:rsidR="00035D8D">
      <w:tab/>
    </w:r>
  </w:p>
  <w:p w:rsidR="00510173" w14:paraId="35AF9E1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510173" w14:paraId="2D4FF09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0173" w:rsidP="00035D8D" w14:paraId="643DC32F" w14:textId="5C19D8EF">
    <w:pPr>
      <w:pStyle w:val="Header"/>
    </w:pPr>
    <w:r>
      <w:tab/>
      <w:t>Federal Communications Commission</w:t>
    </w:r>
    <w:r>
      <w:tab/>
    </w:r>
  </w:p>
  <w:p w:rsidR="00510173" w:rsidP="00035D8D" w14:paraId="3075DAC9" w14:textId="77777777">
    <w:pPr>
      <w:pStyle w:val="Header"/>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0CC7" w:rsidP="00035D8D" w14:paraId="421CBED7" w14:textId="77777777">
    <w:pPr>
      <w:pStyle w:val="Header"/>
    </w:pPr>
    <w:r>
      <w:tab/>
      <w:t>Federal Communications Commission</w:t>
    </w:r>
    <w:r>
      <w:tab/>
    </w:r>
  </w:p>
  <w:p w:rsidR="00E20CC7" w14:paraId="63D2118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p>
  <w:p w:rsidR="00E20CC7" w14:paraId="0CF63BB6"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0CC7" w:rsidP="00035D8D" w14:paraId="0E6F5A90" w14:textId="77777777">
    <w:pPr>
      <w:pStyle w:val="Header"/>
    </w:pPr>
    <w:r>
      <w:tab/>
      <w:t>Federal Communications Commission</w:t>
    </w:r>
    <w:r>
      <w:tab/>
    </w:r>
  </w:p>
  <w:p w:rsidR="00E20CC7" w:rsidP="00035D8D" w14:paraId="60F20C5E" w14:textId="77777777">
    <w:pPr>
      <w:pStyle w:val="Header"/>
    </w:pPr>
    <w:r>
      <w:rPr>
        <w:noProof/>
      </w:rPr>
      <mc:AlternateContent>
        <mc:Choice Requires="wps">
          <w:drawing>
            <wp:anchor distT="0" distB="0" distL="114300" distR="114300" simplePos="0" relativeHeight="251664384"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4"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4" o:spid="_x0000_s2052" style="mso-height-percent:0;mso-height-relative:page;mso-width-percent:0;mso-width-relative:page;mso-wrap-distance-bottom:0;mso-wrap-distance-left:9pt;mso-wrap-distance-right:9pt;mso-wrap-distance-top:0;mso-wrap-style:square;position:absolute;visibility:visible;z-index:251665408" from="0,1.75pt" to="468pt,1.75pt" o:allowincell="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A6B3D1E"/>
    <w:multiLevelType w:val="hybridMultilevel"/>
    <w:tmpl w:val="1A5A2FE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6"/>
    <w:lvlOverride w:ilvl="0">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F04"/>
    <w:rsid w:val="00035D8D"/>
    <w:rsid w:val="000416F2"/>
    <w:rsid w:val="001268F6"/>
    <w:rsid w:val="001701FF"/>
    <w:rsid w:val="00182E20"/>
    <w:rsid w:val="00191867"/>
    <w:rsid w:val="001923E9"/>
    <w:rsid w:val="001C29F5"/>
    <w:rsid w:val="00266FF6"/>
    <w:rsid w:val="002965E2"/>
    <w:rsid w:val="00296F9A"/>
    <w:rsid w:val="00312F45"/>
    <w:rsid w:val="003169C7"/>
    <w:rsid w:val="00345E73"/>
    <w:rsid w:val="003E13BE"/>
    <w:rsid w:val="003F2C0E"/>
    <w:rsid w:val="004108F1"/>
    <w:rsid w:val="004160C6"/>
    <w:rsid w:val="00431516"/>
    <w:rsid w:val="00443DA6"/>
    <w:rsid w:val="00472FD5"/>
    <w:rsid w:val="004B2A42"/>
    <w:rsid w:val="004F7BE3"/>
    <w:rsid w:val="00510173"/>
    <w:rsid w:val="005653AA"/>
    <w:rsid w:val="00565746"/>
    <w:rsid w:val="00581332"/>
    <w:rsid w:val="005B3B45"/>
    <w:rsid w:val="005B69DF"/>
    <w:rsid w:val="005B6D84"/>
    <w:rsid w:val="005F377E"/>
    <w:rsid w:val="005F3C3F"/>
    <w:rsid w:val="005F4E5C"/>
    <w:rsid w:val="00602610"/>
    <w:rsid w:val="006124AE"/>
    <w:rsid w:val="00643B4D"/>
    <w:rsid w:val="00645384"/>
    <w:rsid w:val="006D2C28"/>
    <w:rsid w:val="006E65E9"/>
    <w:rsid w:val="006F5D64"/>
    <w:rsid w:val="0070315D"/>
    <w:rsid w:val="00715FCF"/>
    <w:rsid w:val="00734BBA"/>
    <w:rsid w:val="00750CDF"/>
    <w:rsid w:val="00775C7F"/>
    <w:rsid w:val="00785908"/>
    <w:rsid w:val="007872E1"/>
    <w:rsid w:val="007B3B34"/>
    <w:rsid w:val="007F5CD6"/>
    <w:rsid w:val="00863649"/>
    <w:rsid w:val="00876822"/>
    <w:rsid w:val="008D61E7"/>
    <w:rsid w:val="008E2D92"/>
    <w:rsid w:val="00901237"/>
    <w:rsid w:val="0093542C"/>
    <w:rsid w:val="009533A3"/>
    <w:rsid w:val="0099241C"/>
    <w:rsid w:val="009A48DA"/>
    <w:rsid w:val="009B28BF"/>
    <w:rsid w:val="009C6921"/>
    <w:rsid w:val="009D116E"/>
    <w:rsid w:val="009D6202"/>
    <w:rsid w:val="009F66FB"/>
    <w:rsid w:val="00A00946"/>
    <w:rsid w:val="00A30CE0"/>
    <w:rsid w:val="00A459C5"/>
    <w:rsid w:val="00A632C9"/>
    <w:rsid w:val="00A71F04"/>
    <w:rsid w:val="00AB054F"/>
    <w:rsid w:val="00B17B36"/>
    <w:rsid w:val="00B56A5D"/>
    <w:rsid w:val="00BB48C6"/>
    <w:rsid w:val="00BC5CE4"/>
    <w:rsid w:val="00BE5437"/>
    <w:rsid w:val="00C04248"/>
    <w:rsid w:val="00C51415"/>
    <w:rsid w:val="00C753A9"/>
    <w:rsid w:val="00C8485B"/>
    <w:rsid w:val="00C96B24"/>
    <w:rsid w:val="00D016E2"/>
    <w:rsid w:val="00D40ED8"/>
    <w:rsid w:val="00D433E4"/>
    <w:rsid w:val="00D47774"/>
    <w:rsid w:val="00DC3298"/>
    <w:rsid w:val="00DC6582"/>
    <w:rsid w:val="00DD23BA"/>
    <w:rsid w:val="00E20CC7"/>
    <w:rsid w:val="00E240A4"/>
    <w:rsid w:val="00E42A2D"/>
    <w:rsid w:val="00E8206E"/>
    <w:rsid w:val="00E85E01"/>
    <w:rsid w:val="00EA4BF6"/>
    <w:rsid w:val="00EC235A"/>
    <w:rsid w:val="00EE4B6F"/>
    <w:rsid w:val="00EF559E"/>
    <w:rsid w:val="00F25961"/>
    <w:rsid w:val="00FF77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645FD40"/>
  <w15:chartTrackingRefBased/>
  <w15:docId w15:val="{4993D441-172A-47EB-8AF1-FE278E9B2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F77A5"/>
    <w:pPr>
      <w:widowControl w:val="0"/>
    </w:pPr>
    <w:rPr>
      <w:snapToGrid w:val="0"/>
      <w:kern w:val="28"/>
      <w:sz w:val="22"/>
    </w:rPr>
  </w:style>
  <w:style w:type="paragraph" w:styleId="Heading1">
    <w:name w:val="heading 1"/>
    <w:basedOn w:val="Normal"/>
    <w:next w:val="ParaNum"/>
    <w:qFormat/>
    <w:rsid w:val="00FF77A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 Char Char Char,Heading 2 Char Char Char Char Char Char1 Char,Heading 2 Char1,Heading 2 Char1 Char Char,Heading 2 Char1 Char Char Char Char1 Char,Heading 2 Char1 Char Char1,Heading 2 Char1 Char Char1 Char Char"/>
    <w:basedOn w:val="Normal"/>
    <w:next w:val="ParaNum"/>
    <w:autoRedefine/>
    <w:qFormat/>
    <w:rsid w:val="00FF77A5"/>
    <w:pPr>
      <w:keepNext/>
      <w:numPr>
        <w:ilvl w:val="1"/>
        <w:numId w:val="3"/>
      </w:numPr>
      <w:spacing w:after="120"/>
      <w:outlineLvl w:val="1"/>
    </w:pPr>
    <w:rPr>
      <w:b/>
    </w:rPr>
  </w:style>
  <w:style w:type="paragraph" w:styleId="Heading3">
    <w:name w:val="heading 3"/>
    <w:basedOn w:val="Normal"/>
    <w:next w:val="ParaNum"/>
    <w:qFormat/>
    <w:rsid w:val="00FF77A5"/>
    <w:pPr>
      <w:keepNext/>
      <w:numPr>
        <w:ilvl w:val="2"/>
        <w:numId w:val="3"/>
      </w:numPr>
      <w:tabs>
        <w:tab w:val="left" w:pos="2160"/>
      </w:tabs>
      <w:spacing w:after="120"/>
      <w:outlineLvl w:val="2"/>
    </w:pPr>
    <w:rPr>
      <w:b/>
    </w:rPr>
  </w:style>
  <w:style w:type="paragraph" w:styleId="Heading4">
    <w:name w:val="heading 4"/>
    <w:basedOn w:val="Normal"/>
    <w:next w:val="ParaNum"/>
    <w:qFormat/>
    <w:rsid w:val="00FF77A5"/>
    <w:pPr>
      <w:keepNext/>
      <w:numPr>
        <w:ilvl w:val="3"/>
        <w:numId w:val="3"/>
      </w:numPr>
      <w:tabs>
        <w:tab w:val="left" w:pos="2880"/>
      </w:tabs>
      <w:spacing w:after="120"/>
      <w:outlineLvl w:val="3"/>
    </w:pPr>
    <w:rPr>
      <w:b/>
    </w:rPr>
  </w:style>
  <w:style w:type="paragraph" w:styleId="Heading5">
    <w:name w:val="heading 5"/>
    <w:basedOn w:val="Normal"/>
    <w:next w:val="ParaNum"/>
    <w:qFormat/>
    <w:rsid w:val="00FF77A5"/>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FF77A5"/>
    <w:pPr>
      <w:numPr>
        <w:ilvl w:val="5"/>
        <w:numId w:val="3"/>
      </w:numPr>
      <w:tabs>
        <w:tab w:val="left" w:pos="4320"/>
      </w:tabs>
      <w:spacing w:after="120"/>
      <w:outlineLvl w:val="5"/>
    </w:pPr>
    <w:rPr>
      <w:b/>
    </w:rPr>
  </w:style>
  <w:style w:type="paragraph" w:styleId="Heading7">
    <w:name w:val="heading 7"/>
    <w:basedOn w:val="Normal"/>
    <w:next w:val="ParaNum"/>
    <w:qFormat/>
    <w:rsid w:val="00FF77A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F77A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F77A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F77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77A5"/>
  </w:style>
  <w:style w:type="paragraph" w:customStyle="1" w:styleId="ParaNum">
    <w:name w:val="ParaNum"/>
    <w:basedOn w:val="Normal"/>
    <w:link w:val="ParaNumChar"/>
    <w:rsid w:val="00FF77A5"/>
    <w:pPr>
      <w:numPr>
        <w:numId w:val="2"/>
      </w:numPr>
      <w:tabs>
        <w:tab w:val="clear" w:pos="1080"/>
        <w:tab w:val="num" w:pos="1440"/>
      </w:tabs>
      <w:spacing w:after="120"/>
    </w:pPr>
  </w:style>
  <w:style w:type="paragraph" w:styleId="EndnoteText">
    <w:name w:val="endnote text"/>
    <w:basedOn w:val="Normal"/>
    <w:semiHidden/>
    <w:rsid w:val="00FF77A5"/>
    <w:rPr>
      <w:sz w:val="20"/>
    </w:rPr>
  </w:style>
  <w:style w:type="character" w:styleId="EndnoteReference">
    <w:name w:val="endnote reference"/>
    <w:semiHidden/>
    <w:rsid w:val="00FF77A5"/>
    <w:rPr>
      <w:vertAlign w:val="superscript"/>
    </w:rPr>
  </w:style>
  <w:style w:type="paragraph" w:styleId="FootnoteText">
    <w:name w:val="footnote text"/>
    <w:rsid w:val="00FF77A5"/>
    <w:pPr>
      <w:spacing w:after="120"/>
    </w:pPr>
  </w:style>
  <w:style w:type="character" w:styleId="FootnoteReference">
    <w:name w:val="footnote reference"/>
    <w:rsid w:val="00FF77A5"/>
    <w:rPr>
      <w:rFonts w:ascii="Times New Roman" w:hAnsi="Times New Roman"/>
      <w:dstrike w:val="0"/>
      <w:color w:val="auto"/>
      <w:sz w:val="20"/>
      <w:vertAlign w:val="superscript"/>
    </w:rPr>
  </w:style>
  <w:style w:type="paragraph" w:styleId="TOC1">
    <w:name w:val="toc 1"/>
    <w:basedOn w:val="Normal"/>
    <w:next w:val="Normal"/>
    <w:semiHidden/>
    <w:rsid w:val="00FF77A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F77A5"/>
    <w:pPr>
      <w:tabs>
        <w:tab w:val="left" w:pos="720"/>
        <w:tab w:val="right" w:leader="dot" w:pos="9360"/>
      </w:tabs>
      <w:suppressAutoHyphens/>
      <w:ind w:left="720" w:right="720" w:hanging="360"/>
    </w:pPr>
    <w:rPr>
      <w:noProof/>
    </w:rPr>
  </w:style>
  <w:style w:type="paragraph" w:styleId="TOC3">
    <w:name w:val="toc 3"/>
    <w:basedOn w:val="Normal"/>
    <w:next w:val="Normal"/>
    <w:semiHidden/>
    <w:rsid w:val="00FF77A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F77A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F77A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F77A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F77A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F77A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F77A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F77A5"/>
    <w:pPr>
      <w:tabs>
        <w:tab w:val="right" w:pos="9360"/>
      </w:tabs>
      <w:suppressAutoHyphens/>
    </w:pPr>
  </w:style>
  <w:style w:type="character" w:customStyle="1" w:styleId="EquationCaption">
    <w:name w:val="_Equation Caption"/>
    <w:rsid w:val="00FF77A5"/>
  </w:style>
  <w:style w:type="paragraph" w:styleId="Header">
    <w:name w:val="header"/>
    <w:basedOn w:val="Normal"/>
    <w:autoRedefine/>
    <w:rsid w:val="00FF77A5"/>
    <w:pPr>
      <w:tabs>
        <w:tab w:val="center" w:pos="4680"/>
        <w:tab w:val="right" w:pos="9360"/>
      </w:tabs>
    </w:pPr>
    <w:rPr>
      <w:b/>
    </w:rPr>
  </w:style>
  <w:style w:type="paragraph" w:styleId="Footer">
    <w:name w:val="footer"/>
    <w:basedOn w:val="Normal"/>
    <w:link w:val="FooterChar"/>
    <w:uiPriority w:val="99"/>
    <w:rsid w:val="00FF77A5"/>
    <w:pPr>
      <w:tabs>
        <w:tab w:val="center" w:pos="4320"/>
        <w:tab w:val="right" w:pos="8640"/>
      </w:tabs>
    </w:pPr>
  </w:style>
  <w:style w:type="character" w:styleId="PageNumber">
    <w:name w:val="page number"/>
    <w:basedOn w:val="DefaultParagraphFont"/>
    <w:rsid w:val="00FF77A5"/>
  </w:style>
  <w:style w:type="paragraph" w:styleId="BlockText">
    <w:name w:val="Block Text"/>
    <w:basedOn w:val="Normal"/>
    <w:rsid w:val="00FF77A5"/>
    <w:pPr>
      <w:spacing w:after="240"/>
      <w:ind w:left="1440" w:right="1440"/>
    </w:pPr>
  </w:style>
  <w:style w:type="paragraph" w:customStyle="1" w:styleId="Paratitle">
    <w:name w:val="Para title"/>
    <w:basedOn w:val="Normal"/>
    <w:rsid w:val="00FF77A5"/>
    <w:pPr>
      <w:tabs>
        <w:tab w:val="center" w:pos="9270"/>
      </w:tabs>
      <w:spacing w:after="240"/>
    </w:pPr>
    <w:rPr>
      <w:spacing w:val="-2"/>
    </w:rPr>
  </w:style>
  <w:style w:type="paragraph" w:customStyle="1" w:styleId="Bullet">
    <w:name w:val="Bullet"/>
    <w:basedOn w:val="Normal"/>
    <w:rsid w:val="00FF77A5"/>
    <w:pPr>
      <w:tabs>
        <w:tab w:val="left" w:pos="2160"/>
      </w:tabs>
      <w:spacing w:after="220"/>
      <w:ind w:left="2160" w:hanging="720"/>
    </w:pPr>
  </w:style>
  <w:style w:type="paragraph" w:customStyle="1" w:styleId="TableFormat">
    <w:name w:val="TableFormat"/>
    <w:basedOn w:val="Bullet"/>
    <w:rsid w:val="00FF77A5"/>
    <w:pPr>
      <w:tabs>
        <w:tab w:val="clear" w:pos="2160"/>
        <w:tab w:val="left" w:pos="5040"/>
      </w:tabs>
      <w:ind w:left="5040" w:hanging="3600"/>
    </w:pPr>
  </w:style>
  <w:style w:type="paragraph" w:customStyle="1" w:styleId="TOCTitle">
    <w:name w:val="TOC Title"/>
    <w:basedOn w:val="Normal"/>
    <w:rsid w:val="00FF77A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F77A5"/>
    <w:pPr>
      <w:jc w:val="center"/>
    </w:pPr>
    <w:rPr>
      <w:rFonts w:ascii="Times New Roman Bold" w:hAnsi="Times New Roman Bold"/>
      <w:b/>
      <w:bCs/>
      <w:caps/>
      <w:szCs w:val="22"/>
    </w:rPr>
  </w:style>
  <w:style w:type="character" w:styleId="Hyperlink">
    <w:name w:val="Hyperlink"/>
    <w:rsid w:val="00FF77A5"/>
    <w:rPr>
      <w:color w:val="0000FF"/>
      <w:u w:val="single"/>
    </w:rPr>
  </w:style>
  <w:style w:type="character" w:customStyle="1" w:styleId="FooterChar">
    <w:name w:val="Footer Char"/>
    <w:link w:val="Footer"/>
    <w:uiPriority w:val="99"/>
    <w:rsid w:val="00FF77A5"/>
    <w:rPr>
      <w:snapToGrid w:val="0"/>
      <w:kern w:val="28"/>
      <w:sz w:val="22"/>
    </w:rPr>
  </w:style>
  <w:style w:type="character" w:customStyle="1" w:styleId="Heading6Char">
    <w:name w:val="Heading 6 Char"/>
    <w:aliases w:val="h6 Char"/>
    <w:link w:val="Heading6"/>
    <w:rsid w:val="006124AE"/>
    <w:rPr>
      <w:b/>
      <w:snapToGrid w:val="0"/>
      <w:kern w:val="28"/>
      <w:sz w:val="22"/>
    </w:rPr>
  </w:style>
  <w:style w:type="paragraph" w:styleId="Revision">
    <w:name w:val="Revision"/>
    <w:hidden/>
    <w:uiPriority w:val="99"/>
    <w:semiHidden/>
    <w:rsid w:val="00645384"/>
    <w:rPr>
      <w:snapToGrid w:val="0"/>
      <w:kern w:val="28"/>
      <w:sz w:val="22"/>
    </w:rPr>
  </w:style>
  <w:style w:type="character" w:customStyle="1" w:styleId="ParaNumChar">
    <w:name w:val="ParaNum Char"/>
    <w:link w:val="ParaNum"/>
    <w:locked/>
    <w:rsid w:val="00F25961"/>
    <w:rPr>
      <w:snapToGrid w:val="0"/>
      <w:kern w:val="28"/>
      <w:sz w:val="22"/>
    </w:rPr>
  </w:style>
  <w:style w:type="character" w:styleId="CommentReference">
    <w:name w:val="annotation reference"/>
    <w:basedOn w:val="DefaultParagraphFont"/>
    <w:uiPriority w:val="99"/>
    <w:rsid w:val="00AB054F"/>
    <w:rPr>
      <w:sz w:val="16"/>
      <w:szCs w:val="16"/>
    </w:rPr>
  </w:style>
  <w:style w:type="paragraph" w:styleId="CommentText">
    <w:name w:val="annotation text"/>
    <w:basedOn w:val="Normal"/>
    <w:link w:val="CommentTextChar"/>
    <w:rsid w:val="00AB054F"/>
    <w:rPr>
      <w:sz w:val="20"/>
    </w:rPr>
  </w:style>
  <w:style w:type="character" w:customStyle="1" w:styleId="CommentTextChar">
    <w:name w:val="Comment Text Char"/>
    <w:basedOn w:val="DefaultParagraphFont"/>
    <w:link w:val="CommentText"/>
    <w:rsid w:val="00AB054F"/>
    <w:rPr>
      <w:snapToGrid w:val="0"/>
      <w:kern w:val="28"/>
    </w:rPr>
  </w:style>
  <w:style w:type="paragraph" w:styleId="CommentSubject">
    <w:name w:val="annotation subject"/>
    <w:basedOn w:val="CommentText"/>
    <w:next w:val="CommentText"/>
    <w:link w:val="CommentSubjectChar"/>
    <w:semiHidden/>
    <w:unhideWhenUsed/>
    <w:rsid w:val="00AB054F"/>
    <w:rPr>
      <w:b/>
      <w:bCs/>
    </w:rPr>
  </w:style>
  <w:style w:type="character" w:customStyle="1" w:styleId="CommentSubjectChar">
    <w:name w:val="Comment Subject Char"/>
    <w:basedOn w:val="CommentTextChar"/>
    <w:link w:val="CommentSubject"/>
    <w:semiHidden/>
    <w:rsid w:val="00AB054F"/>
    <w:rPr>
      <w:b/>
      <w:bCs/>
      <w:snapToGrid w:val="0"/>
      <w:kern w:val="28"/>
    </w:rPr>
  </w:style>
  <w:style w:type="paragraph" w:styleId="ListParagraph">
    <w:name w:val="List Paragraph"/>
    <w:basedOn w:val="Normal"/>
    <w:uiPriority w:val="34"/>
    <w:qFormat/>
    <w:rsid w:val="00BB4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header" Target="head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header" Target="head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