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6" w:type="dxa"/>
        <w:tblLook w:val="0000"/>
      </w:tblPr>
      <w:tblGrid>
        <w:gridCol w:w="8886"/>
      </w:tblGrid>
      <w:tr w14:paraId="77920C03" w14:textId="77777777" w:rsidTr="00026E6E">
        <w:tblPrEx>
          <w:tblW w:w="8886" w:type="dxa"/>
          <w:tblLook w:val="0000"/>
        </w:tblPrEx>
        <w:trPr>
          <w:trHeight w:val="1776"/>
        </w:trPr>
        <w:tc>
          <w:tcPr>
            <w:tcW w:w="888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6241FD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6241FD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6241FD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6241FD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4539957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649D45E">
              <w:rPr>
                <w:b/>
                <w:bCs/>
                <w:sz w:val="26"/>
                <w:szCs w:val="26"/>
              </w:rPr>
              <w:t xml:space="preserve">FCC </w:t>
            </w:r>
            <w:r w:rsidRPr="0649D45E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0649D45E" w:rsidR="313BE1DF">
              <w:rPr>
                <w:b/>
                <w:bCs/>
                <w:sz w:val="26"/>
                <w:szCs w:val="26"/>
              </w:rPr>
              <w:t>NEARLY</w:t>
            </w:r>
            <w:r w:rsidRPr="0649D45E" w:rsidR="23B4127A">
              <w:rPr>
                <w:b/>
                <w:bCs/>
                <w:sz w:val="26"/>
                <w:szCs w:val="26"/>
              </w:rPr>
              <w:t xml:space="preserve"> </w:t>
            </w:r>
            <w:r w:rsidRPr="0649D45E" w:rsidR="47D74C59">
              <w:rPr>
                <w:b/>
                <w:bCs/>
                <w:sz w:val="26"/>
                <w:szCs w:val="26"/>
              </w:rPr>
              <w:t>$55</w:t>
            </w:r>
            <w:r w:rsidRPr="0649D45E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6536D5" w:rsidP="0649D45E" w14:paraId="3914E789" w14:textId="3B9C761A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649D45E">
              <w:rPr>
                <w:b/>
                <w:bCs/>
                <w:i/>
                <w:iCs/>
              </w:rPr>
              <w:t xml:space="preserve">To date, the Commission Has Committed </w:t>
            </w:r>
            <w:r w:rsidRPr="0649D45E" w:rsidR="6CB14282">
              <w:rPr>
                <w:b/>
                <w:bCs/>
                <w:i/>
                <w:iCs/>
              </w:rPr>
              <w:t>O</w:t>
            </w:r>
            <w:r w:rsidRPr="0649D45E">
              <w:rPr>
                <w:b/>
                <w:bCs/>
                <w:i/>
                <w:iCs/>
              </w:rPr>
              <w:t>ver $</w:t>
            </w:r>
            <w:r w:rsidRPr="0649D45E" w:rsidR="7FAC8A1D">
              <w:rPr>
                <w:b/>
                <w:bCs/>
                <w:i/>
                <w:iCs/>
              </w:rPr>
              <w:t>5.9</w:t>
            </w:r>
            <w:r w:rsidRPr="0649D45E">
              <w:rPr>
                <w:b/>
                <w:bCs/>
                <w:i/>
                <w:iCs/>
              </w:rPr>
              <w:t xml:space="preserve"> Billion to Schools And Libraries Across </w:t>
            </w:r>
            <w:r w:rsidRPr="0649D45E" w:rsidR="0007488F">
              <w:rPr>
                <w:b/>
                <w:bCs/>
                <w:i/>
                <w:iCs/>
              </w:rPr>
              <w:t>t</w:t>
            </w:r>
            <w:r w:rsidRPr="0649D45E">
              <w:rPr>
                <w:b/>
                <w:bCs/>
                <w:i/>
                <w:iCs/>
              </w:rPr>
              <w:t>he Country</w:t>
            </w:r>
          </w:p>
          <w:p w:rsidR="00F61155" w:rsidRPr="006536D5" w:rsidP="00BB4E29" w14:paraId="7B850CCB" w14:textId="6CE8C686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</w:rPr>
            </w:pPr>
            <w:r w:rsidRPr="006536D5">
              <w:rPr>
                <w:b/>
                <w:bCs/>
                <w:i/>
                <w:color w:val="F2F2F2" w:themeColor="background1" w:themeShade="F2"/>
              </w:rPr>
              <w:t>-</w:t>
            </w:r>
            <w:r w:rsidRPr="006536D5" w:rsidR="00347716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E27129" w:rsidP="0C23F844" w14:paraId="496575C7" w14:textId="11A09E05">
            <w:pPr>
              <w:rPr>
                <w:sz w:val="22"/>
                <w:szCs w:val="22"/>
              </w:rPr>
            </w:pPr>
            <w:r w:rsidRPr="0649D45E">
              <w:rPr>
                <w:sz w:val="22"/>
                <w:szCs w:val="22"/>
              </w:rPr>
              <w:t xml:space="preserve">WASHINGTON, </w:t>
            </w:r>
            <w:r w:rsidRPr="0649D45E" w:rsidR="000C799F">
              <w:rPr>
                <w:sz w:val="22"/>
                <w:szCs w:val="22"/>
              </w:rPr>
              <w:t xml:space="preserve">September </w:t>
            </w:r>
            <w:r w:rsidRPr="0649D45E" w:rsidR="00A87878">
              <w:rPr>
                <w:sz w:val="22"/>
                <w:szCs w:val="22"/>
              </w:rPr>
              <w:t>21</w:t>
            </w:r>
            <w:r w:rsidRPr="0649D45E" w:rsidR="00431176">
              <w:rPr>
                <w:sz w:val="22"/>
                <w:szCs w:val="22"/>
              </w:rPr>
              <w:t>,</w:t>
            </w:r>
            <w:r w:rsidRPr="0649D45E" w:rsidR="00065E2D">
              <w:rPr>
                <w:sz w:val="22"/>
                <w:szCs w:val="22"/>
              </w:rPr>
              <w:t xml:space="preserve"> 20</w:t>
            </w:r>
            <w:r w:rsidRPr="0649D45E" w:rsidR="006D16EF">
              <w:rPr>
                <w:sz w:val="22"/>
                <w:szCs w:val="22"/>
              </w:rPr>
              <w:t>2</w:t>
            </w:r>
            <w:r w:rsidRPr="0649D45E" w:rsidR="00286596">
              <w:rPr>
                <w:sz w:val="22"/>
                <w:szCs w:val="22"/>
              </w:rPr>
              <w:t>2</w:t>
            </w:r>
            <w:r w:rsidRPr="0649D45E" w:rsidR="00D861EE">
              <w:rPr>
                <w:sz w:val="22"/>
                <w:szCs w:val="22"/>
              </w:rPr>
              <w:t>—</w:t>
            </w:r>
            <w:r w:rsidRPr="0649D45E" w:rsidR="000E049E">
              <w:rPr>
                <w:sz w:val="22"/>
                <w:szCs w:val="22"/>
              </w:rPr>
              <w:t>The</w:t>
            </w:r>
            <w:r w:rsidRPr="0649D45E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0649D45E" w:rsidR="009757D3">
              <w:rPr>
                <w:sz w:val="22"/>
                <w:szCs w:val="22"/>
              </w:rPr>
              <w:t xml:space="preserve"> </w:t>
            </w:r>
            <w:r w:rsidRPr="0649D45E" w:rsidR="7E553850">
              <w:rPr>
                <w:sz w:val="22"/>
                <w:szCs w:val="22"/>
              </w:rPr>
              <w:t>nearly</w:t>
            </w:r>
            <w:r w:rsidRPr="0649D45E" w:rsidR="00CD513A">
              <w:rPr>
                <w:sz w:val="22"/>
                <w:szCs w:val="22"/>
              </w:rPr>
              <w:t xml:space="preserve"> $</w:t>
            </w:r>
            <w:r w:rsidRPr="0649D45E" w:rsidR="49A3FBFF">
              <w:rPr>
                <w:sz w:val="22"/>
                <w:szCs w:val="22"/>
              </w:rPr>
              <w:t>55</w:t>
            </w:r>
            <w:r w:rsidRPr="0649D45E" w:rsidR="009757D3">
              <w:rPr>
                <w:sz w:val="22"/>
                <w:szCs w:val="22"/>
              </w:rPr>
              <w:t xml:space="preserve"> million </w:t>
            </w:r>
            <w:r w:rsidR="00021F67">
              <w:rPr>
                <w:sz w:val="22"/>
                <w:szCs w:val="22"/>
              </w:rPr>
              <w:t xml:space="preserve">in </w:t>
            </w:r>
            <w:r w:rsidRPr="0649D45E" w:rsidR="0007488F">
              <w:rPr>
                <w:sz w:val="22"/>
                <w:szCs w:val="22"/>
              </w:rPr>
              <w:t>new funding rounds</w:t>
            </w:r>
            <w:r w:rsidRPr="0649D45E">
              <w:rPr>
                <w:sz w:val="22"/>
                <w:szCs w:val="22"/>
              </w:rPr>
              <w:t xml:space="preserve"> through the </w:t>
            </w:r>
            <w:hyperlink r:id="rId6">
              <w:r w:rsidRPr="0649D45E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0649D45E">
              <w:rPr>
                <w:sz w:val="22"/>
                <w:szCs w:val="22"/>
              </w:rPr>
              <w:t xml:space="preserve">, </w:t>
            </w:r>
            <w:r w:rsidRPr="0649D45E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0649D45E">
              <w:rPr>
                <w:sz w:val="22"/>
                <w:szCs w:val="22"/>
              </w:rPr>
              <w:t>.  T</w:t>
            </w:r>
            <w:r w:rsidRPr="0649D45E" w:rsidR="002E3AAA">
              <w:rPr>
                <w:sz w:val="22"/>
                <w:szCs w:val="22"/>
              </w:rPr>
              <w:t>oday’s funding commitments support</w:t>
            </w:r>
            <w:r w:rsidRPr="0649D45E">
              <w:rPr>
                <w:sz w:val="22"/>
                <w:szCs w:val="22"/>
              </w:rPr>
              <w:t xml:space="preserve"> applications from </w:t>
            </w:r>
            <w:r w:rsidRPr="0649D45E" w:rsidR="00A87878">
              <w:rPr>
                <w:sz w:val="22"/>
                <w:szCs w:val="22"/>
              </w:rPr>
              <w:t>all three application windows,</w:t>
            </w:r>
            <w:r w:rsidRPr="0649D45E" w:rsidR="006536D5">
              <w:rPr>
                <w:sz w:val="22"/>
                <w:szCs w:val="22"/>
              </w:rPr>
              <w:t xml:space="preserve"> </w:t>
            </w:r>
            <w:r w:rsidRPr="0649D45E" w:rsidR="0052438B">
              <w:rPr>
                <w:sz w:val="22"/>
                <w:szCs w:val="22"/>
              </w:rPr>
              <w:t xml:space="preserve">benefiting </w:t>
            </w:r>
            <w:r w:rsidRPr="0649D45E" w:rsidR="531D1C86">
              <w:rPr>
                <w:sz w:val="22"/>
                <w:szCs w:val="22"/>
              </w:rPr>
              <w:t>approximately</w:t>
            </w:r>
            <w:r w:rsidRPr="0649D45E" w:rsidR="3D8DE528">
              <w:rPr>
                <w:sz w:val="22"/>
                <w:szCs w:val="22"/>
              </w:rPr>
              <w:t xml:space="preserve"> </w:t>
            </w:r>
            <w:r w:rsidRPr="0649D45E" w:rsidR="41576BDD">
              <w:rPr>
                <w:sz w:val="22"/>
                <w:szCs w:val="22"/>
              </w:rPr>
              <w:t>125,000</w:t>
            </w:r>
            <w:r w:rsidRPr="0649D45E" w:rsidR="0052438B">
              <w:rPr>
                <w:sz w:val="22"/>
                <w:szCs w:val="22"/>
              </w:rPr>
              <w:t xml:space="preserve"> </w:t>
            </w:r>
            <w:r w:rsidRPr="0649D45E">
              <w:rPr>
                <w:sz w:val="22"/>
                <w:szCs w:val="22"/>
              </w:rPr>
              <w:t>students</w:t>
            </w:r>
            <w:r w:rsidRPr="0649D45E" w:rsidR="006536D5">
              <w:rPr>
                <w:sz w:val="22"/>
                <w:szCs w:val="22"/>
              </w:rPr>
              <w:t xml:space="preserve"> </w:t>
            </w:r>
            <w:r w:rsidRPr="0649D45E">
              <w:rPr>
                <w:sz w:val="22"/>
                <w:szCs w:val="22"/>
              </w:rPr>
              <w:t xml:space="preserve">across the country, including </w:t>
            </w:r>
            <w:r w:rsidRPr="0649D45E" w:rsidR="69BDBB50">
              <w:rPr>
                <w:sz w:val="22"/>
                <w:szCs w:val="22"/>
              </w:rPr>
              <w:t xml:space="preserve">students in </w:t>
            </w:r>
            <w:r w:rsidRPr="0649D45E" w:rsidR="5487211F">
              <w:rPr>
                <w:sz w:val="22"/>
                <w:szCs w:val="22"/>
              </w:rPr>
              <w:t>California, Indiana, Michigan, Puerto Rico, and Texas</w:t>
            </w:r>
            <w:r w:rsidRPr="0649D45E" w:rsidR="006536D5">
              <w:rPr>
                <w:sz w:val="22"/>
                <w:szCs w:val="22"/>
              </w:rPr>
              <w:t>.</w:t>
            </w:r>
            <w:r w:rsidRPr="0649D45E">
              <w:rPr>
                <w:sz w:val="22"/>
                <w:szCs w:val="22"/>
              </w:rPr>
              <w:t xml:space="preserve">  </w:t>
            </w:r>
          </w:p>
          <w:p w:rsidR="00E27129" w:rsidRPr="00E27129" w:rsidP="00E27129" w14:paraId="342BF29B" w14:textId="77777777">
            <w:pPr>
              <w:rPr>
                <w:sz w:val="22"/>
                <w:szCs w:val="22"/>
              </w:rPr>
            </w:pPr>
            <w:bookmarkStart w:id="0" w:name="_Hlk113439483"/>
          </w:p>
          <w:p w:rsidR="00B95EE9" w:rsidP="00B95EE9" w14:paraId="3D103E6E" w14:textId="695EFAF6">
            <w:pPr>
              <w:rPr>
                <w:sz w:val="22"/>
                <w:szCs w:val="22"/>
              </w:rPr>
            </w:pPr>
            <w:r w:rsidRPr="00E27129">
              <w:rPr>
                <w:sz w:val="22"/>
                <w:szCs w:val="22"/>
              </w:rPr>
              <w:t>“</w:t>
            </w:r>
            <w:r w:rsidR="00B41828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A87878">
              <w:rPr>
                <w:sz w:val="22"/>
                <w:szCs w:val="22"/>
              </w:rPr>
              <w:t xml:space="preserve">the school year in full swing, kids need to be able to </w:t>
            </w:r>
            <w:r w:rsidR="00B41828">
              <w:rPr>
                <w:sz w:val="22"/>
                <w:szCs w:val="22"/>
              </w:rPr>
              <w:t>connect with teachers and homework assignments</w:t>
            </w:r>
            <w:r w:rsidR="00A87878">
              <w:rPr>
                <w:sz w:val="22"/>
                <w:szCs w:val="22"/>
              </w:rPr>
              <w:t xml:space="preserve"> when they </w:t>
            </w:r>
            <w:r w:rsidR="006536D5">
              <w:rPr>
                <w:sz w:val="22"/>
                <w:szCs w:val="22"/>
              </w:rPr>
              <w:t>are away from school grounds</w:t>
            </w:r>
            <w:r>
              <w:rPr>
                <w:sz w:val="22"/>
                <w:szCs w:val="22"/>
              </w:rPr>
              <w:t>,”</w:t>
            </w:r>
            <w:r w:rsidRPr="00E27129">
              <w:rPr>
                <w:sz w:val="22"/>
                <w:szCs w:val="22"/>
              </w:rPr>
              <w:t xml:space="preserve"> </w:t>
            </w:r>
            <w:r w:rsidRPr="005831B9">
              <w:rPr>
                <w:b/>
                <w:bCs/>
                <w:sz w:val="22"/>
                <w:szCs w:val="22"/>
              </w:rPr>
              <w:t>said Chairwoman Rosenworcel</w:t>
            </w:r>
            <w:r w:rsidRPr="00E2712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E27129">
              <w:rPr>
                <w:sz w:val="22"/>
                <w:szCs w:val="22"/>
              </w:rPr>
              <w:t>“</w:t>
            </w:r>
            <w:r w:rsidR="00A87878">
              <w:rPr>
                <w:sz w:val="22"/>
                <w:szCs w:val="22"/>
              </w:rPr>
              <w:t>Our latest funding</w:t>
            </w:r>
            <w:r w:rsidR="0007488F">
              <w:rPr>
                <w:sz w:val="22"/>
                <w:szCs w:val="22"/>
              </w:rPr>
              <w:t xml:space="preserve"> commitments</w:t>
            </w:r>
            <w:r w:rsidR="00A87878">
              <w:rPr>
                <w:sz w:val="22"/>
                <w:szCs w:val="22"/>
              </w:rPr>
              <w:t xml:space="preserve"> will provide this support, and continue our ongoing progress to close </w:t>
            </w:r>
            <w:r w:rsidRPr="00E27129">
              <w:rPr>
                <w:sz w:val="22"/>
                <w:szCs w:val="22"/>
              </w:rPr>
              <w:t>the Homework Gap.”</w:t>
            </w:r>
            <w:r w:rsidR="0009416B">
              <w:rPr>
                <w:sz w:val="22"/>
                <w:szCs w:val="22"/>
              </w:rPr>
              <w:t xml:space="preserve"> </w:t>
            </w:r>
          </w:p>
          <w:bookmarkEnd w:id="0"/>
          <w:p w:rsidR="00E27129" w:rsidRPr="00AB786D" w:rsidP="0C23F844" w14:paraId="525959D1" w14:textId="77777777">
            <w:pPr>
              <w:rPr>
                <w:sz w:val="22"/>
                <w:szCs w:val="22"/>
              </w:rPr>
            </w:pPr>
          </w:p>
          <w:p w:rsidR="00040127" w:rsidRPr="00D772BD" w:rsidP="002E165B" w14:paraId="348DBDF4" w14:textId="7C0529B4">
            <w:pPr>
              <w:rPr>
                <w:sz w:val="22"/>
                <w:szCs w:val="22"/>
              </w:rPr>
            </w:pPr>
            <w:r w:rsidRPr="0649D45E">
              <w:rPr>
                <w:sz w:val="22"/>
                <w:szCs w:val="22"/>
              </w:rPr>
              <w:t xml:space="preserve">To date, the Commission has committed </w:t>
            </w:r>
            <w:r w:rsidRPr="0649D45E" w:rsidR="5B871780">
              <w:rPr>
                <w:sz w:val="22"/>
                <w:szCs w:val="22"/>
              </w:rPr>
              <w:t xml:space="preserve">over </w:t>
            </w:r>
            <w:r w:rsidRPr="0649D45E">
              <w:rPr>
                <w:sz w:val="22"/>
                <w:szCs w:val="22"/>
              </w:rPr>
              <w:t>$</w:t>
            </w:r>
            <w:r w:rsidRPr="0649D45E" w:rsidR="0E1BA130">
              <w:rPr>
                <w:sz w:val="22"/>
                <w:szCs w:val="22"/>
              </w:rPr>
              <w:t>5</w:t>
            </w:r>
            <w:r w:rsidRPr="0649D45E" w:rsidR="00A87878">
              <w:rPr>
                <w:sz w:val="22"/>
                <w:szCs w:val="22"/>
              </w:rPr>
              <w:t>.</w:t>
            </w:r>
            <w:r w:rsidRPr="0649D45E" w:rsidR="7B464F5C">
              <w:rPr>
                <w:sz w:val="22"/>
                <w:szCs w:val="22"/>
              </w:rPr>
              <w:t xml:space="preserve">9 </w:t>
            </w:r>
            <w:r w:rsidRPr="0649D45E">
              <w:rPr>
                <w:sz w:val="22"/>
                <w:szCs w:val="22"/>
              </w:rPr>
              <w:t>billion</w:t>
            </w:r>
            <w:r w:rsidRPr="0649D45E" w:rsidR="00E90944">
              <w:rPr>
                <w:sz w:val="22"/>
                <w:szCs w:val="22"/>
              </w:rPr>
              <w:t xml:space="preserve"> to schools and libraries across the country</w:t>
            </w:r>
            <w:r w:rsidRPr="0649D45E" w:rsidR="00FE530E">
              <w:rPr>
                <w:sz w:val="22"/>
                <w:szCs w:val="22"/>
              </w:rPr>
              <w:t xml:space="preserve"> as part of the Eme</w:t>
            </w:r>
            <w:r w:rsidRPr="0649D45E" w:rsidR="00FB4CCC">
              <w:rPr>
                <w:sz w:val="22"/>
                <w:szCs w:val="22"/>
              </w:rPr>
              <w:t>r</w:t>
            </w:r>
            <w:r w:rsidRPr="0649D45E" w:rsidR="00FE530E">
              <w:rPr>
                <w:sz w:val="22"/>
                <w:szCs w:val="22"/>
              </w:rPr>
              <w:t xml:space="preserve">gency Connectivity Program, </w:t>
            </w:r>
            <w:r w:rsidRPr="0649D45E" w:rsidR="0007395C">
              <w:rPr>
                <w:sz w:val="22"/>
                <w:szCs w:val="22"/>
              </w:rPr>
              <w:t>which launched last year</w:t>
            </w:r>
            <w:r w:rsidRPr="0649D45E" w:rsidR="00FE530E">
              <w:rPr>
                <w:sz w:val="22"/>
                <w:szCs w:val="22"/>
              </w:rPr>
              <w:t xml:space="preserve">. </w:t>
            </w:r>
            <w:r w:rsidR="00333DF8">
              <w:rPr>
                <w:sz w:val="22"/>
                <w:szCs w:val="22"/>
              </w:rPr>
              <w:t xml:space="preserve"> </w:t>
            </w:r>
            <w:r w:rsidRPr="0649D45E" w:rsidR="00E90944">
              <w:rPr>
                <w:sz w:val="22"/>
                <w:szCs w:val="22"/>
              </w:rPr>
              <w:t xml:space="preserve">Today’s announcement includes </w:t>
            </w:r>
            <w:r w:rsidRPr="0649D45E" w:rsidR="11020704">
              <w:rPr>
                <w:sz w:val="22"/>
                <w:szCs w:val="22"/>
              </w:rPr>
              <w:t xml:space="preserve">nearly $775,000 </w:t>
            </w:r>
            <w:r w:rsidRPr="0649D45E" w:rsidR="00433ACF">
              <w:rPr>
                <w:sz w:val="22"/>
                <w:szCs w:val="22"/>
              </w:rPr>
              <w:t xml:space="preserve">from the </w:t>
            </w:r>
            <w:r w:rsidRPr="0649D45E" w:rsidR="006B2FFA">
              <w:rPr>
                <w:sz w:val="22"/>
                <w:szCs w:val="22"/>
              </w:rPr>
              <w:t>first</w:t>
            </w:r>
            <w:r w:rsidRPr="0649D45E" w:rsidR="57CFF9F8">
              <w:rPr>
                <w:sz w:val="22"/>
                <w:szCs w:val="22"/>
              </w:rPr>
              <w:t xml:space="preserve"> and second</w:t>
            </w:r>
            <w:r w:rsidRPr="0649D45E" w:rsidR="006B2FFA">
              <w:rPr>
                <w:sz w:val="22"/>
                <w:szCs w:val="22"/>
              </w:rPr>
              <w:t xml:space="preserve"> application window and</w:t>
            </w:r>
            <w:r w:rsidRPr="0649D45E" w:rsidR="7FD7DC01">
              <w:rPr>
                <w:sz w:val="22"/>
                <w:szCs w:val="22"/>
              </w:rPr>
              <w:t xml:space="preserve"> over $54 million</w:t>
            </w:r>
            <w:r w:rsidRPr="0649D45E" w:rsidR="006B2FFA">
              <w:rPr>
                <w:sz w:val="22"/>
                <w:szCs w:val="22"/>
              </w:rPr>
              <w:t xml:space="preserve"> from the third window.  Funding from all three rounds </w:t>
            </w:r>
            <w:r w:rsidRPr="0649D45E" w:rsidR="00433ACF">
              <w:rPr>
                <w:sz w:val="22"/>
                <w:szCs w:val="22"/>
              </w:rPr>
              <w:t>will support</w:t>
            </w:r>
            <w:r w:rsidRPr="0649D45E" w:rsidR="288D43C2">
              <w:rPr>
                <w:sz w:val="22"/>
                <w:szCs w:val="22"/>
              </w:rPr>
              <w:t xml:space="preserve"> over </w:t>
            </w:r>
            <w:r w:rsidRPr="0649D45E" w:rsidR="0F5C1237">
              <w:rPr>
                <w:sz w:val="22"/>
                <w:szCs w:val="22"/>
              </w:rPr>
              <w:t>200</w:t>
            </w:r>
            <w:r w:rsidRPr="0649D45E" w:rsidR="288D43C2">
              <w:rPr>
                <w:sz w:val="22"/>
                <w:szCs w:val="22"/>
              </w:rPr>
              <w:t xml:space="preserve"> schools, </w:t>
            </w:r>
            <w:r w:rsidRPr="0649D45E" w:rsidR="386F4374">
              <w:rPr>
                <w:sz w:val="22"/>
                <w:szCs w:val="22"/>
              </w:rPr>
              <w:t>20</w:t>
            </w:r>
            <w:r w:rsidRPr="0649D45E" w:rsidR="288D43C2">
              <w:rPr>
                <w:sz w:val="22"/>
                <w:szCs w:val="22"/>
              </w:rPr>
              <w:t xml:space="preserve"> libraries, and </w:t>
            </w:r>
            <w:r w:rsidRPr="0649D45E" w:rsidR="2BA904F3">
              <w:rPr>
                <w:sz w:val="22"/>
                <w:szCs w:val="22"/>
              </w:rPr>
              <w:t>2</w:t>
            </w:r>
            <w:r w:rsidRPr="0649D45E" w:rsidR="288D43C2">
              <w:rPr>
                <w:sz w:val="22"/>
                <w:szCs w:val="22"/>
              </w:rPr>
              <w:t xml:space="preserve"> consortia.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6536D5" w:rsidP="005D166D" w14:paraId="05656F2D" w14:textId="567C1C28">
            <w:pPr>
              <w:rPr>
                <w:sz w:val="22"/>
                <w:szCs w:val="22"/>
              </w:rPr>
            </w:pPr>
            <w:r w:rsidRPr="0649D45E">
              <w:rPr>
                <w:sz w:val="22"/>
                <w:szCs w:val="22"/>
              </w:rPr>
              <w:t xml:space="preserve">students across the country have the necessary support to keep up with their </w:t>
            </w:r>
            <w:r w:rsidRPr="0649D45E">
              <w:rPr>
                <w:sz w:val="22"/>
                <w:szCs w:val="22"/>
              </w:rPr>
              <w:t>eucation</w:t>
            </w:r>
            <w:r w:rsidRPr="0649D45E">
              <w:rPr>
                <w:sz w:val="22"/>
                <w:szCs w:val="22"/>
              </w:rPr>
              <w:t>.</w:t>
            </w:r>
            <w:r w:rsidRPr="0649D45E" w:rsidR="00680A51">
              <w:rPr>
                <w:sz w:val="22"/>
                <w:szCs w:val="22"/>
              </w:rPr>
              <w:t xml:space="preserve">  </w:t>
            </w:r>
            <w:r w:rsidRPr="0649D45E">
              <w:rPr>
                <w:sz w:val="22"/>
                <w:szCs w:val="22"/>
              </w:rPr>
              <w:t xml:space="preserve">To date, the program has provided support to approximately 10,000 schools, 900 libraries, and 100 consortia, and providing nearly 12 million connected devices and over 7 million broadband connections.  Of the </w:t>
            </w:r>
            <w:r w:rsidRPr="0649D45E" w:rsidR="48D78676">
              <w:rPr>
                <w:sz w:val="22"/>
                <w:szCs w:val="22"/>
              </w:rPr>
              <w:t>over</w:t>
            </w:r>
            <w:r w:rsidRPr="0649D45E" w:rsidR="11BCF034">
              <w:rPr>
                <w:sz w:val="22"/>
                <w:szCs w:val="22"/>
              </w:rPr>
              <w:t xml:space="preserve"> $</w:t>
            </w:r>
            <w:r w:rsidRPr="0649D45E" w:rsidR="0D8A2C7D">
              <w:rPr>
                <w:sz w:val="22"/>
                <w:szCs w:val="22"/>
              </w:rPr>
              <w:t>5</w:t>
            </w:r>
            <w:r w:rsidRPr="0649D45E" w:rsidR="0089206B">
              <w:rPr>
                <w:sz w:val="22"/>
                <w:szCs w:val="22"/>
              </w:rPr>
              <w:t>.</w:t>
            </w:r>
            <w:r w:rsidRPr="0649D45E" w:rsidR="05A8DD23">
              <w:rPr>
                <w:sz w:val="22"/>
                <w:szCs w:val="22"/>
              </w:rPr>
              <w:t>9</w:t>
            </w:r>
            <w:r w:rsidRPr="0649D45E">
              <w:rPr>
                <w:sz w:val="22"/>
                <w:szCs w:val="22"/>
              </w:rPr>
              <w:t xml:space="preserve"> billion in funding commitments approved to date, approximately</w:t>
            </w:r>
            <w:r w:rsidRPr="0649D45E" w:rsidR="7BDDCA7D">
              <w:rPr>
                <w:sz w:val="22"/>
                <w:szCs w:val="22"/>
              </w:rPr>
              <w:t xml:space="preserve"> </w:t>
            </w:r>
            <w:r w:rsidRPr="0649D45E">
              <w:rPr>
                <w:sz w:val="22"/>
                <w:szCs w:val="22"/>
              </w:rPr>
              <w:t>$</w:t>
            </w:r>
            <w:r w:rsidRPr="0649D45E" w:rsidR="5D3C1937">
              <w:rPr>
                <w:sz w:val="22"/>
                <w:szCs w:val="22"/>
              </w:rPr>
              <w:t>4</w:t>
            </w:r>
            <w:r w:rsidRPr="0649D45E" w:rsidR="0089206B">
              <w:rPr>
                <w:sz w:val="22"/>
                <w:szCs w:val="22"/>
              </w:rPr>
              <w:t>.</w:t>
            </w:r>
            <w:r w:rsidRPr="0649D45E" w:rsidR="7571B3C8">
              <w:rPr>
                <w:sz w:val="22"/>
                <w:szCs w:val="22"/>
              </w:rPr>
              <w:t>1</w:t>
            </w:r>
            <w:r w:rsidRPr="0649D45E">
              <w:rPr>
                <w:sz w:val="22"/>
                <w:szCs w:val="22"/>
              </w:rPr>
              <w:t xml:space="preserve"> billion is supporting applications from Window 1</w:t>
            </w:r>
            <w:r w:rsidRPr="0649D45E" w:rsidR="0089206B">
              <w:rPr>
                <w:sz w:val="22"/>
                <w:szCs w:val="22"/>
              </w:rPr>
              <w:t>;</w:t>
            </w:r>
            <w:r w:rsidRPr="0649D45E">
              <w:rPr>
                <w:sz w:val="22"/>
                <w:szCs w:val="22"/>
              </w:rPr>
              <w:t xml:space="preserve"> $</w:t>
            </w:r>
            <w:r w:rsidRPr="0649D45E" w:rsidR="5AE9D9B5">
              <w:rPr>
                <w:sz w:val="22"/>
                <w:szCs w:val="22"/>
              </w:rPr>
              <w:t>833</w:t>
            </w:r>
            <w:r w:rsidRPr="0649D45E" w:rsidR="0089206B">
              <w:rPr>
                <w:sz w:val="22"/>
                <w:szCs w:val="22"/>
              </w:rPr>
              <w:t xml:space="preserve"> </w:t>
            </w:r>
            <w:r w:rsidRPr="0649D45E">
              <w:rPr>
                <w:sz w:val="22"/>
                <w:szCs w:val="22"/>
              </w:rPr>
              <w:t>million from Window 2; and $</w:t>
            </w:r>
            <w:r w:rsidRPr="0649D45E" w:rsidR="456223A7">
              <w:rPr>
                <w:sz w:val="22"/>
                <w:szCs w:val="22"/>
              </w:rPr>
              <w:t>947</w:t>
            </w:r>
            <w:r w:rsidRPr="0649D45E">
              <w:rPr>
                <w:sz w:val="22"/>
                <w:szCs w:val="22"/>
              </w:rPr>
              <w:t xml:space="preserve"> million from Window 3.  </w:t>
            </w:r>
          </w:p>
          <w:p w:rsidR="006536D5" w:rsidP="005D166D" w14:paraId="459698F2" w14:textId="77777777">
            <w:pPr>
              <w:rPr>
                <w:sz w:val="22"/>
                <w:szCs w:val="22"/>
              </w:rPr>
            </w:pPr>
          </w:p>
          <w:p w:rsidR="006536D5" w:rsidP="005D166D" w14:paraId="6FFE0C55" w14:textId="69470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list of the total number of funded connections and connected devices by state is available here: </w:t>
            </w:r>
            <w:hyperlink r:id="rId6" w:history="1">
              <w:r w:rsidRPr="00D34C9D" w:rsidR="0007488F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="0007488F">
              <w:rPr>
                <w:sz w:val="22"/>
                <w:szCs w:val="22"/>
              </w:rPr>
              <w:t>.</w:t>
            </w:r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333DF8" w14:paraId="4AE0A8B8" w14:textId="77777777">
            <w:pPr>
              <w:ind w:right="72"/>
              <w:rPr>
                <w:b/>
                <w:bCs/>
                <w:sz w:val="18"/>
                <w:szCs w:val="18"/>
              </w:rPr>
            </w:pPr>
          </w:p>
          <w:p w:rsidR="00EE0E90" w:rsidP="00850E26" w14:paraId="5EEEEE4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6241FD" w:rsidRPr="006241FD" w:rsidP="006241FD" w14:paraId="27B5768F" w14:textId="728B4A01">
            <w:pPr>
              <w:tabs>
                <w:tab w:val="left" w:pos="7092"/>
              </w:tabs>
              <w:rPr>
                <w:sz w:val="16"/>
                <w:szCs w:val="16"/>
              </w:rPr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1F67"/>
    <w:rsid w:val="0002500C"/>
    <w:rsid w:val="00026E6E"/>
    <w:rsid w:val="000311FC"/>
    <w:rsid w:val="00040127"/>
    <w:rsid w:val="00065E2D"/>
    <w:rsid w:val="0007395C"/>
    <w:rsid w:val="0007488F"/>
    <w:rsid w:val="00081232"/>
    <w:rsid w:val="00091E65"/>
    <w:rsid w:val="0009416B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0F243B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448D"/>
    <w:rsid w:val="001865A9"/>
    <w:rsid w:val="00187DB2"/>
    <w:rsid w:val="00193712"/>
    <w:rsid w:val="001B20BB"/>
    <w:rsid w:val="001C4370"/>
    <w:rsid w:val="001D3779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33DF8"/>
    <w:rsid w:val="00347716"/>
    <w:rsid w:val="003506E1"/>
    <w:rsid w:val="0036222A"/>
    <w:rsid w:val="003637EA"/>
    <w:rsid w:val="003727E3"/>
    <w:rsid w:val="00373A2F"/>
    <w:rsid w:val="00385A93"/>
    <w:rsid w:val="003910F1"/>
    <w:rsid w:val="003B257E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60483"/>
    <w:rsid w:val="004639F0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31B9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241FD"/>
    <w:rsid w:val="00625E35"/>
    <w:rsid w:val="006415B4"/>
    <w:rsid w:val="00644E3D"/>
    <w:rsid w:val="00651B9E"/>
    <w:rsid w:val="00652019"/>
    <w:rsid w:val="006536D5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3A29"/>
    <w:rsid w:val="0069420F"/>
    <w:rsid w:val="006A2FC5"/>
    <w:rsid w:val="006A7D75"/>
    <w:rsid w:val="006B0A70"/>
    <w:rsid w:val="006B2FFA"/>
    <w:rsid w:val="006B606A"/>
    <w:rsid w:val="006C1422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686B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9206B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54D32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87878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F051B"/>
    <w:rsid w:val="00B037A2"/>
    <w:rsid w:val="00B31870"/>
    <w:rsid w:val="00B320B8"/>
    <w:rsid w:val="00B35EE2"/>
    <w:rsid w:val="00B36DEF"/>
    <w:rsid w:val="00B41828"/>
    <w:rsid w:val="00B522CD"/>
    <w:rsid w:val="00B5278D"/>
    <w:rsid w:val="00B57131"/>
    <w:rsid w:val="00B62F2C"/>
    <w:rsid w:val="00B727C9"/>
    <w:rsid w:val="00B735C8"/>
    <w:rsid w:val="00B76A63"/>
    <w:rsid w:val="00B95EE9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01656"/>
    <w:rsid w:val="00C224DA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4C9D"/>
    <w:rsid w:val="00D46CB1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DF6BD8"/>
    <w:rsid w:val="00E0327F"/>
    <w:rsid w:val="00E27129"/>
    <w:rsid w:val="00E349AA"/>
    <w:rsid w:val="00E41390"/>
    <w:rsid w:val="00E41CA0"/>
    <w:rsid w:val="00E4366B"/>
    <w:rsid w:val="00E50A4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50D25"/>
    <w:rsid w:val="00F535D8"/>
    <w:rsid w:val="00F61155"/>
    <w:rsid w:val="00F63858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419E60F"/>
    <w:rsid w:val="04C95769"/>
    <w:rsid w:val="05A8DD23"/>
    <w:rsid w:val="0649D45E"/>
    <w:rsid w:val="0815F569"/>
    <w:rsid w:val="0C0B45FD"/>
    <w:rsid w:val="0C23F844"/>
    <w:rsid w:val="0C77721B"/>
    <w:rsid w:val="0D4A8344"/>
    <w:rsid w:val="0D8A2C7D"/>
    <w:rsid w:val="0E1BA130"/>
    <w:rsid w:val="0F5C1237"/>
    <w:rsid w:val="0F6427A1"/>
    <w:rsid w:val="11020704"/>
    <w:rsid w:val="11BCF034"/>
    <w:rsid w:val="12BFA7C9"/>
    <w:rsid w:val="12E8AA37"/>
    <w:rsid w:val="13B988E8"/>
    <w:rsid w:val="145DD60A"/>
    <w:rsid w:val="1635C10A"/>
    <w:rsid w:val="178DC96C"/>
    <w:rsid w:val="1840EBE7"/>
    <w:rsid w:val="184313E0"/>
    <w:rsid w:val="1BE7AB4C"/>
    <w:rsid w:val="1D3FC69C"/>
    <w:rsid w:val="1F0E6BAF"/>
    <w:rsid w:val="1F60F80F"/>
    <w:rsid w:val="205C093E"/>
    <w:rsid w:val="23674EAA"/>
    <w:rsid w:val="23B4127A"/>
    <w:rsid w:val="24176981"/>
    <w:rsid w:val="2664FFDC"/>
    <w:rsid w:val="288D43C2"/>
    <w:rsid w:val="2BA8D6D8"/>
    <w:rsid w:val="2BA904F3"/>
    <w:rsid w:val="2E3D5F01"/>
    <w:rsid w:val="313BE1DF"/>
    <w:rsid w:val="349FC680"/>
    <w:rsid w:val="35723465"/>
    <w:rsid w:val="359BCE4B"/>
    <w:rsid w:val="386EC3FC"/>
    <w:rsid w:val="386F4374"/>
    <w:rsid w:val="3A841A2A"/>
    <w:rsid w:val="3AE48F84"/>
    <w:rsid w:val="3D8DE528"/>
    <w:rsid w:val="3DFEEF50"/>
    <w:rsid w:val="3EB4C945"/>
    <w:rsid w:val="3ED2C197"/>
    <w:rsid w:val="406E91F8"/>
    <w:rsid w:val="40D6292C"/>
    <w:rsid w:val="41576BDD"/>
    <w:rsid w:val="41795815"/>
    <w:rsid w:val="418B5D35"/>
    <w:rsid w:val="423629AC"/>
    <w:rsid w:val="4271F98D"/>
    <w:rsid w:val="42E6987E"/>
    <w:rsid w:val="431E35DB"/>
    <w:rsid w:val="446E30D4"/>
    <w:rsid w:val="4510CF7A"/>
    <w:rsid w:val="456223A7"/>
    <w:rsid w:val="47D74C59"/>
    <w:rsid w:val="48B712E8"/>
    <w:rsid w:val="48D78676"/>
    <w:rsid w:val="49A3FBFF"/>
    <w:rsid w:val="4A2C2BE9"/>
    <w:rsid w:val="4B66B6CB"/>
    <w:rsid w:val="4E9E578D"/>
    <w:rsid w:val="5097E731"/>
    <w:rsid w:val="531D1C86"/>
    <w:rsid w:val="5487211F"/>
    <w:rsid w:val="548C4224"/>
    <w:rsid w:val="568B8650"/>
    <w:rsid w:val="569A2C72"/>
    <w:rsid w:val="569A58AF"/>
    <w:rsid w:val="57CFF9F8"/>
    <w:rsid w:val="58122DE1"/>
    <w:rsid w:val="5AE9D9B5"/>
    <w:rsid w:val="5B871780"/>
    <w:rsid w:val="5B927622"/>
    <w:rsid w:val="5D3C1937"/>
    <w:rsid w:val="5E6EC930"/>
    <w:rsid w:val="5F085777"/>
    <w:rsid w:val="60E7C3DD"/>
    <w:rsid w:val="617D937E"/>
    <w:rsid w:val="637F02D5"/>
    <w:rsid w:val="63CD60BE"/>
    <w:rsid w:val="6414E763"/>
    <w:rsid w:val="66004E6A"/>
    <w:rsid w:val="67F7E715"/>
    <w:rsid w:val="6981BBCE"/>
    <w:rsid w:val="69BDBB50"/>
    <w:rsid w:val="6CB14282"/>
    <w:rsid w:val="6E5C8659"/>
    <w:rsid w:val="714E511A"/>
    <w:rsid w:val="71FB1CA6"/>
    <w:rsid w:val="73D09D6C"/>
    <w:rsid w:val="74406375"/>
    <w:rsid w:val="75058210"/>
    <w:rsid w:val="7571B3C8"/>
    <w:rsid w:val="7A4D6D14"/>
    <w:rsid w:val="7AF9F17E"/>
    <w:rsid w:val="7B2B61A9"/>
    <w:rsid w:val="7B464F5C"/>
    <w:rsid w:val="7BDDCA7D"/>
    <w:rsid w:val="7C93AC04"/>
    <w:rsid w:val="7CC7320A"/>
    <w:rsid w:val="7E553850"/>
    <w:rsid w:val="7EDBA026"/>
    <w:rsid w:val="7FAC8A1D"/>
    <w:rsid w:val="7FAEE4AE"/>
    <w:rsid w:val="7FC37CDD"/>
    <w:rsid w:val="7FD7DC0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styleId="Header">
    <w:name w:val="header"/>
    <w:basedOn w:val="Normal"/>
    <w:link w:val="HeaderChar"/>
    <w:unhideWhenUsed/>
    <w:rsid w:val="00624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41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4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