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25DED" w:rsidRPr="00A57BBA" w:rsidP="00725DED" w14:paraId="03108DA5" w14:textId="3574AF47">
      <w:pPr>
        <w:pStyle w:val="TOAHeading"/>
        <w:jc w:val="right"/>
        <w:rPr>
          <w:rFonts w:ascii="Times New Roman" w:hAnsi="Times New Roman"/>
        </w:rPr>
      </w:pPr>
      <w:r>
        <w:rPr>
          <w:rFonts w:ascii="Times New Roman" w:hAnsi="Times New Roman"/>
        </w:rPr>
        <w:t>September</w:t>
      </w:r>
      <w:r w:rsidR="00A7537D">
        <w:rPr>
          <w:rFonts w:ascii="Times New Roman" w:hAnsi="Times New Roman"/>
        </w:rPr>
        <w:t xml:space="preserve"> 22</w:t>
      </w:r>
      <w:r w:rsidRPr="00A57BBA">
        <w:rPr>
          <w:rFonts w:ascii="Times New Roman" w:hAnsi="Times New Roman"/>
        </w:rPr>
        <w:t>, 202</w:t>
      </w:r>
      <w:r w:rsidR="008C2876">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7F345DFA">
      <w:pPr>
        <w:pStyle w:val="NewHeading"/>
        <w:rPr>
          <w:rFonts w:ascii="Times New Roman" w:hAnsi="Times New Roman"/>
        </w:rPr>
      </w:pPr>
      <w:r>
        <w:rPr>
          <w:rFonts w:ascii="Times New Roman" w:hAnsi="Times New Roman"/>
        </w:rPr>
        <w:t>THURSDAY</w:t>
      </w:r>
      <w:r w:rsidRPr="2B070387" w:rsidR="2B070387">
        <w:rPr>
          <w:rFonts w:ascii="Times New Roman" w:hAnsi="Times New Roman"/>
        </w:rPr>
        <w:t xml:space="preserve">, </w:t>
      </w:r>
      <w:r>
        <w:rPr>
          <w:rFonts w:ascii="Times New Roman" w:hAnsi="Times New Roman"/>
        </w:rPr>
        <w:t>SEPTEMBER 29</w:t>
      </w:r>
      <w:r w:rsidRPr="2B070387" w:rsidR="2B070387">
        <w:rPr>
          <w:rFonts w:ascii="Times New Roman" w:hAnsi="Times New Roman"/>
        </w:rPr>
        <w:t>, 202</w:t>
      </w:r>
      <w:r w:rsidR="008C2876">
        <w:rPr>
          <w:rFonts w:ascii="Times New Roman" w:hAnsi="Times New Roman"/>
        </w:rPr>
        <w:t>2</w:t>
      </w:r>
    </w:p>
    <w:p w:rsidR="00725DED" w:rsidRPr="00A57BBA" w:rsidP="00725DED" w14:paraId="325BBD68" w14:textId="77777777">
      <w:pPr>
        <w:rPr>
          <w:rFonts w:ascii="Times New Roman" w:hAnsi="Times New Roman"/>
        </w:rPr>
      </w:pPr>
    </w:p>
    <w:p w:rsidR="008C2876" w:rsidP="008C2876" w14:paraId="556AE248" w14:textId="4B77D878">
      <w:pPr>
        <w:pStyle w:val="BodyText"/>
      </w:pPr>
      <w:r>
        <w:t xml:space="preserve">The Federal Communications Commission will hold an Open Meeting on the subjects listed below on </w:t>
      </w:r>
      <w:r w:rsidR="00395229">
        <w:t>Thursday</w:t>
      </w:r>
      <w:r>
        <w:t xml:space="preserve">, </w:t>
      </w:r>
      <w:r w:rsidR="00395229">
        <w:t>September 29</w:t>
      </w:r>
      <w:r>
        <w:t xml:space="preserve">, 2022, which is scheduled to commence at 10:30 a.m. in the Commission Meeting Room of the Federal Communications Commission, 45 L Street, N.E., Washington, D.C. </w:t>
      </w:r>
    </w:p>
    <w:p w:rsidR="008C2876" w:rsidP="008C2876" w14:paraId="0077C3C5" w14:textId="77777777">
      <w:pPr>
        <w:pStyle w:val="BodyText"/>
      </w:pPr>
    </w:p>
    <w:p w:rsidR="00725DED" w:rsidP="008C2876" w14:paraId="047E1913" w14:textId="0D9E075B">
      <w:pPr>
        <w:pStyle w:val="BodyText"/>
        <w:jc w:val="left"/>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r>
        <w:t xml:space="preserve">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4DB562AB">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4DB562AB">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0295ABB3">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653B79" w:rsidRPr="00AD67D4" w:rsidP="004E3901" w14:paraId="0216B1DE" w14:textId="55A68560">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E403F7">
              <w:rPr>
                <w:rFonts w:ascii="Times New Roman" w:hAnsi="Times New Roman"/>
              </w:rPr>
              <w:t xml:space="preserve"> </w:t>
            </w:r>
            <w:r w:rsidRPr="00E403F7" w:rsidR="00402EF1">
              <w:rPr>
                <w:rFonts w:ascii="Times New Roman" w:hAnsi="Times New Roman"/>
              </w:rPr>
              <w:t xml:space="preserve"> </w:t>
            </w:r>
            <w:r w:rsidRPr="00493D08" w:rsidR="00493D08">
              <w:rPr>
                <w:rFonts w:ascii="Times New Roman" w:hAnsi="Times New Roman"/>
              </w:rPr>
              <w:t>Space Innovation</w:t>
            </w:r>
            <w:r w:rsidR="00A415BC">
              <w:rPr>
                <w:rFonts w:ascii="Times New Roman" w:hAnsi="Times New Roman"/>
              </w:rPr>
              <w:t xml:space="preserve"> </w:t>
            </w:r>
            <w:r w:rsidRPr="008C2876" w:rsidR="00A415BC">
              <w:rPr>
                <w:rFonts w:ascii="Times New Roman" w:hAnsi="Times New Roman"/>
              </w:rPr>
              <w:t>(</w:t>
            </w:r>
            <w:r w:rsidRPr="00493D08" w:rsidR="00A415BC">
              <w:rPr>
                <w:rFonts w:ascii="Times New Roman" w:hAnsi="Times New Roman"/>
              </w:rPr>
              <w:t>IB Docket No. 22-271</w:t>
            </w:r>
            <w:r w:rsidRPr="008C2876" w:rsidR="00A415BC">
              <w:rPr>
                <w:rFonts w:ascii="Times New Roman" w:hAnsi="Times New Roman"/>
              </w:rPr>
              <w:t>)</w:t>
            </w:r>
            <w:r w:rsidR="00A415BC">
              <w:rPr>
                <w:rFonts w:ascii="Times New Roman" w:hAnsi="Times New Roman"/>
              </w:rPr>
              <w:t xml:space="preserve"> </w:t>
            </w:r>
            <w:r w:rsidRPr="00493D08" w:rsidR="00493D08">
              <w:rPr>
                <w:rFonts w:ascii="Times New Roman" w:hAnsi="Times New Roman"/>
              </w:rPr>
              <w:t>Mitigation of Orbital Debris in the New Space Age</w:t>
            </w:r>
            <w:r w:rsidRPr="008C2876" w:rsidR="008C2876">
              <w:rPr>
                <w:rFonts w:ascii="Times New Roman" w:hAnsi="Times New Roman"/>
              </w:rPr>
              <w:t xml:space="preserve"> (</w:t>
            </w:r>
            <w:r w:rsidRPr="00493D08" w:rsidR="00493D08">
              <w:rPr>
                <w:rFonts w:ascii="Times New Roman" w:hAnsi="Times New Roman"/>
              </w:rPr>
              <w:t xml:space="preserve">IB Docket No. </w:t>
            </w:r>
            <w:r w:rsidR="00A415BC">
              <w:rPr>
                <w:rFonts w:ascii="Times New Roman" w:hAnsi="Times New Roman"/>
              </w:rPr>
              <w:t>18</w:t>
            </w:r>
            <w:r w:rsidRPr="00493D08" w:rsidR="00493D08">
              <w:rPr>
                <w:rFonts w:ascii="Times New Roman" w:hAnsi="Times New Roman"/>
              </w:rPr>
              <w:t>-</w:t>
            </w:r>
            <w:r w:rsidR="00A415BC">
              <w:rPr>
                <w:rFonts w:ascii="Times New Roman" w:hAnsi="Times New Roman"/>
              </w:rPr>
              <w:t>313</w:t>
            </w:r>
            <w:r w:rsidRPr="008C2876" w:rsidR="008C2876">
              <w:rPr>
                <w:rFonts w:ascii="Times New Roman" w:hAnsi="Times New Roman"/>
              </w:rPr>
              <w:t>)</w:t>
            </w:r>
          </w:p>
          <w:p w:rsidR="00C068A9" w:rsidRPr="00C94151" w:rsidP="008C2876" w14:paraId="66D36E28" w14:textId="7E18699B">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493D08" w:rsidR="00493D08">
              <w:rPr>
                <w:rFonts w:ascii="Times New Roman" w:hAnsi="Times New Roman"/>
              </w:rPr>
              <w:t xml:space="preserve">The Commission will consider a Second Report and Order that would adopt rules requiring low-Earth orbit space station operators planning disposal through uncontrolled atmospheric re-entry to complete disposal as soon as practicable, and no more than five years following the end of their mission. </w:t>
            </w:r>
          </w:p>
        </w:tc>
      </w:tr>
      <w:tr w14:paraId="7B15272A"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8D5A75" w:rsidP="00725DED" w14:paraId="4C3CB0B5" w14:textId="77777777">
            <w:pPr>
              <w:autoSpaceDE/>
              <w:autoSpaceDN/>
              <w:spacing w:before="120" w:after="54"/>
              <w:jc w:val="center"/>
              <w:rPr>
                <w:rFonts w:ascii="Times New Roman" w:hAnsi="Times New Roman"/>
                <w:b/>
                <w:bCs/>
              </w:rPr>
            </w:pPr>
            <w:r>
              <w:rPr>
                <w:rFonts w:ascii="Times New Roman" w:hAnsi="Times New Roman"/>
                <w:b/>
                <w:bCs/>
              </w:rPr>
              <w:t xml:space="preserve">CONSUMER &amp; GOVERNMENTAL AFFAIRS AND </w:t>
            </w:r>
          </w:p>
          <w:p w:rsidR="00405A38" w:rsidP="00725DED" w14:paraId="10D8A3C5" w14:textId="299ECD74">
            <w:pPr>
              <w:autoSpaceDE/>
              <w:autoSpaceDN/>
              <w:spacing w:before="120" w:after="54"/>
              <w:jc w:val="center"/>
              <w:rPr>
                <w:rFonts w:ascii="Times New Roman" w:hAnsi="Times New Roman"/>
                <w:b/>
                <w:bCs/>
              </w:rPr>
            </w:pPr>
            <w:r>
              <w:rPr>
                <w:rFonts w:ascii="Times New Roman" w:hAnsi="Times New Roman"/>
                <w:b/>
                <w:bCs/>
              </w:rPr>
              <w:t>WIRELINE COMPETITION</w:t>
            </w:r>
          </w:p>
          <w:p w:rsidR="00D27010" w:rsidP="00471428" w14:paraId="40CAFD1B" w14:textId="5704339A">
            <w:pPr>
              <w:autoSpaceDE/>
              <w:autoSpaceDN/>
              <w:spacing w:before="120" w:after="54"/>
              <w:jc w:val="center"/>
              <w:rPr>
                <w:rFonts w:ascii="Times New Roman" w:hAnsi="Times New Roman"/>
                <w:b/>
              </w:rPr>
            </w:pPr>
          </w:p>
        </w:tc>
        <w:tc>
          <w:tcPr>
            <w:tcW w:w="5220" w:type="dxa"/>
          </w:tcPr>
          <w:p w:rsidR="00236606" w:rsidP="00925F72" w14:paraId="0BB58C38" w14:textId="09986090">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6E2C9E">
              <w:rPr>
                <w:rFonts w:ascii="Times New Roman" w:hAnsi="Times New Roman"/>
                <w:b/>
                <w:bCs/>
              </w:rPr>
              <w:t xml:space="preserve"> </w:t>
            </w:r>
            <w:r w:rsidRPr="00AC6F58" w:rsidR="00AC6F58">
              <w:rPr>
                <w:rFonts w:ascii="Times New Roman" w:hAnsi="Times New Roman"/>
              </w:rPr>
              <w:t>Calling Services for Incarcerated People</w:t>
            </w:r>
            <w:r>
              <w:rPr>
                <w:rFonts w:ascii="Times New Roman" w:hAnsi="Times New Roman"/>
              </w:rPr>
              <w:t xml:space="preserve"> </w:t>
            </w:r>
            <w:r w:rsidRPr="008C2876" w:rsidR="008C2876">
              <w:rPr>
                <w:rFonts w:ascii="Times New Roman" w:hAnsi="Times New Roman"/>
              </w:rPr>
              <w:t xml:space="preserve">(WC Docket No. </w:t>
            </w:r>
            <w:r w:rsidRPr="00AC6F58" w:rsidR="00AC6F58">
              <w:rPr>
                <w:rFonts w:ascii="Times New Roman" w:hAnsi="Times New Roman"/>
              </w:rPr>
              <w:t>12-375</w:t>
            </w:r>
            <w:r w:rsidRPr="008C2876" w:rsidR="008C2876">
              <w:rPr>
                <w:rFonts w:ascii="Times New Roman" w:hAnsi="Times New Roman"/>
              </w:rPr>
              <w:t>)</w:t>
            </w:r>
          </w:p>
          <w:p w:rsidR="005B623D" w:rsidRPr="00144038" w:rsidP="008C2876" w14:paraId="49DE955F" w14:textId="4CA6CD38">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AC6F58" w:rsidR="00AC6F58">
              <w:rPr>
                <w:rFonts w:ascii="Times New Roman" w:hAnsi="Times New Roman"/>
              </w:rPr>
              <w:t>The Commission will consider a Report and Order and Further Notice of Proposed Rulemaking to improve access to communications for incarcerated people with disabilities and reduce the financial burdens created by certain calling service charges and practices.</w:t>
            </w:r>
          </w:p>
        </w:tc>
      </w:tr>
      <w:tr w14:paraId="7FC4FBF5" w14:textId="77777777" w:rsidTr="4DB562AB">
        <w:tblPrEx>
          <w:tblW w:w="9540" w:type="dxa"/>
          <w:tblInd w:w="-60" w:type="dxa"/>
          <w:tblLayout w:type="fixed"/>
          <w:tblCellMar>
            <w:left w:w="120" w:type="dxa"/>
            <w:right w:w="120" w:type="dxa"/>
          </w:tblCellMar>
          <w:tblLook w:val="0000"/>
        </w:tblPrEx>
        <w:tc>
          <w:tcPr>
            <w:tcW w:w="1440" w:type="dxa"/>
          </w:tcPr>
          <w:p w:rsidR="00895610" w:rsidP="004E3901" w14:paraId="065F13A1" w14:textId="1C10B374">
            <w:pPr>
              <w:suppressAutoHyphens/>
              <w:spacing w:before="90" w:after="54"/>
              <w:jc w:val="center"/>
              <w:rPr>
                <w:rFonts w:ascii="Times New Roman" w:hAnsi="Times New Roman"/>
                <w:b/>
              </w:rPr>
            </w:pPr>
            <w:r>
              <w:rPr>
                <w:rFonts w:ascii="Times New Roman" w:hAnsi="Times New Roman"/>
                <w:b/>
              </w:rPr>
              <w:t>3</w:t>
            </w:r>
          </w:p>
        </w:tc>
        <w:tc>
          <w:tcPr>
            <w:tcW w:w="2880" w:type="dxa"/>
          </w:tcPr>
          <w:p w:rsidR="00895610" w:rsidRPr="0024134A" w:rsidP="003D4E12" w14:paraId="0880B81F" w14:textId="1C7A880D">
            <w:pPr>
              <w:keepNext/>
              <w:autoSpaceDE/>
              <w:autoSpaceDN/>
              <w:spacing w:before="120" w:after="54"/>
              <w:jc w:val="center"/>
              <w:rPr>
                <w:rFonts w:ascii="Times New Roman" w:hAnsi="Times New Roman"/>
                <w:b/>
              </w:rPr>
            </w:pPr>
            <w:r>
              <w:rPr>
                <w:rFonts w:ascii="Times New Roman" w:hAnsi="Times New Roman"/>
                <w:b/>
                <w:bCs/>
              </w:rPr>
              <w:t>PUBLIC SAFETY &amp; HOMELAND SECURITY</w:t>
            </w:r>
          </w:p>
        </w:tc>
        <w:tc>
          <w:tcPr>
            <w:tcW w:w="5220" w:type="dxa"/>
          </w:tcPr>
          <w:p w:rsidR="00F43C89" w:rsidP="003D4E12" w14:paraId="494A5ABA" w14:textId="207E5635">
            <w:pPr>
              <w:keepNext/>
              <w:widowControl/>
              <w:suppressAutoHyphens/>
              <w:autoSpaceDE/>
              <w:adjustRightInd/>
              <w:spacing w:before="90" w:after="54"/>
              <w:rPr>
                <w:rFonts w:ascii="Times New Roman" w:hAnsi="Times New Roman"/>
              </w:rPr>
            </w:pPr>
            <w:r w:rsidRPr="4DB562AB">
              <w:rPr>
                <w:rFonts w:ascii="Times New Roman" w:hAnsi="Times New Roman"/>
                <w:b/>
                <w:bCs/>
              </w:rPr>
              <w:t xml:space="preserve">TITLE:  </w:t>
            </w:r>
            <w:r w:rsidRPr="00F107A5" w:rsidR="00F107A5">
              <w:rPr>
                <w:rFonts w:ascii="Times New Roman" w:hAnsi="Times New Roman"/>
                <w:spacing w:val="-2"/>
                <w:szCs w:val="22"/>
              </w:rPr>
              <w:t xml:space="preserve">Improving Accessibility and Clarity of Emergency Alerts </w:t>
            </w:r>
            <w:r w:rsidRPr="00F107A5" w:rsidR="00F107A5">
              <w:rPr>
                <w:rFonts w:ascii="Times New Roman" w:hAnsi="Times New Roman"/>
              </w:rPr>
              <w:t>(PS Docket No. 15-94)</w:t>
            </w:r>
          </w:p>
          <w:p w:rsidR="00C068A9" w:rsidRPr="00B51E30" w:rsidP="003D4E12" w14:paraId="4D242C51" w14:textId="607212D7">
            <w:pPr>
              <w:keepNext/>
              <w:widowControl/>
              <w:suppressAutoHyphens/>
              <w:autoSpaceDE/>
              <w:adjustRightInd/>
              <w:spacing w:before="90" w:after="54"/>
              <w:rPr>
                <w:rFonts w:ascii="Times New Roman" w:hAnsi="Times New Roman"/>
                <w:b/>
              </w:rPr>
            </w:pPr>
            <w:r>
              <w:rPr>
                <w:rFonts w:ascii="Times New Roman" w:hAnsi="Times New Roman"/>
                <w:b/>
                <w:bCs/>
              </w:rPr>
              <w:t>SUMMARY</w:t>
            </w:r>
            <w:r w:rsidRPr="00707F21">
              <w:rPr>
                <w:rFonts w:ascii="Times New Roman" w:hAnsi="Times New Roman"/>
                <w:b/>
                <w:bCs/>
              </w:rPr>
              <w:t xml:space="preserve">:  </w:t>
            </w:r>
            <w:r w:rsidRPr="00F107A5" w:rsidR="00F107A5">
              <w:rPr>
                <w:rFonts w:ascii="Times New Roman" w:hAnsi="Times New Roman"/>
              </w:rPr>
              <w:t>The Commission will consider a Report and Order to improve the clarity and accessibility of Emergency Alert System (EAS) visual messages to the public, including persons who are deaf or hard of hearing as well as others who are unable to access the audio message</w:t>
            </w:r>
            <w:r w:rsidR="00F107A5">
              <w:rPr>
                <w:rFonts w:ascii="Times New Roman" w:hAnsi="Times New Roman"/>
              </w:rPr>
              <w:t>.</w:t>
            </w:r>
          </w:p>
        </w:tc>
      </w:tr>
      <w:tr w14:paraId="4FF3E17E"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48095ECE" w14:textId="57737F8F">
            <w:pPr>
              <w:suppressAutoHyphens/>
              <w:spacing w:before="90" w:after="54"/>
              <w:jc w:val="center"/>
              <w:rPr>
                <w:rFonts w:ascii="Times New Roman" w:hAnsi="Times New Roman"/>
                <w:b/>
              </w:rPr>
            </w:pPr>
            <w:r>
              <w:rPr>
                <w:rFonts w:ascii="Times New Roman" w:hAnsi="Times New Roman"/>
                <w:b/>
              </w:rPr>
              <w:t>4</w:t>
            </w:r>
          </w:p>
        </w:tc>
        <w:tc>
          <w:tcPr>
            <w:tcW w:w="2880" w:type="dxa"/>
          </w:tcPr>
          <w:p w:rsidR="007A00CA" w:rsidP="007A00CA" w14:paraId="2A86E86B" w14:textId="261D5BB9">
            <w:pPr>
              <w:autoSpaceDE/>
              <w:autoSpaceDN/>
              <w:spacing w:before="120" w:after="54"/>
              <w:jc w:val="center"/>
              <w:rPr>
                <w:rFonts w:ascii="Times New Roman" w:hAnsi="Times New Roman"/>
                <w:b/>
              </w:rPr>
            </w:pPr>
            <w:r>
              <w:rPr>
                <w:rFonts w:ascii="Times New Roman" w:hAnsi="Times New Roman"/>
                <w:b/>
              </w:rPr>
              <w:t>MEDIA</w:t>
            </w:r>
          </w:p>
        </w:tc>
        <w:tc>
          <w:tcPr>
            <w:tcW w:w="5220" w:type="dxa"/>
          </w:tcPr>
          <w:p w:rsidR="007A00CA" w:rsidRPr="00572943" w:rsidP="007A00CA" w14:paraId="51B7CDE1" w14:textId="7655FE21">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F107A5" w:rsidR="00F107A5">
              <w:rPr>
                <w:rFonts w:ascii="Times New Roman" w:hAnsi="Times New Roman"/>
              </w:rPr>
              <w:t>Removing Obsolete Analog TV Rules</w:t>
            </w:r>
            <w:r w:rsidR="00F107A5">
              <w:rPr>
                <w:rFonts w:ascii="Times New Roman" w:hAnsi="Times New Roman"/>
              </w:rPr>
              <w:t xml:space="preserve"> </w:t>
            </w:r>
            <w:r w:rsidRPr="00F107A5" w:rsidR="00F107A5">
              <w:rPr>
                <w:rFonts w:ascii="Times New Roman" w:hAnsi="Times New Roman"/>
              </w:rPr>
              <w:t>(MB Docket No. 22-227)</w:t>
            </w:r>
          </w:p>
          <w:p w:rsidR="007A00CA" w:rsidP="005601F8" w14:paraId="148F13B6" w14:textId="3F101CBC">
            <w:pPr>
              <w:widowControl/>
              <w:suppressAutoHyphens/>
              <w:autoSpaceDE/>
              <w:adjustRightInd/>
              <w:spacing w:before="90" w:after="54"/>
              <w:rPr>
                <w:rFonts w:ascii="Times New Roman" w:hAnsi="Times New Roman"/>
                <w:b/>
                <w:bCs/>
              </w:rPr>
            </w:pPr>
            <w:r>
              <w:rPr>
                <w:rFonts w:ascii="Times New Roman" w:hAnsi="Times New Roman"/>
                <w:b/>
                <w:bCs/>
              </w:rPr>
              <w:t>SUMMARY:</w:t>
            </w:r>
            <w:r>
              <w:rPr>
                <w:rFonts w:ascii="Times New Roman" w:hAnsi="Times New Roman"/>
              </w:rPr>
              <w:t xml:space="preserve"> </w:t>
            </w:r>
            <w:r w:rsidRPr="00F107A5" w:rsidR="00F107A5">
              <w:rPr>
                <w:rFonts w:ascii="Times New Roman" w:hAnsi="Times New Roman"/>
              </w:rPr>
              <w:t xml:space="preserve"> The Commission will consider a Notice of Proposed Rulemaking that would amend Part 73 of its rules for television and Class A television broadcast stations to remove obsolete rules for analog TV operations.</w:t>
            </w:r>
          </w:p>
        </w:tc>
      </w:tr>
      <w:tr w14:paraId="53C4B7CE"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67BCBBF" w14:textId="7006317F">
            <w:pPr>
              <w:suppressAutoHyphens/>
              <w:spacing w:before="90" w:after="54"/>
              <w:jc w:val="center"/>
              <w:rPr>
                <w:rFonts w:ascii="Times New Roman" w:hAnsi="Times New Roman"/>
                <w:b/>
              </w:rPr>
            </w:pPr>
          </w:p>
        </w:tc>
        <w:tc>
          <w:tcPr>
            <w:tcW w:w="2880" w:type="dxa"/>
          </w:tcPr>
          <w:p w:rsidR="006E2C9E" w:rsidP="007A00CA" w14:paraId="76442B09" w14:textId="06226194">
            <w:pPr>
              <w:autoSpaceDE/>
              <w:autoSpaceDN/>
              <w:spacing w:before="120" w:after="54"/>
              <w:jc w:val="center"/>
              <w:rPr>
                <w:rFonts w:ascii="Times New Roman" w:hAnsi="Times New Roman"/>
                <w:b/>
              </w:rPr>
            </w:pPr>
          </w:p>
        </w:tc>
        <w:tc>
          <w:tcPr>
            <w:tcW w:w="5220" w:type="dxa"/>
          </w:tcPr>
          <w:p w:rsidR="00C57F0E" w:rsidP="00C57F0E" w14:paraId="3033F181" w14:textId="31C1DE84">
            <w:pPr>
              <w:widowControl/>
              <w:suppressAutoHyphens/>
              <w:autoSpaceDE/>
              <w:adjustRightInd/>
              <w:spacing w:before="90" w:after="54"/>
              <w:rPr>
                <w:rFonts w:ascii="Times New Roman" w:hAnsi="Times New Roman"/>
                <w:b/>
                <w:bCs/>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3D7D1B" w:rsidRPr="00725DED" w:rsidP="003D7D1B" w14:paraId="747E9055" w14:textId="77777777">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3D7D1B" w:rsidRPr="00725DED" w:rsidP="003D7D1B" w14:paraId="367402F8" w14:textId="77777777">
      <w:pPr>
        <w:widowControl/>
        <w:adjustRightInd/>
        <w:rPr>
          <w:rFonts w:ascii="Times New Roman" w:hAnsi="Times New Roman"/>
        </w:rPr>
      </w:pPr>
    </w:p>
    <w:p w:rsidR="003D7D1B" w:rsidRPr="00725DED" w:rsidP="003D7D1B" w14:paraId="1BA2A1C3"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3D7D1B" w:rsidRPr="00725DED" w:rsidP="003D7D1B" w14:paraId="49247C1F" w14:textId="77777777">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3D7D1B" w:rsidRPr="00725DED" w:rsidP="003D7D1B" w14:paraId="17BA99A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3D7D1B" w:rsidRPr="00725DED" w:rsidP="003D7D1B" w14:paraId="6CA4DD07"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9871785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7854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43DA"/>
    <w:rsid w:val="00035BD5"/>
    <w:rsid w:val="00035C3C"/>
    <w:rsid w:val="0003624B"/>
    <w:rsid w:val="000363F7"/>
    <w:rsid w:val="0004327F"/>
    <w:rsid w:val="00045213"/>
    <w:rsid w:val="00055AB8"/>
    <w:rsid w:val="00055ECC"/>
    <w:rsid w:val="0005725E"/>
    <w:rsid w:val="00062173"/>
    <w:rsid w:val="0006705B"/>
    <w:rsid w:val="00070020"/>
    <w:rsid w:val="000760CC"/>
    <w:rsid w:val="00080198"/>
    <w:rsid w:val="00085903"/>
    <w:rsid w:val="00085FC2"/>
    <w:rsid w:val="00086D63"/>
    <w:rsid w:val="00087E02"/>
    <w:rsid w:val="0009448F"/>
    <w:rsid w:val="00095A71"/>
    <w:rsid w:val="000A0558"/>
    <w:rsid w:val="000A5716"/>
    <w:rsid w:val="000A7C80"/>
    <w:rsid w:val="000B1641"/>
    <w:rsid w:val="000B19B2"/>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64A92"/>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1F32"/>
    <w:rsid w:val="00244FFE"/>
    <w:rsid w:val="002533F3"/>
    <w:rsid w:val="00256871"/>
    <w:rsid w:val="0026053C"/>
    <w:rsid w:val="002605A8"/>
    <w:rsid w:val="00264547"/>
    <w:rsid w:val="002716F9"/>
    <w:rsid w:val="00273161"/>
    <w:rsid w:val="00275AB5"/>
    <w:rsid w:val="0027799A"/>
    <w:rsid w:val="00282881"/>
    <w:rsid w:val="00284B1D"/>
    <w:rsid w:val="00286E96"/>
    <w:rsid w:val="0028733B"/>
    <w:rsid w:val="00295DEE"/>
    <w:rsid w:val="002A4FB6"/>
    <w:rsid w:val="002B0C9F"/>
    <w:rsid w:val="002B137E"/>
    <w:rsid w:val="002B6C09"/>
    <w:rsid w:val="002C2689"/>
    <w:rsid w:val="002C5FD2"/>
    <w:rsid w:val="002C6860"/>
    <w:rsid w:val="002D09DA"/>
    <w:rsid w:val="002D2E79"/>
    <w:rsid w:val="002D3F0F"/>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94BA7"/>
    <w:rsid w:val="00395229"/>
    <w:rsid w:val="003A5E88"/>
    <w:rsid w:val="003B00EE"/>
    <w:rsid w:val="003B37BF"/>
    <w:rsid w:val="003B4774"/>
    <w:rsid w:val="003C5329"/>
    <w:rsid w:val="003C598F"/>
    <w:rsid w:val="003C6B8F"/>
    <w:rsid w:val="003D0925"/>
    <w:rsid w:val="003D4D37"/>
    <w:rsid w:val="003D4E12"/>
    <w:rsid w:val="003D7D1B"/>
    <w:rsid w:val="003E08C7"/>
    <w:rsid w:val="003E1CD3"/>
    <w:rsid w:val="003E2C0D"/>
    <w:rsid w:val="003E528F"/>
    <w:rsid w:val="003E5B9B"/>
    <w:rsid w:val="003F6EF8"/>
    <w:rsid w:val="003F7007"/>
    <w:rsid w:val="00402EF1"/>
    <w:rsid w:val="00405A38"/>
    <w:rsid w:val="00407C29"/>
    <w:rsid w:val="0042240F"/>
    <w:rsid w:val="00431E9B"/>
    <w:rsid w:val="00432969"/>
    <w:rsid w:val="00435C95"/>
    <w:rsid w:val="00455DF4"/>
    <w:rsid w:val="00456299"/>
    <w:rsid w:val="00460014"/>
    <w:rsid w:val="00467FFA"/>
    <w:rsid w:val="00471428"/>
    <w:rsid w:val="0047165B"/>
    <w:rsid w:val="00482B5A"/>
    <w:rsid w:val="004837BF"/>
    <w:rsid w:val="00484249"/>
    <w:rsid w:val="00493D08"/>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AEC"/>
    <w:rsid w:val="00530A68"/>
    <w:rsid w:val="005601F8"/>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3695A"/>
    <w:rsid w:val="0064081A"/>
    <w:rsid w:val="006425B9"/>
    <w:rsid w:val="00646D7E"/>
    <w:rsid w:val="00652A17"/>
    <w:rsid w:val="00653B79"/>
    <w:rsid w:val="00653F94"/>
    <w:rsid w:val="00663147"/>
    <w:rsid w:val="0066476B"/>
    <w:rsid w:val="00664D7E"/>
    <w:rsid w:val="00671C09"/>
    <w:rsid w:val="006809CD"/>
    <w:rsid w:val="00680F10"/>
    <w:rsid w:val="00683D78"/>
    <w:rsid w:val="006908ED"/>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216EA"/>
    <w:rsid w:val="007251FF"/>
    <w:rsid w:val="00725DED"/>
    <w:rsid w:val="00727368"/>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B59"/>
    <w:rsid w:val="00815876"/>
    <w:rsid w:val="008158C5"/>
    <w:rsid w:val="00827CAF"/>
    <w:rsid w:val="008307FB"/>
    <w:rsid w:val="00832F37"/>
    <w:rsid w:val="008465E5"/>
    <w:rsid w:val="00850991"/>
    <w:rsid w:val="00854ABC"/>
    <w:rsid w:val="00854C1A"/>
    <w:rsid w:val="008566EE"/>
    <w:rsid w:val="00875702"/>
    <w:rsid w:val="00877AB4"/>
    <w:rsid w:val="0089273B"/>
    <w:rsid w:val="00895610"/>
    <w:rsid w:val="008A7F4B"/>
    <w:rsid w:val="008B1D14"/>
    <w:rsid w:val="008C0C03"/>
    <w:rsid w:val="008C2876"/>
    <w:rsid w:val="008C3480"/>
    <w:rsid w:val="008C793E"/>
    <w:rsid w:val="008D41C9"/>
    <w:rsid w:val="008D5A75"/>
    <w:rsid w:val="008D792A"/>
    <w:rsid w:val="008D7C31"/>
    <w:rsid w:val="008E32B1"/>
    <w:rsid w:val="008E435A"/>
    <w:rsid w:val="008E4A3A"/>
    <w:rsid w:val="008E68D2"/>
    <w:rsid w:val="008F102E"/>
    <w:rsid w:val="008F123F"/>
    <w:rsid w:val="008F5C95"/>
    <w:rsid w:val="008F7AEB"/>
    <w:rsid w:val="00901A4D"/>
    <w:rsid w:val="009023E7"/>
    <w:rsid w:val="00905A2B"/>
    <w:rsid w:val="00921B59"/>
    <w:rsid w:val="009237F7"/>
    <w:rsid w:val="0092494B"/>
    <w:rsid w:val="009249E8"/>
    <w:rsid w:val="00925F72"/>
    <w:rsid w:val="00931666"/>
    <w:rsid w:val="009337A4"/>
    <w:rsid w:val="00934613"/>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27CB6"/>
    <w:rsid w:val="00A338CA"/>
    <w:rsid w:val="00A359F6"/>
    <w:rsid w:val="00A406F9"/>
    <w:rsid w:val="00A40853"/>
    <w:rsid w:val="00A40878"/>
    <w:rsid w:val="00A415BC"/>
    <w:rsid w:val="00A46EFA"/>
    <w:rsid w:val="00A4718E"/>
    <w:rsid w:val="00A475B0"/>
    <w:rsid w:val="00A57BBA"/>
    <w:rsid w:val="00A60C89"/>
    <w:rsid w:val="00A71C4F"/>
    <w:rsid w:val="00A75067"/>
    <w:rsid w:val="00A7537D"/>
    <w:rsid w:val="00A80A02"/>
    <w:rsid w:val="00A84C98"/>
    <w:rsid w:val="00A84FA7"/>
    <w:rsid w:val="00A90B7F"/>
    <w:rsid w:val="00A9103D"/>
    <w:rsid w:val="00A9722F"/>
    <w:rsid w:val="00AA0EDA"/>
    <w:rsid w:val="00AA14CF"/>
    <w:rsid w:val="00AA3D0F"/>
    <w:rsid w:val="00AB0A69"/>
    <w:rsid w:val="00AB3B47"/>
    <w:rsid w:val="00AB6035"/>
    <w:rsid w:val="00AB6E2F"/>
    <w:rsid w:val="00AC1230"/>
    <w:rsid w:val="00AC6368"/>
    <w:rsid w:val="00AC6F58"/>
    <w:rsid w:val="00AD1427"/>
    <w:rsid w:val="00AD273E"/>
    <w:rsid w:val="00AD67D4"/>
    <w:rsid w:val="00AD689C"/>
    <w:rsid w:val="00AE0782"/>
    <w:rsid w:val="00AE0BFE"/>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080"/>
    <w:rsid w:val="00BE060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428B"/>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348F"/>
    <w:rsid w:val="00D84BF2"/>
    <w:rsid w:val="00D85C06"/>
    <w:rsid w:val="00D90B95"/>
    <w:rsid w:val="00D91590"/>
    <w:rsid w:val="00D9679B"/>
    <w:rsid w:val="00DB03CD"/>
    <w:rsid w:val="00DB495D"/>
    <w:rsid w:val="00DB6586"/>
    <w:rsid w:val="00DC518C"/>
    <w:rsid w:val="00DC53BC"/>
    <w:rsid w:val="00DD1359"/>
    <w:rsid w:val="00DD217B"/>
    <w:rsid w:val="00DD2DF2"/>
    <w:rsid w:val="00DD7222"/>
    <w:rsid w:val="00DD7DF9"/>
    <w:rsid w:val="00DF0610"/>
    <w:rsid w:val="00DF40E5"/>
    <w:rsid w:val="00DF6E3F"/>
    <w:rsid w:val="00DF793F"/>
    <w:rsid w:val="00E065E1"/>
    <w:rsid w:val="00E07BDA"/>
    <w:rsid w:val="00E11B44"/>
    <w:rsid w:val="00E22527"/>
    <w:rsid w:val="00E22DA6"/>
    <w:rsid w:val="00E26373"/>
    <w:rsid w:val="00E3075D"/>
    <w:rsid w:val="00E33781"/>
    <w:rsid w:val="00E33F15"/>
    <w:rsid w:val="00E403F7"/>
    <w:rsid w:val="00E46E42"/>
    <w:rsid w:val="00E47DB5"/>
    <w:rsid w:val="00E505BA"/>
    <w:rsid w:val="00E56C66"/>
    <w:rsid w:val="00E621AB"/>
    <w:rsid w:val="00E64817"/>
    <w:rsid w:val="00E72E23"/>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E6324"/>
    <w:rsid w:val="00EF5845"/>
    <w:rsid w:val="00EF6BCE"/>
    <w:rsid w:val="00F062F1"/>
    <w:rsid w:val="00F107A5"/>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6039"/>
    <w:rsid w:val="00FF2E83"/>
    <w:rsid w:val="0F40DD71"/>
    <w:rsid w:val="2B070387"/>
    <w:rsid w:val="4DB562AB"/>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