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0E049E" w:rsidP="0005232A" w14:paraId="355CEA4E" w14:textId="79F9FB9C">
            <w:pPr>
              <w:tabs>
                <w:tab w:val="left" w:pos="8625"/>
              </w:tabs>
              <w:jc w:val="center"/>
              <w:rPr>
                <w:b/>
                <w:bCs/>
                <w:sz w:val="26"/>
                <w:szCs w:val="26"/>
              </w:rPr>
            </w:pPr>
            <w:r>
              <w:rPr>
                <w:b/>
                <w:bCs/>
                <w:sz w:val="26"/>
                <w:szCs w:val="26"/>
              </w:rPr>
              <w:t xml:space="preserve">FCC </w:t>
            </w:r>
            <w:r w:rsidR="00FE1D7E">
              <w:rPr>
                <w:b/>
                <w:bCs/>
                <w:sz w:val="26"/>
                <w:szCs w:val="26"/>
              </w:rPr>
              <w:t>ADOPTS</w:t>
            </w:r>
            <w:r>
              <w:rPr>
                <w:b/>
                <w:bCs/>
                <w:sz w:val="26"/>
                <w:szCs w:val="26"/>
              </w:rPr>
              <w:t xml:space="preserve"> </w:t>
            </w:r>
            <w:r w:rsidR="004474A2">
              <w:rPr>
                <w:b/>
                <w:bCs/>
                <w:sz w:val="26"/>
                <w:szCs w:val="26"/>
              </w:rPr>
              <w:t>NE</w:t>
            </w:r>
            <w:r w:rsidR="0005232A">
              <w:rPr>
                <w:b/>
                <w:bCs/>
                <w:sz w:val="26"/>
                <w:szCs w:val="26"/>
              </w:rPr>
              <w:t>W ‘5-YEAR RULE’ FOR DEORBITING SATELLITES TO ADDRESS GROWING RISK OF ORBITAL DEBRIS</w:t>
            </w:r>
          </w:p>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40127" w:rsidP="0061783E" w14:paraId="41D6C1A4" w14:textId="24E24EC7">
            <w:pPr>
              <w:rPr>
                <w:sz w:val="22"/>
                <w:szCs w:val="22"/>
              </w:rPr>
            </w:pPr>
            <w:r>
              <w:rPr>
                <w:sz w:val="22"/>
                <w:szCs w:val="22"/>
              </w:rPr>
              <w:t>WASHINGTON</w:t>
            </w:r>
            <w:r w:rsidRPr="00717758" w:rsidR="00FF1C0B">
              <w:rPr>
                <w:sz w:val="22"/>
                <w:szCs w:val="22"/>
              </w:rPr>
              <w:t xml:space="preserve">, </w:t>
            </w:r>
            <w:r w:rsidRPr="00717758" w:rsidR="00091051">
              <w:rPr>
                <w:sz w:val="22"/>
                <w:szCs w:val="22"/>
              </w:rPr>
              <w:t xml:space="preserve">September </w:t>
            </w:r>
            <w:r>
              <w:rPr>
                <w:sz w:val="22"/>
                <w:szCs w:val="22"/>
              </w:rPr>
              <w:t>29</w:t>
            </w:r>
            <w:r w:rsidRPr="00717758" w:rsidR="00065E2D">
              <w:rPr>
                <w:sz w:val="22"/>
                <w:szCs w:val="22"/>
              </w:rPr>
              <w:t>,</w:t>
            </w:r>
            <w:r w:rsidRPr="002E165B" w:rsidR="00065E2D">
              <w:rPr>
                <w:sz w:val="22"/>
                <w:szCs w:val="22"/>
              </w:rPr>
              <w:t xml:space="preserve"> 20</w:t>
            </w:r>
            <w:r w:rsidR="006D16EF">
              <w:rPr>
                <w:sz w:val="22"/>
                <w:szCs w:val="22"/>
              </w:rPr>
              <w:t>2</w:t>
            </w:r>
            <w:r w:rsidR="005B3059">
              <w:rPr>
                <w:sz w:val="22"/>
                <w:szCs w:val="22"/>
              </w:rPr>
              <w:t>2—</w:t>
            </w:r>
            <w:r w:rsidRPr="005B3059" w:rsidR="005B3059">
              <w:rPr>
                <w:sz w:val="22"/>
                <w:szCs w:val="22"/>
              </w:rPr>
              <w:t>The Federal Communications Commission today adopted new rules requiring satellite operators in low-Earth orbit to dispose of their satellites within 5 years of completing their missions.  The new rules shorten the decades-old 25-year guideline for deorbiting satellites post-mission, taking an important step in a new era for space safety and orbital debris policy.</w:t>
            </w:r>
            <w:bookmarkStart w:id="0" w:name="_Hlk114673515"/>
          </w:p>
          <w:p w:rsidR="000B22E4" w:rsidP="002E165B" w14:paraId="0199C369" w14:textId="38D37BE2">
            <w:pPr>
              <w:rPr>
                <w:sz w:val="22"/>
                <w:szCs w:val="22"/>
              </w:rPr>
            </w:pPr>
          </w:p>
          <w:p w:rsidR="00850E26" w:rsidRPr="00717758" w:rsidP="000C60DC" w14:paraId="66CF8432" w14:textId="70528495">
            <w:pPr>
              <w:rPr>
                <w:sz w:val="22"/>
                <w:szCs w:val="22"/>
              </w:rPr>
            </w:pPr>
            <w:r>
              <w:rPr>
                <w:sz w:val="22"/>
                <w:szCs w:val="22"/>
              </w:rPr>
              <w:t xml:space="preserve">The FCC takes seriously the short- and long-term challenges of orbital debris.  </w:t>
            </w:r>
            <w:r w:rsidRPr="00BF04E0" w:rsidR="00BF04E0">
              <w:rPr>
                <w:sz w:val="22"/>
                <w:szCs w:val="22"/>
              </w:rPr>
              <w:t>Defunct satellites, discarded rocket cores, and other debris now fill the space environment</w:t>
            </w:r>
            <w:r w:rsidR="00AC0D9F">
              <w:rPr>
                <w:sz w:val="22"/>
                <w:szCs w:val="22"/>
              </w:rPr>
              <w:t>,</w:t>
            </w:r>
            <w:r w:rsidRPr="00BF04E0" w:rsidR="00BF04E0">
              <w:rPr>
                <w:sz w:val="22"/>
                <w:szCs w:val="22"/>
              </w:rPr>
              <w:t xml:space="preserve"> creating challenges for</w:t>
            </w:r>
            <w:r w:rsidR="009C2D56">
              <w:rPr>
                <w:sz w:val="22"/>
                <w:szCs w:val="22"/>
              </w:rPr>
              <w:t xml:space="preserve"> current and</w:t>
            </w:r>
            <w:r w:rsidRPr="00BF04E0" w:rsidR="00BF04E0">
              <w:rPr>
                <w:sz w:val="22"/>
                <w:szCs w:val="22"/>
              </w:rPr>
              <w:t xml:space="preserve"> future missions.  </w:t>
            </w:r>
            <w:r w:rsidR="00DC3F8C">
              <w:rPr>
                <w:sz w:val="22"/>
                <w:szCs w:val="22"/>
              </w:rPr>
              <w:t>T</w:t>
            </w:r>
            <w:r w:rsidRPr="00BF04E0" w:rsidR="00BF04E0">
              <w:rPr>
                <w:sz w:val="22"/>
                <w:szCs w:val="22"/>
              </w:rPr>
              <w:t>here are more than 4,800 satellites operating in orbit as of the end of last year, and the vast majority of those are commercial</w:t>
            </w:r>
            <w:r w:rsidR="00BF04E0">
              <w:rPr>
                <w:sz w:val="22"/>
                <w:szCs w:val="22"/>
              </w:rPr>
              <w:t xml:space="preserve"> low-Earth orbit (LEO) satellites.  </w:t>
            </w:r>
            <w:r>
              <w:rPr>
                <w:sz w:val="22"/>
                <w:szCs w:val="22"/>
              </w:rPr>
              <w:t xml:space="preserve">The new 5-year rule for deorbiting satellites </w:t>
            </w:r>
            <w:r w:rsidR="00901ABF">
              <w:rPr>
                <w:sz w:val="22"/>
                <w:szCs w:val="22"/>
              </w:rPr>
              <w:t xml:space="preserve">will mean more accountability and less risk of </w:t>
            </w:r>
            <w:r w:rsidR="00653458">
              <w:rPr>
                <w:sz w:val="22"/>
                <w:szCs w:val="22"/>
              </w:rPr>
              <w:t xml:space="preserve">costly </w:t>
            </w:r>
            <w:r w:rsidR="00901ABF">
              <w:rPr>
                <w:sz w:val="22"/>
                <w:szCs w:val="22"/>
              </w:rPr>
              <w:t xml:space="preserve">collisions that increase debris.  </w:t>
            </w:r>
          </w:p>
          <w:p w:rsidR="008B02E1" w:rsidRPr="00717758" w:rsidP="008B02E1" w14:paraId="092ACCCA" w14:textId="77777777">
            <w:pPr>
              <w:rPr>
                <w:sz w:val="22"/>
                <w:szCs w:val="22"/>
              </w:rPr>
            </w:pPr>
          </w:p>
          <w:p w:rsidR="008B02E1" w:rsidRPr="002E165B" w:rsidP="008B02E1" w14:paraId="49FF28A4" w14:textId="25D6B32C">
            <w:pPr>
              <w:rPr>
                <w:sz w:val="22"/>
                <w:szCs w:val="22"/>
              </w:rPr>
            </w:pPr>
            <w:r w:rsidRPr="00717758">
              <w:rPr>
                <w:sz w:val="22"/>
                <w:szCs w:val="22"/>
              </w:rPr>
              <w:t xml:space="preserve">The Report and Order </w:t>
            </w:r>
            <w:r w:rsidR="006F02AC">
              <w:rPr>
                <w:sz w:val="22"/>
                <w:szCs w:val="22"/>
              </w:rPr>
              <w:t xml:space="preserve">adopted today </w:t>
            </w:r>
            <w:r w:rsidRPr="00717758">
              <w:rPr>
                <w:sz w:val="22"/>
                <w:szCs w:val="22"/>
              </w:rPr>
              <w:t>require</w:t>
            </w:r>
            <w:r w:rsidR="00B6653B">
              <w:rPr>
                <w:sz w:val="22"/>
                <w:szCs w:val="22"/>
              </w:rPr>
              <w:t>s</w:t>
            </w:r>
            <w:r w:rsidRPr="00717758">
              <w:rPr>
                <w:sz w:val="22"/>
                <w:szCs w:val="22"/>
              </w:rPr>
              <w:t xml:space="preserve"> satellites ending their mission in or passing through the low-Earth orbit region </w:t>
            </w:r>
            <w:r w:rsidR="009E7BA7">
              <w:rPr>
                <w:sz w:val="22"/>
                <w:szCs w:val="22"/>
              </w:rPr>
              <w:t>(</w:t>
            </w:r>
            <w:r w:rsidRPr="00717758">
              <w:rPr>
                <w:sz w:val="22"/>
                <w:szCs w:val="22"/>
              </w:rPr>
              <w:t>below 2,000 kilometers altitude</w:t>
            </w:r>
            <w:r w:rsidR="00BF04E0">
              <w:rPr>
                <w:sz w:val="22"/>
                <w:szCs w:val="22"/>
              </w:rPr>
              <w:t>)</w:t>
            </w:r>
            <w:r w:rsidRPr="00717758">
              <w:rPr>
                <w:sz w:val="22"/>
                <w:szCs w:val="22"/>
              </w:rPr>
              <w:t xml:space="preserve"> to deorbit as soon as practicable but no later than five years after mission completion.</w:t>
            </w:r>
            <w:r w:rsidR="00CA79E1">
              <w:rPr>
                <w:sz w:val="22"/>
                <w:szCs w:val="22"/>
              </w:rPr>
              <w:t xml:space="preserve">  </w:t>
            </w:r>
            <w:r w:rsidR="00BF04E0">
              <w:rPr>
                <w:sz w:val="22"/>
                <w:szCs w:val="22"/>
              </w:rPr>
              <w:t xml:space="preserve">This is the first concrete rule on this topic, replacing a long-standing guideline.  </w:t>
            </w:r>
            <w:r w:rsidR="00CA79E1">
              <w:rPr>
                <w:sz w:val="22"/>
                <w:szCs w:val="22"/>
              </w:rPr>
              <w:t>These new rules will also afford satellite companies</w:t>
            </w:r>
            <w:r w:rsidR="00C51658">
              <w:rPr>
                <w:sz w:val="22"/>
                <w:szCs w:val="22"/>
              </w:rPr>
              <w:t xml:space="preserve"> a </w:t>
            </w:r>
            <w:r w:rsidR="00DE37B8">
              <w:rPr>
                <w:sz w:val="22"/>
                <w:szCs w:val="22"/>
              </w:rPr>
              <w:t xml:space="preserve">transition period of </w:t>
            </w:r>
            <w:r w:rsidR="00C51658">
              <w:rPr>
                <w:sz w:val="22"/>
                <w:szCs w:val="22"/>
              </w:rPr>
              <w:t>two year</w:t>
            </w:r>
            <w:r w:rsidR="00DE37B8">
              <w:rPr>
                <w:sz w:val="22"/>
                <w:szCs w:val="22"/>
              </w:rPr>
              <w:t>s</w:t>
            </w:r>
            <w:r w:rsidR="00CA79E1">
              <w:rPr>
                <w:sz w:val="22"/>
                <w:szCs w:val="22"/>
              </w:rPr>
              <w:t>.</w:t>
            </w:r>
            <w:r w:rsidRPr="00717758">
              <w:rPr>
                <w:sz w:val="22"/>
                <w:szCs w:val="22"/>
              </w:rPr>
              <w:t xml:space="preserve">  The mission length </w:t>
            </w:r>
            <w:r w:rsidR="009E7BA7">
              <w:rPr>
                <w:sz w:val="22"/>
                <w:szCs w:val="22"/>
              </w:rPr>
              <w:t>and deorbit timeline for</w:t>
            </w:r>
            <w:r w:rsidRPr="00717758">
              <w:rPr>
                <w:sz w:val="22"/>
                <w:szCs w:val="22"/>
              </w:rPr>
              <w:t xml:space="preserve"> any given satellite </w:t>
            </w:r>
            <w:r w:rsidR="009E7BA7">
              <w:rPr>
                <w:sz w:val="22"/>
                <w:szCs w:val="22"/>
              </w:rPr>
              <w:t xml:space="preserve">are </w:t>
            </w:r>
            <w:r w:rsidR="00880A56">
              <w:rPr>
                <w:sz w:val="22"/>
                <w:szCs w:val="22"/>
              </w:rPr>
              <w:t xml:space="preserve">established </w:t>
            </w:r>
            <w:r w:rsidRPr="00717758">
              <w:rPr>
                <w:sz w:val="22"/>
                <w:szCs w:val="22"/>
              </w:rPr>
              <w:t xml:space="preserve">through its application process with the FCC’s International Bureau.  </w:t>
            </w:r>
          </w:p>
          <w:bookmarkEnd w:id="0"/>
          <w:p w:rsidR="008B02E1" w:rsidP="00C7096B" w14:paraId="27DA577F" w14:textId="77777777">
            <w:pPr>
              <w:rPr>
                <w:sz w:val="22"/>
                <w:szCs w:val="22"/>
              </w:rPr>
            </w:pPr>
          </w:p>
          <w:p w:rsidR="000B22E4" w:rsidP="00C7096B" w14:paraId="7336F83A" w14:textId="5B416572">
            <w:pPr>
              <w:rPr>
                <w:sz w:val="22"/>
                <w:szCs w:val="22"/>
              </w:rPr>
            </w:pPr>
            <w:r w:rsidRPr="00717758">
              <w:rPr>
                <w:sz w:val="22"/>
                <w:szCs w:val="22"/>
              </w:rPr>
              <w:t>The FCC</w:t>
            </w:r>
            <w:r w:rsidR="00DF6C6F">
              <w:rPr>
                <w:sz w:val="22"/>
                <w:szCs w:val="22"/>
              </w:rPr>
              <w:t xml:space="preserve">’s </w:t>
            </w:r>
            <w:r w:rsidRPr="00717758">
              <w:rPr>
                <w:sz w:val="22"/>
                <w:szCs w:val="22"/>
              </w:rPr>
              <w:t xml:space="preserve">Space Innovation docket </w:t>
            </w:r>
            <w:r w:rsidR="00DF6C6F">
              <w:rPr>
                <w:sz w:val="22"/>
                <w:szCs w:val="22"/>
              </w:rPr>
              <w:t xml:space="preserve">is </w:t>
            </w:r>
            <w:r w:rsidR="00D87666">
              <w:rPr>
                <w:sz w:val="22"/>
                <w:szCs w:val="22"/>
              </w:rPr>
              <w:t xml:space="preserve">addressing the new space age with modernized regulations to match the new realities, support for technological innovation in this burgeoning economic sector, and taking seriously the space sustainability questions that come with rapidly growing and changing </w:t>
            </w:r>
            <w:r w:rsidR="00C11D28">
              <w:rPr>
                <w:sz w:val="22"/>
                <w:szCs w:val="22"/>
              </w:rPr>
              <w:t xml:space="preserve">public and private space </w:t>
            </w:r>
            <w:r w:rsidR="006A6ADE">
              <w:rPr>
                <w:sz w:val="22"/>
                <w:szCs w:val="22"/>
              </w:rPr>
              <w:t>endeavors</w:t>
            </w:r>
            <w:r w:rsidR="00C11D28">
              <w:rPr>
                <w:sz w:val="22"/>
                <w:szCs w:val="22"/>
              </w:rPr>
              <w:t>.</w:t>
            </w:r>
            <w:r w:rsidR="006A6ADE">
              <w:rPr>
                <w:sz w:val="22"/>
                <w:szCs w:val="22"/>
              </w:rPr>
              <w:t xml:space="preserve">  The FCC recently launched a </w:t>
            </w:r>
            <w:r w:rsidR="00865B57">
              <w:rPr>
                <w:sz w:val="22"/>
                <w:szCs w:val="22"/>
              </w:rPr>
              <w:t xml:space="preserve">new </w:t>
            </w:r>
            <w:r w:rsidR="006A6ADE">
              <w:rPr>
                <w:sz w:val="22"/>
                <w:szCs w:val="22"/>
              </w:rPr>
              <w:t xml:space="preserve">proceeding </w:t>
            </w:r>
            <w:r w:rsidR="00865B57">
              <w:rPr>
                <w:sz w:val="22"/>
                <w:szCs w:val="22"/>
              </w:rPr>
              <w:t>for</w:t>
            </w:r>
            <w:r w:rsidRPr="006A6ADE" w:rsidR="00865B57">
              <w:rPr>
                <w:sz w:val="22"/>
                <w:szCs w:val="22"/>
              </w:rPr>
              <w:t xml:space="preserve"> </w:t>
            </w:r>
            <w:r w:rsidRPr="006A6ADE" w:rsidR="006A6ADE">
              <w:rPr>
                <w:sz w:val="22"/>
                <w:szCs w:val="22"/>
              </w:rPr>
              <w:t>in-space servicing, assembly, and manufacturing</w:t>
            </w:r>
            <w:r w:rsidR="006A6ADE">
              <w:rPr>
                <w:sz w:val="22"/>
                <w:szCs w:val="22"/>
              </w:rPr>
              <w:t xml:space="preserve"> (</w:t>
            </w:r>
            <w:r w:rsidRPr="006A6ADE" w:rsidR="006A6ADE">
              <w:rPr>
                <w:sz w:val="22"/>
                <w:szCs w:val="22"/>
              </w:rPr>
              <w:t>ISAM</w:t>
            </w:r>
            <w:r w:rsidR="006A6ADE">
              <w:rPr>
                <w:sz w:val="22"/>
                <w:szCs w:val="22"/>
              </w:rPr>
              <w:t xml:space="preserve">) </w:t>
            </w:r>
            <w:r w:rsidRPr="006A6ADE" w:rsidR="006A6ADE">
              <w:rPr>
                <w:sz w:val="22"/>
                <w:szCs w:val="22"/>
              </w:rPr>
              <w:t>capabilities</w:t>
            </w:r>
            <w:r w:rsidR="006A6ADE">
              <w:rPr>
                <w:sz w:val="22"/>
                <w:szCs w:val="22"/>
              </w:rPr>
              <w:t>.  T</w:t>
            </w:r>
            <w:r w:rsidR="00DC62E7">
              <w:rPr>
                <w:sz w:val="22"/>
                <w:szCs w:val="22"/>
              </w:rPr>
              <w:t>he agency is making more spectrum available to fuel the nation’s space ambitions, including identifying spectrum for the first time to support commercial launches and proposing new spectrum sharing rules to increase competition</w:t>
            </w:r>
            <w:r w:rsidRPr="00717758" w:rsidR="00C23AC6">
              <w:rPr>
                <w:sz w:val="22"/>
                <w:szCs w:val="22"/>
              </w:rPr>
              <w:t>.</w:t>
            </w:r>
            <w:r w:rsidR="00060ED7">
              <w:rPr>
                <w:sz w:val="22"/>
                <w:szCs w:val="22"/>
              </w:rPr>
              <w:t xml:space="preserve">  T</w:t>
            </w:r>
            <w:r w:rsidRPr="00F37685" w:rsidR="00060ED7">
              <w:rPr>
                <w:sz w:val="22"/>
                <w:szCs w:val="22"/>
              </w:rPr>
              <w:t>he satellite and launch industr</w:t>
            </w:r>
            <w:r w:rsidR="00060ED7">
              <w:rPr>
                <w:sz w:val="22"/>
                <w:szCs w:val="22"/>
              </w:rPr>
              <w:t xml:space="preserve">y is now an estimated </w:t>
            </w:r>
            <w:r w:rsidRPr="00F37685" w:rsidR="00060ED7">
              <w:rPr>
                <w:sz w:val="22"/>
                <w:szCs w:val="22"/>
              </w:rPr>
              <w:t>$279 billion-a-year</w:t>
            </w:r>
            <w:r w:rsidR="00060ED7">
              <w:rPr>
                <w:sz w:val="22"/>
                <w:szCs w:val="22"/>
              </w:rPr>
              <w:t xml:space="preserve"> sector.</w:t>
            </w:r>
          </w:p>
          <w:p w:rsidR="008D1428" w:rsidP="00C7096B" w14:paraId="76DDA0B3" w14:textId="2F6AEE83">
            <w:pPr>
              <w:rPr>
                <w:sz w:val="22"/>
                <w:szCs w:val="22"/>
              </w:rPr>
            </w:pPr>
          </w:p>
          <w:p w:rsidR="008D1428" w:rsidRPr="008D1428" w:rsidP="008D1428" w14:paraId="0F397BED" w14:textId="40EED15A">
            <w:pPr>
              <w:rPr>
                <w:sz w:val="22"/>
                <w:szCs w:val="22"/>
              </w:rPr>
            </w:pPr>
            <w:r w:rsidRPr="008D1428">
              <w:rPr>
                <w:sz w:val="22"/>
                <w:szCs w:val="22"/>
              </w:rPr>
              <w:t>Action by the Commission September 29, 2022 by Second Report and Order (FCC 22-74).  Chairwoman Rosenworcel, Commissioners Carr, Starks, and Simington approving.  Chairwoman Rosenworcel, Commissioners Starks and Simington issuing separate statements.</w:t>
            </w:r>
          </w:p>
          <w:p w:rsidR="008D1428" w:rsidRPr="008D1428" w:rsidP="008D1428" w14:paraId="2B53FF60" w14:textId="77777777">
            <w:pPr>
              <w:rPr>
                <w:sz w:val="22"/>
                <w:szCs w:val="22"/>
              </w:rPr>
            </w:pPr>
          </w:p>
          <w:p w:rsidR="008D1428" w:rsidRPr="00717758" w:rsidP="008D1428" w14:paraId="344CD841" w14:textId="5078DC44">
            <w:pPr>
              <w:rPr>
                <w:sz w:val="22"/>
                <w:szCs w:val="22"/>
              </w:rPr>
            </w:pPr>
            <w:r w:rsidRPr="008D1428">
              <w:rPr>
                <w:sz w:val="22"/>
                <w:szCs w:val="22"/>
              </w:rPr>
              <w:t>IB Docket Nos. 22-271, 18-313</w:t>
            </w:r>
          </w:p>
          <w:p w:rsidR="008E35CC" w:rsidRPr="002E165B" w:rsidP="002E165B" w14:paraId="33C6749C"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132D2"/>
    <w:rsid w:val="0002500C"/>
    <w:rsid w:val="000311FC"/>
    <w:rsid w:val="00040127"/>
    <w:rsid w:val="0005232A"/>
    <w:rsid w:val="00060ED7"/>
    <w:rsid w:val="00064651"/>
    <w:rsid w:val="00065E2D"/>
    <w:rsid w:val="00081232"/>
    <w:rsid w:val="00085418"/>
    <w:rsid w:val="00091051"/>
    <w:rsid w:val="00091E65"/>
    <w:rsid w:val="00096D4A"/>
    <w:rsid w:val="000A38EA"/>
    <w:rsid w:val="000B22E4"/>
    <w:rsid w:val="000C1E47"/>
    <w:rsid w:val="000C26F3"/>
    <w:rsid w:val="000C4A1A"/>
    <w:rsid w:val="000C60DC"/>
    <w:rsid w:val="000E049E"/>
    <w:rsid w:val="000F504F"/>
    <w:rsid w:val="0010799B"/>
    <w:rsid w:val="00117DB2"/>
    <w:rsid w:val="00123ED2"/>
    <w:rsid w:val="00125BE0"/>
    <w:rsid w:val="00142C13"/>
    <w:rsid w:val="00152776"/>
    <w:rsid w:val="00153222"/>
    <w:rsid w:val="001577D3"/>
    <w:rsid w:val="0016247F"/>
    <w:rsid w:val="001629BE"/>
    <w:rsid w:val="00167963"/>
    <w:rsid w:val="001733A6"/>
    <w:rsid w:val="00181356"/>
    <w:rsid w:val="001865A9"/>
    <w:rsid w:val="00187DB2"/>
    <w:rsid w:val="00192E49"/>
    <w:rsid w:val="001A63A4"/>
    <w:rsid w:val="001B20BB"/>
    <w:rsid w:val="001B5318"/>
    <w:rsid w:val="001B5C3B"/>
    <w:rsid w:val="001C4370"/>
    <w:rsid w:val="001D3779"/>
    <w:rsid w:val="001F0469"/>
    <w:rsid w:val="00203A98"/>
    <w:rsid w:val="00206EDD"/>
    <w:rsid w:val="00210328"/>
    <w:rsid w:val="0021247E"/>
    <w:rsid w:val="002146F6"/>
    <w:rsid w:val="0022316F"/>
    <w:rsid w:val="00225D3E"/>
    <w:rsid w:val="00231C32"/>
    <w:rsid w:val="00234AAF"/>
    <w:rsid w:val="00240345"/>
    <w:rsid w:val="002421F0"/>
    <w:rsid w:val="00247274"/>
    <w:rsid w:val="00266966"/>
    <w:rsid w:val="00285C36"/>
    <w:rsid w:val="00286596"/>
    <w:rsid w:val="00290E3D"/>
    <w:rsid w:val="00294C0C"/>
    <w:rsid w:val="002A0934"/>
    <w:rsid w:val="002A33E3"/>
    <w:rsid w:val="002B0DFC"/>
    <w:rsid w:val="002B1013"/>
    <w:rsid w:val="002D03E5"/>
    <w:rsid w:val="002D073D"/>
    <w:rsid w:val="002E13F8"/>
    <w:rsid w:val="002E165B"/>
    <w:rsid w:val="002E3F1D"/>
    <w:rsid w:val="002E77CE"/>
    <w:rsid w:val="002F31D0"/>
    <w:rsid w:val="00300359"/>
    <w:rsid w:val="0031773E"/>
    <w:rsid w:val="00322D56"/>
    <w:rsid w:val="00333871"/>
    <w:rsid w:val="00347716"/>
    <w:rsid w:val="003506E1"/>
    <w:rsid w:val="003727E3"/>
    <w:rsid w:val="0037633E"/>
    <w:rsid w:val="00385A93"/>
    <w:rsid w:val="003910F1"/>
    <w:rsid w:val="003C086E"/>
    <w:rsid w:val="003D7499"/>
    <w:rsid w:val="003E42FC"/>
    <w:rsid w:val="003E5991"/>
    <w:rsid w:val="003F344A"/>
    <w:rsid w:val="00403FF0"/>
    <w:rsid w:val="0042046D"/>
    <w:rsid w:val="0042116E"/>
    <w:rsid w:val="00425AEF"/>
    <w:rsid w:val="00426518"/>
    <w:rsid w:val="00426771"/>
    <w:rsid w:val="00427B06"/>
    <w:rsid w:val="00441F59"/>
    <w:rsid w:val="00444E07"/>
    <w:rsid w:val="00444FA9"/>
    <w:rsid w:val="004474A2"/>
    <w:rsid w:val="00473E9C"/>
    <w:rsid w:val="00480099"/>
    <w:rsid w:val="004941A2"/>
    <w:rsid w:val="00497858"/>
    <w:rsid w:val="004A729A"/>
    <w:rsid w:val="004B4FEA"/>
    <w:rsid w:val="004C0ADA"/>
    <w:rsid w:val="004C433E"/>
    <w:rsid w:val="004C4512"/>
    <w:rsid w:val="004C4F36"/>
    <w:rsid w:val="004D3D85"/>
    <w:rsid w:val="004E2BD8"/>
    <w:rsid w:val="004F0F1F"/>
    <w:rsid w:val="004F1A23"/>
    <w:rsid w:val="004F7B05"/>
    <w:rsid w:val="005022AA"/>
    <w:rsid w:val="00504845"/>
    <w:rsid w:val="0050757F"/>
    <w:rsid w:val="00516AD2"/>
    <w:rsid w:val="00532960"/>
    <w:rsid w:val="00545DAE"/>
    <w:rsid w:val="0055651B"/>
    <w:rsid w:val="00571B83"/>
    <w:rsid w:val="00573527"/>
    <w:rsid w:val="00575A00"/>
    <w:rsid w:val="00586417"/>
    <w:rsid w:val="0058673C"/>
    <w:rsid w:val="005A7972"/>
    <w:rsid w:val="005B17E7"/>
    <w:rsid w:val="005B2643"/>
    <w:rsid w:val="005B3059"/>
    <w:rsid w:val="005D17FD"/>
    <w:rsid w:val="005F0D55"/>
    <w:rsid w:val="005F183E"/>
    <w:rsid w:val="00600DDA"/>
    <w:rsid w:val="00603A30"/>
    <w:rsid w:val="00604211"/>
    <w:rsid w:val="00613498"/>
    <w:rsid w:val="0061783E"/>
    <w:rsid w:val="00617B94"/>
    <w:rsid w:val="00620BED"/>
    <w:rsid w:val="006415B4"/>
    <w:rsid w:val="00644E3D"/>
    <w:rsid w:val="00651B9E"/>
    <w:rsid w:val="00652019"/>
    <w:rsid w:val="00653458"/>
    <w:rsid w:val="00657EC9"/>
    <w:rsid w:val="00665633"/>
    <w:rsid w:val="00673BEC"/>
    <w:rsid w:val="00674C86"/>
    <w:rsid w:val="0068015E"/>
    <w:rsid w:val="006861AB"/>
    <w:rsid w:val="00686B89"/>
    <w:rsid w:val="0069420F"/>
    <w:rsid w:val="006A2FC5"/>
    <w:rsid w:val="006A5286"/>
    <w:rsid w:val="006A6ADE"/>
    <w:rsid w:val="006A7D75"/>
    <w:rsid w:val="006B0A70"/>
    <w:rsid w:val="006B606A"/>
    <w:rsid w:val="006C33AF"/>
    <w:rsid w:val="006D16EF"/>
    <w:rsid w:val="006D5D22"/>
    <w:rsid w:val="006E0324"/>
    <w:rsid w:val="006E4A76"/>
    <w:rsid w:val="006F02AC"/>
    <w:rsid w:val="006F13B1"/>
    <w:rsid w:val="006F1DBD"/>
    <w:rsid w:val="00700556"/>
    <w:rsid w:val="007031E7"/>
    <w:rsid w:val="0070589A"/>
    <w:rsid w:val="007167DD"/>
    <w:rsid w:val="00717758"/>
    <w:rsid w:val="00722BF1"/>
    <w:rsid w:val="00722DBC"/>
    <w:rsid w:val="00723AB6"/>
    <w:rsid w:val="0072478B"/>
    <w:rsid w:val="0073414D"/>
    <w:rsid w:val="007475A1"/>
    <w:rsid w:val="0075235E"/>
    <w:rsid w:val="007528A5"/>
    <w:rsid w:val="007732CC"/>
    <w:rsid w:val="00774079"/>
    <w:rsid w:val="0077752B"/>
    <w:rsid w:val="00793D6F"/>
    <w:rsid w:val="00794090"/>
    <w:rsid w:val="007A44F8"/>
    <w:rsid w:val="007C3E1C"/>
    <w:rsid w:val="007C7254"/>
    <w:rsid w:val="007D21BF"/>
    <w:rsid w:val="007E0716"/>
    <w:rsid w:val="007F3C12"/>
    <w:rsid w:val="007F5205"/>
    <w:rsid w:val="007F5B44"/>
    <w:rsid w:val="0080486B"/>
    <w:rsid w:val="0081653F"/>
    <w:rsid w:val="00817C2E"/>
    <w:rsid w:val="008215E7"/>
    <w:rsid w:val="00830FC6"/>
    <w:rsid w:val="00840D7B"/>
    <w:rsid w:val="00850E26"/>
    <w:rsid w:val="00865B57"/>
    <w:rsid w:val="00865EAA"/>
    <w:rsid w:val="00866F06"/>
    <w:rsid w:val="008728F5"/>
    <w:rsid w:val="00875B11"/>
    <w:rsid w:val="00880A56"/>
    <w:rsid w:val="008824C2"/>
    <w:rsid w:val="008960E4"/>
    <w:rsid w:val="008A3940"/>
    <w:rsid w:val="008B02E1"/>
    <w:rsid w:val="008B13C9"/>
    <w:rsid w:val="008B40E1"/>
    <w:rsid w:val="008B434A"/>
    <w:rsid w:val="008C248C"/>
    <w:rsid w:val="008C5432"/>
    <w:rsid w:val="008C7BF1"/>
    <w:rsid w:val="008D00D6"/>
    <w:rsid w:val="008D1428"/>
    <w:rsid w:val="008D4D00"/>
    <w:rsid w:val="008D4E5E"/>
    <w:rsid w:val="008D7ABD"/>
    <w:rsid w:val="008E35CC"/>
    <w:rsid w:val="008E55A2"/>
    <w:rsid w:val="008F1609"/>
    <w:rsid w:val="008F6145"/>
    <w:rsid w:val="008F78D8"/>
    <w:rsid w:val="00901ABF"/>
    <w:rsid w:val="0093373C"/>
    <w:rsid w:val="0095443A"/>
    <w:rsid w:val="00961620"/>
    <w:rsid w:val="009734B6"/>
    <w:rsid w:val="0098096F"/>
    <w:rsid w:val="00982590"/>
    <w:rsid w:val="0098437A"/>
    <w:rsid w:val="00986C92"/>
    <w:rsid w:val="00993C47"/>
    <w:rsid w:val="009972BC"/>
    <w:rsid w:val="009B2EDE"/>
    <w:rsid w:val="009B4B16"/>
    <w:rsid w:val="009C2D56"/>
    <w:rsid w:val="009E54A1"/>
    <w:rsid w:val="009E7887"/>
    <w:rsid w:val="009E7BA7"/>
    <w:rsid w:val="009F4E25"/>
    <w:rsid w:val="009F5B1F"/>
    <w:rsid w:val="009F7F4C"/>
    <w:rsid w:val="00A225A9"/>
    <w:rsid w:val="00A3308E"/>
    <w:rsid w:val="00A35DFD"/>
    <w:rsid w:val="00A702DF"/>
    <w:rsid w:val="00A775A3"/>
    <w:rsid w:val="00A81700"/>
    <w:rsid w:val="00A81B5B"/>
    <w:rsid w:val="00A82FAD"/>
    <w:rsid w:val="00A9673A"/>
    <w:rsid w:val="00A96EF2"/>
    <w:rsid w:val="00AA5C35"/>
    <w:rsid w:val="00AA5ED9"/>
    <w:rsid w:val="00AC0A38"/>
    <w:rsid w:val="00AC0D9F"/>
    <w:rsid w:val="00AC4E0E"/>
    <w:rsid w:val="00AC517B"/>
    <w:rsid w:val="00AD0D19"/>
    <w:rsid w:val="00AD4184"/>
    <w:rsid w:val="00AE0613"/>
    <w:rsid w:val="00AE4A79"/>
    <w:rsid w:val="00AF051B"/>
    <w:rsid w:val="00B037A2"/>
    <w:rsid w:val="00B12261"/>
    <w:rsid w:val="00B145F9"/>
    <w:rsid w:val="00B2466D"/>
    <w:rsid w:val="00B31870"/>
    <w:rsid w:val="00B320B8"/>
    <w:rsid w:val="00B35EE2"/>
    <w:rsid w:val="00B36DEF"/>
    <w:rsid w:val="00B57131"/>
    <w:rsid w:val="00B62F2C"/>
    <w:rsid w:val="00B63B70"/>
    <w:rsid w:val="00B6653B"/>
    <w:rsid w:val="00B727C9"/>
    <w:rsid w:val="00B735C8"/>
    <w:rsid w:val="00B76A63"/>
    <w:rsid w:val="00B93A4C"/>
    <w:rsid w:val="00BA6350"/>
    <w:rsid w:val="00BB4E29"/>
    <w:rsid w:val="00BB74C9"/>
    <w:rsid w:val="00BC3AB6"/>
    <w:rsid w:val="00BD19E8"/>
    <w:rsid w:val="00BD4273"/>
    <w:rsid w:val="00BF04E0"/>
    <w:rsid w:val="00C02E2E"/>
    <w:rsid w:val="00C05209"/>
    <w:rsid w:val="00C11D28"/>
    <w:rsid w:val="00C23AC6"/>
    <w:rsid w:val="00C31ED8"/>
    <w:rsid w:val="00C3294B"/>
    <w:rsid w:val="00C432E4"/>
    <w:rsid w:val="00C44B3B"/>
    <w:rsid w:val="00C51658"/>
    <w:rsid w:val="00C631D2"/>
    <w:rsid w:val="00C7071B"/>
    <w:rsid w:val="00C7096B"/>
    <w:rsid w:val="00C70C26"/>
    <w:rsid w:val="00C72001"/>
    <w:rsid w:val="00C772B7"/>
    <w:rsid w:val="00C80347"/>
    <w:rsid w:val="00CA79E1"/>
    <w:rsid w:val="00CB24D2"/>
    <w:rsid w:val="00CB67E2"/>
    <w:rsid w:val="00CB7C1A"/>
    <w:rsid w:val="00CC5E08"/>
    <w:rsid w:val="00CD23AE"/>
    <w:rsid w:val="00CE14FD"/>
    <w:rsid w:val="00CE4AF9"/>
    <w:rsid w:val="00CF6860"/>
    <w:rsid w:val="00D02AC6"/>
    <w:rsid w:val="00D03F0C"/>
    <w:rsid w:val="00D04312"/>
    <w:rsid w:val="00D16A7F"/>
    <w:rsid w:val="00D16AD2"/>
    <w:rsid w:val="00D22596"/>
    <w:rsid w:val="00D22691"/>
    <w:rsid w:val="00D24C3D"/>
    <w:rsid w:val="00D46CB1"/>
    <w:rsid w:val="00D514B1"/>
    <w:rsid w:val="00D65B8C"/>
    <w:rsid w:val="00D723F0"/>
    <w:rsid w:val="00D8133F"/>
    <w:rsid w:val="00D861EE"/>
    <w:rsid w:val="00D87666"/>
    <w:rsid w:val="00D914B8"/>
    <w:rsid w:val="00D94836"/>
    <w:rsid w:val="00D95B05"/>
    <w:rsid w:val="00D97E2D"/>
    <w:rsid w:val="00DA103D"/>
    <w:rsid w:val="00DA45D3"/>
    <w:rsid w:val="00DA4772"/>
    <w:rsid w:val="00DA7B44"/>
    <w:rsid w:val="00DB2667"/>
    <w:rsid w:val="00DB67B7"/>
    <w:rsid w:val="00DC15A9"/>
    <w:rsid w:val="00DC3F8C"/>
    <w:rsid w:val="00DC40AA"/>
    <w:rsid w:val="00DC62E7"/>
    <w:rsid w:val="00DC78A8"/>
    <w:rsid w:val="00DD1750"/>
    <w:rsid w:val="00DE37B8"/>
    <w:rsid w:val="00DF6C6F"/>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29DA"/>
    <w:rsid w:val="00EE0E90"/>
    <w:rsid w:val="00EF3BCA"/>
    <w:rsid w:val="00EF43AF"/>
    <w:rsid w:val="00EF729B"/>
    <w:rsid w:val="00F01B0D"/>
    <w:rsid w:val="00F04225"/>
    <w:rsid w:val="00F1238F"/>
    <w:rsid w:val="00F16485"/>
    <w:rsid w:val="00F21A7F"/>
    <w:rsid w:val="00F228ED"/>
    <w:rsid w:val="00F26E31"/>
    <w:rsid w:val="00F27C6C"/>
    <w:rsid w:val="00F34A8D"/>
    <w:rsid w:val="00F37685"/>
    <w:rsid w:val="00F40E36"/>
    <w:rsid w:val="00F50D25"/>
    <w:rsid w:val="00F535D8"/>
    <w:rsid w:val="00F61155"/>
    <w:rsid w:val="00F708E3"/>
    <w:rsid w:val="00F73EA0"/>
    <w:rsid w:val="00F76561"/>
    <w:rsid w:val="00F84736"/>
    <w:rsid w:val="00FB4817"/>
    <w:rsid w:val="00FC6C29"/>
    <w:rsid w:val="00FD58E0"/>
    <w:rsid w:val="00FD71AE"/>
    <w:rsid w:val="00FE0198"/>
    <w:rsid w:val="00FE1D7E"/>
    <w:rsid w:val="00FE3A7C"/>
    <w:rsid w:val="00FE7692"/>
    <w:rsid w:val="00FF1C0B"/>
    <w:rsid w:val="00FF232D"/>
    <w:rsid w:val="00FF7F9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319E3525"/>
  <w15:docId w15:val="{5FFEB792-1893-44C3-AB88-88F86647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F73EA0"/>
    <w:rPr>
      <w:sz w:val="24"/>
      <w:szCs w:val="24"/>
    </w:rPr>
  </w:style>
  <w:style w:type="character" w:styleId="CommentReference">
    <w:name w:val="annotation reference"/>
    <w:basedOn w:val="DefaultParagraphFont"/>
    <w:semiHidden/>
    <w:unhideWhenUsed/>
    <w:rsid w:val="00DC78A8"/>
    <w:rPr>
      <w:sz w:val="16"/>
      <w:szCs w:val="16"/>
    </w:rPr>
  </w:style>
  <w:style w:type="paragraph" w:styleId="CommentText">
    <w:name w:val="annotation text"/>
    <w:basedOn w:val="Normal"/>
    <w:link w:val="CommentTextChar"/>
    <w:unhideWhenUsed/>
    <w:rsid w:val="00DC78A8"/>
    <w:rPr>
      <w:sz w:val="20"/>
      <w:szCs w:val="20"/>
    </w:rPr>
  </w:style>
  <w:style w:type="character" w:customStyle="1" w:styleId="CommentTextChar">
    <w:name w:val="Comment Text Char"/>
    <w:basedOn w:val="DefaultParagraphFont"/>
    <w:link w:val="CommentText"/>
    <w:rsid w:val="00DC78A8"/>
  </w:style>
  <w:style w:type="paragraph" w:styleId="CommentSubject">
    <w:name w:val="annotation subject"/>
    <w:basedOn w:val="CommentText"/>
    <w:next w:val="CommentText"/>
    <w:link w:val="CommentSubjectChar"/>
    <w:semiHidden/>
    <w:unhideWhenUsed/>
    <w:rsid w:val="00DC78A8"/>
    <w:rPr>
      <w:b/>
      <w:bCs/>
    </w:rPr>
  </w:style>
  <w:style w:type="character" w:customStyle="1" w:styleId="CommentSubjectChar">
    <w:name w:val="Comment Subject Char"/>
    <w:basedOn w:val="CommentTextChar"/>
    <w:link w:val="CommentSubject"/>
    <w:semiHidden/>
    <w:rsid w:val="00DC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