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04CE3" w14:paraId="5FCF4CB7" w14:textId="5272A4DA">
      <w:pPr>
        <w:rPr>
          <w:sz w:val="22"/>
          <w:szCs w:val="22"/>
        </w:rPr>
      </w:pPr>
    </w:p>
    <w:p w:rsidR="001C5FF8" w:rsidRPr="009014F9" w:rsidP="001C5FF8" w14:paraId="0C32B5CC" w14:textId="4197A0D4">
      <w:pPr>
        <w:rPr>
          <w:b/>
          <w:sz w:val="22"/>
          <w:szCs w:val="22"/>
        </w:rPr>
      </w:pPr>
      <w:r>
        <w:rPr>
          <w:b/>
          <w:sz w:val="22"/>
          <w:szCs w:val="22"/>
        </w:rPr>
        <w:t>BY FIRST CLASS MAIL</w:t>
      </w:r>
      <w:r w:rsidR="00C24883">
        <w:rPr>
          <w:b/>
          <w:sz w:val="22"/>
          <w:szCs w:val="22"/>
        </w:rPr>
        <w:t xml:space="preserve">, UPS, </w:t>
      </w:r>
      <w:r>
        <w:rPr>
          <w:b/>
          <w:sz w:val="22"/>
          <w:szCs w:val="22"/>
        </w:rPr>
        <w:t>AND CERTIFIED MAIL</w:t>
      </w:r>
    </w:p>
    <w:p w:rsidR="001C5FF8" w:rsidP="001C5FF8" w14:paraId="1074FF78" w14:textId="02A4D35D">
      <w:pPr>
        <w:rPr>
          <w:sz w:val="22"/>
          <w:szCs w:val="22"/>
        </w:rPr>
      </w:pPr>
      <w:r>
        <w:rPr>
          <w:sz w:val="22"/>
          <w:szCs w:val="22"/>
        </w:rPr>
        <w:t>Nexogy, Inc.</w:t>
      </w:r>
    </w:p>
    <w:p w:rsidR="001C5FF8" w:rsidP="001C5FF8" w14:paraId="132B13DE" w14:textId="322F8FF4">
      <w:pPr>
        <w:rPr>
          <w:sz w:val="22"/>
          <w:szCs w:val="22"/>
        </w:rPr>
      </w:pPr>
      <w:r>
        <w:rPr>
          <w:sz w:val="22"/>
          <w:szCs w:val="22"/>
        </w:rPr>
        <w:t>Coral Gables, F</w:t>
      </w:r>
      <w:r w:rsidR="0021261C">
        <w:rPr>
          <w:sz w:val="22"/>
          <w:szCs w:val="22"/>
        </w:rPr>
        <w:t>L</w:t>
      </w:r>
      <w:r w:rsidR="00047319">
        <w:rPr>
          <w:sz w:val="22"/>
          <w:szCs w:val="22"/>
        </w:rPr>
        <w:t xml:space="preserve"> </w:t>
      </w:r>
      <w:r w:rsidRPr="00047319" w:rsidR="00047319">
        <w:rPr>
          <w:sz w:val="22"/>
          <w:szCs w:val="22"/>
        </w:rPr>
        <w:t>33134</w:t>
      </w:r>
    </w:p>
    <w:p w:rsidR="001C5FF8" w:rsidP="001C5FF8" w14:paraId="2DA93DEE" w14:textId="3141CBD7">
      <w:pPr>
        <w:rPr>
          <w:sz w:val="22"/>
          <w:szCs w:val="22"/>
        </w:rPr>
      </w:pPr>
    </w:p>
    <w:p w:rsidR="001C5FF8" w:rsidRPr="001C5FF8" w:rsidP="001C5FF8" w14:paraId="1B6D32F7" w14:textId="77777777">
      <w:pPr>
        <w:jc w:val="center"/>
        <w:rPr>
          <w:b/>
          <w:sz w:val="22"/>
          <w:szCs w:val="22"/>
        </w:rPr>
      </w:pPr>
      <w:r w:rsidRPr="001C5FF8">
        <w:rPr>
          <w:b/>
          <w:sz w:val="22"/>
          <w:szCs w:val="22"/>
        </w:rPr>
        <w:t>NOTICE OF UNLICENSED OPERATION AND</w:t>
      </w:r>
    </w:p>
    <w:p w:rsidR="001C5FF8" w:rsidP="001C5FF8" w14:paraId="4435C4E2" w14:textId="1D935B30">
      <w:pPr>
        <w:jc w:val="center"/>
        <w:rPr>
          <w:sz w:val="22"/>
          <w:szCs w:val="22"/>
        </w:rPr>
      </w:pPr>
      <w:r w:rsidRPr="001C5FF8">
        <w:rPr>
          <w:b/>
          <w:sz w:val="22"/>
          <w:szCs w:val="22"/>
        </w:rPr>
        <w:t>NOTIFICATION OF HARMFUL INTERFERENCE</w:t>
      </w:r>
    </w:p>
    <w:p w:rsidR="001C5FF8" w:rsidP="001C5FF8" w14:paraId="391DFFFA" w14:textId="4EF1F4DC">
      <w:pPr>
        <w:jc w:val="right"/>
        <w:rPr>
          <w:sz w:val="22"/>
          <w:szCs w:val="22"/>
        </w:rPr>
      </w:pPr>
    </w:p>
    <w:p w:rsidR="001C5FF8" w:rsidP="001C5FF8" w14:paraId="334B6A00" w14:textId="0CBBE75C">
      <w:pPr>
        <w:jc w:val="right"/>
        <w:rPr>
          <w:sz w:val="22"/>
          <w:szCs w:val="22"/>
        </w:rPr>
      </w:pPr>
      <w:r>
        <w:rPr>
          <w:sz w:val="22"/>
          <w:szCs w:val="22"/>
        </w:rPr>
        <w:t xml:space="preserve">Case Number: </w:t>
      </w:r>
      <w:r w:rsidR="004D3C48">
        <w:rPr>
          <w:sz w:val="22"/>
          <w:szCs w:val="22"/>
        </w:rPr>
        <w:t>EB-FIELDSCR-22-00033669</w:t>
      </w:r>
    </w:p>
    <w:p w:rsidR="001C5FF8" w:rsidP="001C5FF8" w14:paraId="094EEA12" w14:textId="337674AE">
      <w:pPr>
        <w:rPr>
          <w:sz w:val="22"/>
          <w:szCs w:val="22"/>
        </w:rPr>
      </w:pPr>
    </w:p>
    <w:p w:rsidR="001C5FF8" w:rsidP="001C5FF8" w14:paraId="6D1942FF" w14:textId="5516AB7C">
      <w:pPr>
        <w:spacing w:after="240"/>
        <w:rPr>
          <w:sz w:val="22"/>
          <w:szCs w:val="22"/>
        </w:rPr>
      </w:pPr>
      <w:r w:rsidRPr="001C5FF8">
        <w:rPr>
          <w:sz w:val="22"/>
          <w:szCs w:val="22"/>
        </w:rPr>
        <w:t xml:space="preserve">The Federal Communications Commission (FCC or Commission) received a complaint </w:t>
      </w:r>
      <w:r w:rsidR="004D3C48">
        <w:rPr>
          <w:sz w:val="22"/>
          <w:szCs w:val="22"/>
        </w:rPr>
        <w:t>from Miami-Dade County</w:t>
      </w:r>
      <w:r w:rsidRPr="001C5FF8">
        <w:rPr>
          <w:sz w:val="22"/>
          <w:szCs w:val="22"/>
        </w:rPr>
        <w:t xml:space="preserve"> concerning interference </w:t>
      </w:r>
      <w:r w:rsidR="003B16FA">
        <w:rPr>
          <w:sz w:val="22"/>
          <w:szCs w:val="22"/>
        </w:rPr>
        <w:t>affecting the frequency of</w:t>
      </w:r>
      <w:r w:rsidRPr="001C5FF8">
        <w:rPr>
          <w:sz w:val="22"/>
          <w:szCs w:val="22"/>
        </w:rPr>
        <w:t xml:space="preserve"> </w:t>
      </w:r>
      <w:r w:rsidR="000B32EC">
        <w:rPr>
          <w:sz w:val="22"/>
          <w:szCs w:val="22"/>
        </w:rPr>
        <w:t xml:space="preserve">5945 MHz in </w:t>
      </w:r>
      <w:r w:rsidR="004D3C48">
        <w:rPr>
          <w:sz w:val="22"/>
          <w:szCs w:val="22"/>
        </w:rPr>
        <w:t>Miami, Florida</w:t>
      </w:r>
      <w:r w:rsidRPr="001C5FF8">
        <w:rPr>
          <w:sz w:val="22"/>
          <w:szCs w:val="22"/>
        </w:rPr>
        <w:t xml:space="preserve">.  On </w:t>
      </w:r>
      <w:r w:rsidR="000B32EC">
        <w:rPr>
          <w:sz w:val="22"/>
          <w:szCs w:val="22"/>
        </w:rPr>
        <w:t>April 28, 2022</w:t>
      </w:r>
      <w:r w:rsidRPr="001C5FF8">
        <w:rPr>
          <w:sz w:val="22"/>
          <w:szCs w:val="22"/>
        </w:rPr>
        <w:t xml:space="preserve">, Agents from the </w:t>
      </w:r>
      <w:r w:rsidR="000B32EC">
        <w:rPr>
          <w:sz w:val="22"/>
          <w:szCs w:val="22"/>
        </w:rPr>
        <w:t>Miami</w:t>
      </w:r>
      <w:r w:rsidRPr="001C5FF8">
        <w:rPr>
          <w:sz w:val="22"/>
          <w:szCs w:val="22"/>
        </w:rPr>
        <w:t xml:space="preserve"> Office of the FCC’s Enforcement Bureau (Bureau) </w:t>
      </w:r>
      <w:r w:rsidRPr="001C5FF8">
        <w:rPr>
          <w:sz w:val="22"/>
          <w:szCs w:val="22"/>
        </w:rPr>
        <w:t>conducted an investigation</w:t>
      </w:r>
      <w:r w:rsidRPr="001C5FF8">
        <w:rPr>
          <w:sz w:val="22"/>
          <w:szCs w:val="22"/>
        </w:rPr>
        <w:t xml:space="preserve"> and determined that the source of the interference to </w:t>
      </w:r>
      <w:r w:rsidR="003B16FA">
        <w:rPr>
          <w:sz w:val="22"/>
          <w:szCs w:val="22"/>
        </w:rPr>
        <w:t>Miami-Dade County</w:t>
      </w:r>
      <w:r w:rsidRPr="001C5FF8">
        <w:rPr>
          <w:sz w:val="22"/>
          <w:szCs w:val="22"/>
        </w:rPr>
        <w:t xml:space="preserve"> was a </w:t>
      </w:r>
      <w:r w:rsidR="003B16FA">
        <w:rPr>
          <w:sz w:val="22"/>
          <w:szCs w:val="22"/>
        </w:rPr>
        <w:t xml:space="preserve">wideband signal centered on </w:t>
      </w:r>
      <w:r w:rsidR="00B85E78">
        <w:rPr>
          <w:sz w:val="22"/>
          <w:szCs w:val="22"/>
        </w:rPr>
        <w:t>5950</w:t>
      </w:r>
      <w:r w:rsidR="003B16FA">
        <w:rPr>
          <w:sz w:val="22"/>
          <w:szCs w:val="22"/>
        </w:rPr>
        <w:t xml:space="preserve"> MHz.</w:t>
      </w:r>
      <w:r w:rsidRPr="001C5FF8">
        <w:rPr>
          <w:sz w:val="22"/>
          <w:szCs w:val="22"/>
        </w:rPr>
        <w:t xml:space="preserve">  The signal was emanating from </w:t>
      </w:r>
      <w:r w:rsidR="003B16FA">
        <w:rPr>
          <w:sz w:val="22"/>
          <w:szCs w:val="22"/>
        </w:rPr>
        <w:t xml:space="preserve">a Mimosa </w:t>
      </w:r>
      <w:r w:rsidR="00176BE9">
        <w:rPr>
          <w:sz w:val="22"/>
          <w:szCs w:val="22"/>
        </w:rPr>
        <w:t xml:space="preserve">B5c transmitter (FCC ID: </w:t>
      </w:r>
      <w:r w:rsidR="0071682E">
        <w:rPr>
          <w:sz w:val="22"/>
          <w:szCs w:val="22"/>
        </w:rPr>
        <w:t>2ABZJ-100-00014PS)</w:t>
      </w:r>
      <w:r w:rsidR="00687743">
        <w:rPr>
          <w:sz w:val="22"/>
          <w:szCs w:val="22"/>
        </w:rPr>
        <w:t xml:space="preserve"> located at 9066 SW 73</w:t>
      </w:r>
      <w:r w:rsidRPr="00687743" w:rsidR="00687743">
        <w:rPr>
          <w:sz w:val="22"/>
          <w:szCs w:val="22"/>
          <w:vertAlign w:val="superscript"/>
        </w:rPr>
        <w:t>rd</w:t>
      </w:r>
      <w:r w:rsidR="00687743">
        <w:rPr>
          <w:sz w:val="22"/>
          <w:szCs w:val="22"/>
        </w:rPr>
        <w:t xml:space="preserve"> Ct. Miami, FL 33156 operated by Nexogy, Inc.</w:t>
      </w:r>
      <w:r w:rsidRPr="001C5FF8">
        <w:rPr>
          <w:sz w:val="22"/>
          <w:szCs w:val="22"/>
        </w:rPr>
        <w:t xml:space="preserve"> </w:t>
      </w:r>
      <w:r w:rsidR="00B85E78">
        <w:rPr>
          <w:sz w:val="22"/>
          <w:szCs w:val="22"/>
        </w:rPr>
        <w:t xml:space="preserve"> </w:t>
      </w:r>
      <w:r w:rsidRPr="001C5FF8">
        <w:rPr>
          <w:sz w:val="22"/>
          <w:szCs w:val="22"/>
        </w:rPr>
        <w:t xml:space="preserve">After the Agents notified </w:t>
      </w:r>
      <w:r w:rsidR="00687743">
        <w:rPr>
          <w:sz w:val="22"/>
          <w:szCs w:val="22"/>
        </w:rPr>
        <w:t>Nexogy, Inc</w:t>
      </w:r>
      <w:r>
        <w:rPr>
          <w:sz w:val="22"/>
          <w:szCs w:val="22"/>
        </w:rPr>
        <w:t xml:space="preserve"> </w:t>
      </w:r>
      <w:r w:rsidRPr="001C5FF8">
        <w:rPr>
          <w:sz w:val="22"/>
          <w:szCs w:val="22"/>
        </w:rPr>
        <w:t xml:space="preserve">of the interference issue, </w:t>
      </w:r>
      <w:r w:rsidR="00687743">
        <w:rPr>
          <w:sz w:val="22"/>
          <w:szCs w:val="22"/>
        </w:rPr>
        <w:t>Nexogy, Inc turned off their transmitter</w:t>
      </w:r>
      <w:r w:rsidRPr="001C5FF8">
        <w:rPr>
          <w:sz w:val="22"/>
          <w:szCs w:val="22"/>
        </w:rPr>
        <w:t xml:space="preserve">.  Soon after, Agents verified </w:t>
      </w:r>
      <w:r w:rsidR="003C7557">
        <w:rPr>
          <w:sz w:val="22"/>
          <w:szCs w:val="22"/>
        </w:rPr>
        <w:t xml:space="preserve">that </w:t>
      </w:r>
      <w:r w:rsidRPr="001C5FF8">
        <w:rPr>
          <w:sz w:val="22"/>
          <w:szCs w:val="22"/>
        </w:rPr>
        <w:t>the interference to</w:t>
      </w:r>
      <w:r w:rsidR="00687743">
        <w:rPr>
          <w:sz w:val="22"/>
          <w:szCs w:val="22"/>
        </w:rPr>
        <w:t xml:space="preserve"> Miami-Dade County </w:t>
      </w:r>
      <w:r w:rsidRPr="001C5FF8">
        <w:rPr>
          <w:sz w:val="22"/>
          <w:szCs w:val="22"/>
        </w:rPr>
        <w:t>ceased.</w:t>
      </w:r>
    </w:p>
    <w:p w:rsidR="001C5FF8" w:rsidP="001C5FF8" w14:paraId="065B90EA" w14:textId="71F4470E">
      <w:pPr>
        <w:spacing w:after="240"/>
        <w:rPr>
          <w:sz w:val="22"/>
          <w:szCs w:val="22"/>
        </w:rPr>
      </w:pPr>
      <w:r w:rsidRPr="001C5FF8">
        <w:rPr>
          <w:sz w:val="22"/>
          <w:szCs w:val="22"/>
        </w:rPr>
        <w:t xml:space="preserve">Radio stations must be licensed by the FCC pursuant to </w:t>
      </w:r>
      <w:r w:rsidR="00F33831">
        <w:rPr>
          <w:sz w:val="22"/>
          <w:szCs w:val="22"/>
        </w:rPr>
        <w:t>s</w:t>
      </w:r>
      <w:r w:rsidRPr="001C5FF8">
        <w:rPr>
          <w:sz w:val="22"/>
          <w:szCs w:val="22"/>
        </w:rPr>
        <w:t>ection 301 of the Communications Act of 1934, as amended (Act).</w:t>
      </w:r>
      <w:r>
        <w:rPr>
          <w:rStyle w:val="FootnoteReference"/>
          <w:sz w:val="22"/>
          <w:szCs w:val="22"/>
        </w:rPr>
        <w:footnoteReference w:id="2"/>
      </w:r>
      <w:r w:rsidRPr="001C5FF8">
        <w:rPr>
          <w:sz w:val="22"/>
          <w:szCs w:val="22"/>
        </w:rPr>
        <w:t xml:space="preserve">  The only exception to this licensing requirement is for certain transmitters using or operating at a power level or mode of operation that complies with the standards established in </w:t>
      </w:r>
      <w:r w:rsidR="00F33831">
        <w:rPr>
          <w:sz w:val="22"/>
          <w:szCs w:val="22"/>
        </w:rPr>
        <w:t>p</w:t>
      </w:r>
      <w:r w:rsidRPr="001C5FF8">
        <w:rPr>
          <w:sz w:val="22"/>
          <w:szCs w:val="22"/>
        </w:rPr>
        <w:t>art 15 of the Commission’s rules.</w:t>
      </w:r>
      <w:r>
        <w:rPr>
          <w:rStyle w:val="FootnoteReference"/>
          <w:sz w:val="22"/>
          <w:szCs w:val="22"/>
        </w:rPr>
        <w:footnoteReference w:id="3"/>
      </w:r>
      <w:r w:rsidRPr="001C5FF8">
        <w:rPr>
          <w:sz w:val="22"/>
          <w:szCs w:val="22"/>
        </w:rPr>
        <w:t xml:space="preserve">  Non-licensed operation pursuant to </w:t>
      </w:r>
      <w:r w:rsidR="00F33831">
        <w:rPr>
          <w:sz w:val="22"/>
          <w:szCs w:val="22"/>
        </w:rPr>
        <w:t>p</w:t>
      </w:r>
      <w:r w:rsidRPr="001C5FF8">
        <w:rPr>
          <w:sz w:val="22"/>
          <w:szCs w:val="22"/>
        </w:rPr>
        <w:t>art 15 of the Commission’s rules, however, is conditioned upon compliance with all applicable regulations in the subpart.</w:t>
      </w:r>
      <w:r>
        <w:rPr>
          <w:rStyle w:val="FootnoteReference"/>
          <w:sz w:val="22"/>
          <w:szCs w:val="22"/>
        </w:rPr>
        <w:footnoteReference w:id="4"/>
      </w:r>
      <w:r w:rsidRPr="001C5FF8">
        <w:rPr>
          <w:sz w:val="22"/>
          <w:szCs w:val="22"/>
        </w:rPr>
        <w:t xml:space="preserve">  All intentional radiators operating pursuant to </w:t>
      </w:r>
      <w:r w:rsidR="00F33831">
        <w:rPr>
          <w:sz w:val="22"/>
          <w:szCs w:val="22"/>
        </w:rPr>
        <w:t>p</w:t>
      </w:r>
      <w:r w:rsidRPr="001C5FF8">
        <w:rPr>
          <w:sz w:val="22"/>
          <w:szCs w:val="22"/>
        </w:rPr>
        <w:t xml:space="preserve">art 15 of the FCC’s rules must be certified for use as a </w:t>
      </w:r>
      <w:r w:rsidR="00F33831">
        <w:rPr>
          <w:sz w:val="22"/>
          <w:szCs w:val="22"/>
        </w:rPr>
        <w:t>p</w:t>
      </w:r>
      <w:r w:rsidRPr="001C5FF8">
        <w:rPr>
          <w:sz w:val="22"/>
          <w:szCs w:val="22"/>
        </w:rPr>
        <w:t>art 15 device,</w:t>
      </w:r>
      <w:r>
        <w:rPr>
          <w:rStyle w:val="FootnoteReference"/>
          <w:sz w:val="22"/>
          <w:szCs w:val="22"/>
        </w:rPr>
        <w:footnoteReference w:id="5"/>
      </w:r>
      <w:r w:rsidRPr="001C5FF8">
        <w:rPr>
          <w:sz w:val="22"/>
          <w:szCs w:val="22"/>
        </w:rPr>
        <w:t xml:space="preserve"> and failure to operate such device consistent with its </w:t>
      </w:r>
      <w:r w:rsidR="00F95024">
        <w:rPr>
          <w:sz w:val="22"/>
          <w:szCs w:val="22"/>
        </w:rPr>
        <w:t xml:space="preserve">equipment </w:t>
      </w:r>
      <w:r w:rsidRPr="001C5FF8">
        <w:rPr>
          <w:sz w:val="22"/>
          <w:szCs w:val="22"/>
        </w:rPr>
        <w:t xml:space="preserve">authorization violates </w:t>
      </w:r>
      <w:r w:rsidR="00F33831">
        <w:rPr>
          <w:sz w:val="22"/>
          <w:szCs w:val="22"/>
        </w:rPr>
        <w:t>p</w:t>
      </w:r>
      <w:r w:rsidRPr="001C5FF8">
        <w:rPr>
          <w:sz w:val="22"/>
          <w:szCs w:val="22"/>
        </w:rPr>
        <w:t>art 15 of the Commission’s rules.</w:t>
      </w:r>
      <w:r>
        <w:rPr>
          <w:rStyle w:val="FootnoteReference"/>
          <w:sz w:val="22"/>
          <w:szCs w:val="22"/>
        </w:rPr>
        <w:footnoteReference w:id="6"/>
      </w:r>
      <w:r w:rsidR="00F95024">
        <w:rPr>
          <w:sz w:val="22"/>
          <w:szCs w:val="22"/>
        </w:rPr>
        <w:t xml:space="preserve">  </w:t>
      </w:r>
    </w:p>
    <w:p w:rsidR="0054101A" w:rsidP="0054101A" w14:paraId="71D1686A" w14:textId="4E05E393">
      <w:pPr>
        <w:spacing w:after="240"/>
        <w:rPr>
          <w:sz w:val="22"/>
          <w:szCs w:val="22"/>
        </w:rPr>
      </w:pPr>
      <w:r w:rsidRPr="001C5FF8">
        <w:rPr>
          <w:sz w:val="22"/>
          <w:szCs w:val="22"/>
        </w:rPr>
        <w:t xml:space="preserve">The investigation determined the transmitter </w:t>
      </w:r>
      <w:r>
        <w:rPr>
          <w:sz w:val="22"/>
          <w:szCs w:val="22"/>
        </w:rPr>
        <w:t>is</w:t>
      </w:r>
      <w:r w:rsidRPr="001C5FF8">
        <w:rPr>
          <w:sz w:val="22"/>
          <w:szCs w:val="22"/>
        </w:rPr>
        <w:t xml:space="preserve"> certified as a </w:t>
      </w:r>
      <w:r>
        <w:rPr>
          <w:sz w:val="22"/>
          <w:szCs w:val="22"/>
        </w:rPr>
        <w:t>p</w:t>
      </w:r>
      <w:r w:rsidRPr="001C5FF8">
        <w:rPr>
          <w:sz w:val="22"/>
          <w:szCs w:val="22"/>
        </w:rPr>
        <w:t>art 15 device and labeled with FCC ID:</w:t>
      </w:r>
      <w:r>
        <w:rPr>
          <w:sz w:val="22"/>
          <w:szCs w:val="22"/>
        </w:rPr>
        <w:t xml:space="preserve"> 2ABZJ-100-00014PS</w:t>
      </w:r>
      <w:r w:rsidRPr="001C5FF8">
        <w:rPr>
          <w:sz w:val="22"/>
          <w:szCs w:val="22"/>
        </w:rPr>
        <w:t xml:space="preserve">.  However, FCC records indicate the transmitter is authorized to operate only on </w:t>
      </w:r>
      <w:r w:rsidRPr="001C5FF8">
        <w:rPr>
          <w:sz w:val="22"/>
          <w:szCs w:val="22"/>
        </w:rPr>
        <w:t xml:space="preserve">frequencies between </w:t>
      </w:r>
      <w:r w:rsidR="008663D3">
        <w:rPr>
          <w:sz w:val="22"/>
          <w:szCs w:val="22"/>
        </w:rPr>
        <w:t>5165 – 5249 MHz, 5260 – 5320 MHz, 5500 – 5700 MHz, and 5745 - 5825</w:t>
      </w:r>
      <w:r>
        <w:rPr>
          <w:sz w:val="22"/>
          <w:szCs w:val="22"/>
        </w:rPr>
        <w:t> </w:t>
      </w:r>
      <w:r w:rsidRPr="001C5FF8">
        <w:rPr>
          <w:sz w:val="22"/>
          <w:szCs w:val="22"/>
        </w:rPr>
        <w:t xml:space="preserve">MHz.  Accordingly, your operation of the </w:t>
      </w:r>
      <w:r w:rsidR="008663D3">
        <w:rPr>
          <w:sz w:val="22"/>
          <w:szCs w:val="22"/>
        </w:rPr>
        <w:t>Mimosa B5c transmitter</w:t>
      </w:r>
      <w:r>
        <w:rPr>
          <w:sz w:val="22"/>
          <w:szCs w:val="22"/>
        </w:rPr>
        <w:t xml:space="preserve"> </w:t>
      </w:r>
      <w:r w:rsidRPr="001C5FF8">
        <w:rPr>
          <w:sz w:val="22"/>
          <w:szCs w:val="22"/>
        </w:rPr>
        <w:t>on the frequenc</w:t>
      </w:r>
      <w:r w:rsidR="007D68C6">
        <w:rPr>
          <w:sz w:val="22"/>
          <w:szCs w:val="22"/>
        </w:rPr>
        <w:t>y</w:t>
      </w:r>
      <w:r w:rsidRPr="001C5FF8">
        <w:rPr>
          <w:sz w:val="22"/>
          <w:szCs w:val="22"/>
        </w:rPr>
        <w:t xml:space="preserve"> </w:t>
      </w:r>
      <w:r w:rsidR="008663D3">
        <w:rPr>
          <w:sz w:val="22"/>
          <w:szCs w:val="22"/>
        </w:rPr>
        <w:t xml:space="preserve">5950 MHz </w:t>
      </w:r>
      <w:r w:rsidRPr="001C5FF8">
        <w:rPr>
          <w:sz w:val="22"/>
          <w:szCs w:val="22"/>
        </w:rPr>
        <w:t>do</w:t>
      </w:r>
      <w:r w:rsidR="00142538">
        <w:rPr>
          <w:sz w:val="22"/>
          <w:szCs w:val="22"/>
        </w:rPr>
        <w:t>es</w:t>
      </w:r>
      <w:r w:rsidRPr="001C5FF8">
        <w:rPr>
          <w:sz w:val="22"/>
          <w:szCs w:val="22"/>
        </w:rPr>
        <w:t xml:space="preserve"> not comply with the </w:t>
      </w:r>
      <w:r w:rsidR="00414A9B">
        <w:rPr>
          <w:sz w:val="22"/>
          <w:szCs w:val="22"/>
        </w:rPr>
        <w:t xml:space="preserve">equipment authorization </w:t>
      </w:r>
      <w:r w:rsidRPr="001C5FF8">
        <w:rPr>
          <w:sz w:val="22"/>
          <w:szCs w:val="22"/>
        </w:rPr>
        <w:t xml:space="preserve">requirements of </w:t>
      </w:r>
      <w:r>
        <w:rPr>
          <w:sz w:val="22"/>
          <w:szCs w:val="22"/>
        </w:rPr>
        <w:t>p</w:t>
      </w:r>
      <w:r w:rsidRPr="001C5FF8">
        <w:rPr>
          <w:sz w:val="22"/>
          <w:szCs w:val="22"/>
        </w:rPr>
        <w:t xml:space="preserve">art 15 of the FCC’s rules, and the FCC has no record of a license being issued to you to operate a transmitter on </w:t>
      </w:r>
      <w:r w:rsidR="008663D3">
        <w:rPr>
          <w:sz w:val="22"/>
          <w:szCs w:val="22"/>
        </w:rPr>
        <w:t>5950</w:t>
      </w:r>
      <w:r>
        <w:rPr>
          <w:sz w:val="22"/>
          <w:szCs w:val="22"/>
        </w:rPr>
        <w:t xml:space="preserve"> MHz in </w:t>
      </w:r>
      <w:r w:rsidR="008663D3">
        <w:rPr>
          <w:sz w:val="22"/>
          <w:szCs w:val="22"/>
        </w:rPr>
        <w:t>Miami, Florida</w:t>
      </w:r>
      <w:r w:rsidRPr="001C5FF8">
        <w:rPr>
          <w:sz w:val="22"/>
          <w:szCs w:val="22"/>
        </w:rPr>
        <w:t xml:space="preserve">.  Thus, your operation </w:t>
      </w:r>
      <w:r>
        <w:rPr>
          <w:sz w:val="22"/>
          <w:szCs w:val="22"/>
        </w:rPr>
        <w:t xml:space="preserve">is </w:t>
      </w:r>
      <w:r w:rsidRPr="001C5FF8">
        <w:rPr>
          <w:sz w:val="22"/>
          <w:szCs w:val="22"/>
        </w:rPr>
        <w:t xml:space="preserve">in violation of </w:t>
      </w:r>
      <w:r>
        <w:rPr>
          <w:sz w:val="22"/>
          <w:szCs w:val="22"/>
        </w:rPr>
        <w:t>section 301 of the Act</w:t>
      </w:r>
      <w:r>
        <w:rPr>
          <w:rStyle w:val="FootnoteReference"/>
          <w:sz w:val="22"/>
          <w:szCs w:val="22"/>
        </w:rPr>
        <w:footnoteReference w:id="7"/>
      </w:r>
      <w:r>
        <w:rPr>
          <w:sz w:val="22"/>
          <w:szCs w:val="22"/>
        </w:rPr>
        <w:t xml:space="preserve"> </w:t>
      </w:r>
      <w:r w:rsidRPr="001C5FF8">
        <w:rPr>
          <w:sz w:val="22"/>
          <w:szCs w:val="22"/>
        </w:rPr>
        <w:t xml:space="preserve">and </w:t>
      </w:r>
      <w:r>
        <w:rPr>
          <w:sz w:val="22"/>
          <w:szCs w:val="22"/>
        </w:rPr>
        <w:t>p</w:t>
      </w:r>
      <w:r w:rsidRPr="001C5FF8">
        <w:rPr>
          <w:sz w:val="22"/>
          <w:szCs w:val="22"/>
        </w:rPr>
        <w:t>art 15 of the FCC’s rules.</w:t>
      </w:r>
      <w:r w:rsidR="00414A9B">
        <w:rPr>
          <w:sz w:val="22"/>
          <w:szCs w:val="22"/>
        </w:rPr>
        <w:t xml:space="preserve">  </w:t>
      </w:r>
    </w:p>
    <w:p w:rsidR="0054101A" w:rsidP="001C5FF8" w14:paraId="56B82788" w14:textId="52F85F5C">
      <w:pPr>
        <w:spacing w:after="240"/>
        <w:rPr>
          <w:sz w:val="22"/>
          <w:szCs w:val="22"/>
        </w:rPr>
      </w:pPr>
      <w:r w:rsidRPr="001C5FF8">
        <w:rPr>
          <w:sz w:val="22"/>
          <w:szCs w:val="22"/>
        </w:rPr>
        <w:t xml:space="preserve">Had the transmitter been certified for operation on </w:t>
      </w:r>
      <w:r w:rsidR="008663D3">
        <w:rPr>
          <w:sz w:val="22"/>
          <w:szCs w:val="22"/>
        </w:rPr>
        <w:t>5950</w:t>
      </w:r>
      <w:r>
        <w:rPr>
          <w:sz w:val="22"/>
          <w:szCs w:val="22"/>
        </w:rPr>
        <w:t> </w:t>
      </w:r>
      <w:r w:rsidRPr="001C5FF8">
        <w:rPr>
          <w:sz w:val="22"/>
          <w:szCs w:val="22"/>
        </w:rPr>
        <w:t xml:space="preserve">MHz, additional conditions </w:t>
      </w:r>
      <w:r>
        <w:rPr>
          <w:sz w:val="22"/>
          <w:szCs w:val="22"/>
        </w:rPr>
        <w:t xml:space="preserve">would </w:t>
      </w:r>
      <w:r w:rsidRPr="001C5FF8">
        <w:rPr>
          <w:sz w:val="22"/>
          <w:szCs w:val="22"/>
        </w:rPr>
        <w:t xml:space="preserve">apply.  Non-licensed operation of a </w:t>
      </w:r>
      <w:r>
        <w:rPr>
          <w:sz w:val="22"/>
          <w:szCs w:val="22"/>
        </w:rPr>
        <w:t>p</w:t>
      </w:r>
      <w:r w:rsidRPr="001C5FF8">
        <w:rPr>
          <w:sz w:val="22"/>
          <w:szCs w:val="22"/>
        </w:rPr>
        <w:t>art 15 device is subject to the condition that it must not cause harmful interference and, if harmful interference occurs, operation of the device must cease.</w:t>
      </w:r>
      <w:r>
        <w:rPr>
          <w:rStyle w:val="FootnoteReference"/>
          <w:sz w:val="22"/>
          <w:szCs w:val="22"/>
        </w:rPr>
        <w:footnoteReference w:id="8"/>
      </w:r>
      <w:r w:rsidRPr="001C5FF8">
        <w:rPr>
          <w:sz w:val="22"/>
          <w:szCs w:val="22"/>
        </w:rPr>
        <w:t xml:space="preserve">  Harmful interference is defined as “[a]ny emission, radiation or induction that endangers the functioning of a radio navigation service or of other safety services or seriously degrades, obstructs or repeatedly interrupts a radio communications service operating in accordance with this chapter.”</w:t>
      </w:r>
      <w:r>
        <w:rPr>
          <w:rStyle w:val="FootnoteReference"/>
          <w:sz w:val="22"/>
          <w:szCs w:val="22"/>
        </w:rPr>
        <w:footnoteReference w:id="9"/>
      </w:r>
    </w:p>
    <w:p w:rsidR="001C5FF8" w:rsidP="001C5FF8" w14:paraId="53B8E705" w14:textId="1D6F27E9">
      <w:pPr>
        <w:spacing w:after="240"/>
        <w:rPr>
          <w:sz w:val="22"/>
          <w:szCs w:val="22"/>
        </w:rPr>
      </w:pPr>
      <w:r w:rsidRPr="001C5FF8">
        <w:rPr>
          <w:sz w:val="22"/>
          <w:szCs w:val="22"/>
        </w:rPr>
        <w:t xml:space="preserve">Operation of radio transmitting equipment without a valid FCC authorization or license is a violation of </w:t>
      </w:r>
      <w:r w:rsidR="00F33831">
        <w:rPr>
          <w:sz w:val="22"/>
          <w:szCs w:val="22"/>
        </w:rPr>
        <w:t>s</w:t>
      </w:r>
      <w:r w:rsidRPr="001C5FF8">
        <w:rPr>
          <w:sz w:val="22"/>
          <w:szCs w:val="22"/>
        </w:rPr>
        <w:t>ection 301 of the Act</w:t>
      </w:r>
      <w:r>
        <w:rPr>
          <w:rStyle w:val="FootnoteReference"/>
          <w:sz w:val="22"/>
          <w:szCs w:val="22"/>
        </w:rPr>
        <w:footnoteReference w:id="10"/>
      </w:r>
      <w:r w:rsidRPr="001C5FF8">
        <w:rPr>
          <w:sz w:val="22"/>
          <w:szCs w:val="22"/>
        </w:rPr>
        <w:t xml:space="preserve"> and may subject the responsible parties to substantial monetary fines, </w:t>
      </w:r>
      <w:r w:rsidRPr="008D06F8">
        <w:rPr>
          <w:i/>
          <w:iCs/>
          <w:sz w:val="22"/>
          <w:szCs w:val="22"/>
        </w:rPr>
        <w:t>in rem</w:t>
      </w:r>
      <w:r w:rsidRPr="001C5FF8">
        <w:rPr>
          <w:sz w:val="22"/>
          <w:szCs w:val="22"/>
        </w:rPr>
        <w:t xml:space="preserve"> arrest action against the offending radio equipment, and criminal sanctions including imprisonment.   Because </w:t>
      </w:r>
      <w:r w:rsidR="007D68C6">
        <w:rPr>
          <w:sz w:val="22"/>
          <w:szCs w:val="22"/>
        </w:rPr>
        <w:t xml:space="preserve">unauthorized </w:t>
      </w:r>
      <w:r w:rsidRPr="001C5FF8">
        <w:rPr>
          <w:sz w:val="22"/>
          <w:szCs w:val="22"/>
        </w:rPr>
        <w:t>operation creates a danger of interference to important radio communications services and may subject the operator to severe penalties, this letter emphasizes the importance of complying strictly with these legal requirements.</w:t>
      </w:r>
      <w:r>
        <w:rPr>
          <w:rStyle w:val="FootnoteReference"/>
          <w:sz w:val="22"/>
          <w:szCs w:val="22"/>
        </w:rPr>
        <w:footnoteReference w:id="11"/>
      </w:r>
      <w:r w:rsidRPr="001C5FF8">
        <w:rPr>
          <w:sz w:val="22"/>
          <w:szCs w:val="22"/>
        </w:rPr>
        <w:t xml:space="preserve"> </w:t>
      </w:r>
    </w:p>
    <w:p w:rsidR="00DB44F5" w:rsidP="001C5FF8" w14:paraId="629A0367" w14:textId="32BD5559">
      <w:pPr>
        <w:spacing w:after="240"/>
        <w:rPr>
          <w:b/>
          <w:sz w:val="22"/>
          <w:szCs w:val="22"/>
        </w:rPr>
      </w:pPr>
      <w:r w:rsidRPr="00B341C7">
        <w:rPr>
          <w:b/>
          <w:sz w:val="22"/>
          <w:szCs w:val="22"/>
        </w:rPr>
        <w:t>UNAUTHORIZED OPERATION OF THIS RADIO TRANSMITTING DEVICE AND ASSOCIATED HARMFUL INTERFERENCE MUST CEASE IMMEDIATELY AND MUST NOT RESUME</w:t>
      </w:r>
      <w:r>
        <w:rPr>
          <w:b/>
          <w:sz w:val="22"/>
          <w:szCs w:val="22"/>
        </w:rPr>
        <w:t>.</w:t>
      </w:r>
    </w:p>
    <w:p w:rsidR="001C5FF8" w:rsidRPr="00DB44F5" w:rsidP="001C5FF8" w14:paraId="0E1A97B0" w14:textId="3F792CAC">
      <w:pPr>
        <w:spacing w:after="240"/>
        <w:rPr>
          <w:b/>
          <w:sz w:val="22"/>
          <w:szCs w:val="22"/>
        </w:rPr>
      </w:pPr>
      <w:r w:rsidRPr="001C5FF8">
        <w:rPr>
          <w:sz w:val="22"/>
          <w:szCs w:val="22"/>
        </w:rPr>
        <w:t xml:space="preserve">You have ten (10) days from the date of this notice to respond concerning your operation of this </w:t>
      </w:r>
      <w:r w:rsidR="00F33831">
        <w:rPr>
          <w:sz w:val="22"/>
          <w:szCs w:val="22"/>
        </w:rPr>
        <w:t>p</w:t>
      </w:r>
      <w:r w:rsidRPr="001C5FF8" w:rsidR="00F33831">
        <w:rPr>
          <w:sz w:val="22"/>
          <w:szCs w:val="22"/>
        </w:rPr>
        <w:t xml:space="preserve">art </w:t>
      </w:r>
      <w:r w:rsidRPr="001C5FF8">
        <w:rPr>
          <w:sz w:val="22"/>
          <w:szCs w:val="22"/>
        </w:rPr>
        <w:t>15 device.  Your response should describe the steps you are taking to avoid operating on unauthorized frequencies</w:t>
      </w:r>
      <w:r w:rsidR="00DD12CE">
        <w:rPr>
          <w:sz w:val="22"/>
          <w:szCs w:val="22"/>
        </w:rPr>
        <w:t xml:space="preserve"> </w:t>
      </w:r>
      <w:r w:rsidRPr="001C5FF8">
        <w:rPr>
          <w:sz w:val="22"/>
          <w:szCs w:val="22"/>
        </w:rPr>
        <w:t>and preventing future interference.  Your response should be sent to the address in the letterhead and reference the listed case number.  Under the Privacy Act of 1974,</w:t>
      </w:r>
      <w:r>
        <w:rPr>
          <w:rStyle w:val="FootnoteReference"/>
          <w:sz w:val="22"/>
          <w:szCs w:val="22"/>
        </w:rPr>
        <w:footnoteReference w:id="12"/>
      </w:r>
      <w:r w:rsidRPr="001C5FF8">
        <w:rPr>
          <w:sz w:val="22"/>
          <w:szCs w:val="22"/>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1C5FF8" w:rsidRPr="001C5FF8" w:rsidP="001C5FF8" w14:paraId="20E3FC8C" w14:textId="77777777">
      <w:pPr>
        <w:rPr>
          <w:sz w:val="22"/>
          <w:szCs w:val="22"/>
        </w:rPr>
      </w:pPr>
      <w:r w:rsidRPr="001C5FF8">
        <w:rPr>
          <w:sz w:val="22"/>
          <w:szCs w:val="22"/>
        </w:rPr>
        <w:t>You may contact this office if you have any questions.</w:t>
      </w:r>
    </w:p>
    <w:p w:rsidR="001C5FF8" w:rsidP="001C5FF8" w14:paraId="655C43A0" w14:textId="7CEFA53B">
      <w:pPr>
        <w:rPr>
          <w:sz w:val="22"/>
          <w:szCs w:val="22"/>
        </w:rPr>
      </w:pPr>
    </w:p>
    <w:p w:rsidR="00DD12CE" w:rsidP="001C5FF8" w14:paraId="10A2BE13" w14:textId="4E629945">
      <w:pPr>
        <w:rPr>
          <w:sz w:val="22"/>
          <w:szCs w:val="22"/>
        </w:rPr>
      </w:pPr>
    </w:p>
    <w:p w:rsidR="00DD12CE" w:rsidRPr="001C5FF8" w:rsidP="001C5FF8" w14:paraId="379ED903" w14:textId="77777777">
      <w:pPr>
        <w:rPr>
          <w:sz w:val="22"/>
          <w:szCs w:val="22"/>
        </w:rPr>
      </w:pPr>
    </w:p>
    <w:p w:rsidR="001C5FF8" w:rsidP="001C5FF8" w14:paraId="6266FD44" w14:textId="72D38492">
      <w:pPr>
        <w:rPr>
          <w:sz w:val="22"/>
          <w:szCs w:val="22"/>
        </w:rPr>
      </w:pPr>
    </w:p>
    <w:p w:rsidR="00DB44F5" w:rsidRPr="00F33831" w:rsidP="00DB44F5" w14:paraId="6C4A8FC2" w14:textId="0283A768">
      <w:pPr>
        <w:rPr>
          <w:sz w:val="22"/>
          <w:szCs w:val="22"/>
        </w:rPr>
      </w:pPr>
      <w:r>
        <w:rPr>
          <w:sz w:val="22"/>
          <w:szCs w:val="22"/>
        </w:rPr>
        <w:t>Dedrick Roybiskie</w:t>
      </w:r>
    </w:p>
    <w:p w:rsidR="00DB44F5" w:rsidRPr="00F33831" w:rsidP="00DB44F5" w14:paraId="037A054F" w14:textId="74A7AC83">
      <w:pPr>
        <w:rPr>
          <w:sz w:val="22"/>
          <w:szCs w:val="22"/>
        </w:rPr>
      </w:pPr>
      <w:r w:rsidRPr="00F33831">
        <w:rPr>
          <w:sz w:val="22"/>
          <w:szCs w:val="22"/>
        </w:rPr>
        <w:t xml:space="preserve">Regional Director, Region </w:t>
      </w:r>
      <w:r w:rsidR="00B85E78">
        <w:rPr>
          <w:sz w:val="22"/>
          <w:szCs w:val="22"/>
        </w:rPr>
        <w:t>Two</w:t>
      </w:r>
    </w:p>
    <w:p w:rsidR="00DB44F5" w:rsidRPr="00F33831" w:rsidP="00DB44F5" w14:paraId="7B2A56AD" w14:textId="77777777">
      <w:pPr>
        <w:rPr>
          <w:sz w:val="22"/>
          <w:szCs w:val="22"/>
        </w:rPr>
      </w:pPr>
      <w:r w:rsidRPr="00F33831">
        <w:rPr>
          <w:sz w:val="22"/>
          <w:szCs w:val="22"/>
        </w:rPr>
        <w:t>Enforcement Bureau</w:t>
      </w:r>
    </w:p>
    <w:p w:rsidR="00DB44F5" w:rsidRPr="00F33831" w:rsidP="00DB44F5" w14:paraId="224C26C8" w14:textId="77777777">
      <w:pPr>
        <w:rPr>
          <w:sz w:val="22"/>
          <w:szCs w:val="22"/>
        </w:rPr>
      </w:pPr>
    </w:p>
    <w:p w:rsidR="00DB44F5" w:rsidRPr="00F33831" w:rsidP="00DB44F5" w14:paraId="5E788AEA" w14:textId="77777777">
      <w:pPr>
        <w:rPr>
          <w:sz w:val="22"/>
          <w:szCs w:val="22"/>
        </w:rPr>
      </w:pPr>
    </w:p>
    <w:p w:rsidR="00DB44F5" w:rsidRPr="00F33831" w:rsidP="00DB44F5" w14:paraId="51761F0E" w14:textId="77777777">
      <w:pPr>
        <w:rPr>
          <w:sz w:val="22"/>
          <w:szCs w:val="22"/>
        </w:rPr>
      </w:pPr>
      <w:r w:rsidRPr="00F33831">
        <w:rPr>
          <w:sz w:val="22"/>
          <w:szCs w:val="22"/>
        </w:rPr>
        <w:t>Enclosures</w:t>
      </w:r>
    </w:p>
    <w:p w:rsidR="00DB44F5" w:rsidRPr="00F33831" w:rsidP="00F33831" w14:paraId="3B923314" w14:textId="77777777">
      <w:pPr>
        <w:suppressAutoHyphens/>
        <w:ind w:firstLine="720"/>
        <w:rPr>
          <w:sz w:val="22"/>
          <w:szCs w:val="22"/>
        </w:rPr>
      </w:pPr>
      <w:r w:rsidRPr="00F33831">
        <w:rPr>
          <w:sz w:val="22"/>
          <w:szCs w:val="22"/>
        </w:rPr>
        <w:t>Excerpts from the Communications Act of 1934, As Amended</w:t>
      </w:r>
    </w:p>
    <w:p w:rsidR="00DB44F5" w:rsidRPr="00F33831" w:rsidP="00F33831" w14:paraId="72BE5BAE" w14:textId="77777777">
      <w:pPr>
        <w:rPr>
          <w:sz w:val="22"/>
          <w:szCs w:val="22"/>
        </w:rPr>
      </w:pPr>
      <w:r w:rsidRPr="00F33831">
        <w:rPr>
          <w:sz w:val="22"/>
          <w:szCs w:val="22"/>
        </w:rPr>
        <w:tab/>
        <w:t>Enforcement Bureau, "Inspection Fact Sheet", March 2005</w:t>
      </w:r>
    </w:p>
    <w:p w:rsidR="00DB44F5" w:rsidRPr="001C5FF8" w:rsidP="001C5FF8" w14:paraId="3791B7F2"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304C" w14:paraId="11A2D742" w14:textId="77777777">
      <w:r>
        <w:separator/>
      </w:r>
    </w:p>
  </w:footnote>
  <w:footnote w:type="continuationSeparator" w:id="1">
    <w:p w:rsidR="00DD304C" w14:paraId="47755C43" w14:textId="77777777">
      <w:r>
        <w:continuationSeparator/>
      </w:r>
    </w:p>
  </w:footnote>
  <w:footnote w:id="2">
    <w:p w:rsidR="001C5FF8" w:rsidP="00DB44F5" w14:paraId="039577C2" w14:textId="095D167B">
      <w:pPr>
        <w:pStyle w:val="FootnoteText"/>
        <w:spacing w:after="120"/>
      </w:pPr>
      <w:r>
        <w:rPr>
          <w:rStyle w:val="FootnoteReference"/>
        </w:rPr>
        <w:footnoteRef/>
      </w:r>
      <w:r>
        <w:t xml:space="preserve"> 47 U.S.C. § 301.</w:t>
      </w:r>
    </w:p>
  </w:footnote>
  <w:footnote w:id="3">
    <w:p w:rsidR="001C5FF8" w:rsidP="00DB44F5" w14:paraId="24F77F7E" w14:textId="7DCAA45B">
      <w:pPr>
        <w:pStyle w:val="FootnoteText"/>
        <w:spacing w:after="120"/>
      </w:pPr>
      <w:r>
        <w:rPr>
          <w:rStyle w:val="FootnoteReference"/>
        </w:rPr>
        <w:footnoteRef/>
      </w:r>
      <w:r>
        <w:t xml:space="preserve"> 47 CFR §§ 15.1, </w:t>
      </w:r>
      <w:r w:rsidRPr="001C5FF8">
        <w:rPr>
          <w:i/>
        </w:rPr>
        <w:t>et seq.</w:t>
      </w:r>
    </w:p>
  </w:footnote>
  <w:footnote w:id="4">
    <w:p w:rsidR="001C5FF8" w:rsidP="00DB44F5" w14:paraId="5008733F" w14:textId="3A17D068">
      <w:pPr>
        <w:pStyle w:val="FootnoteText"/>
        <w:spacing w:after="120"/>
      </w:pPr>
      <w:r>
        <w:rPr>
          <w:rStyle w:val="FootnoteReference"/>
        </w:rPr>
        <w:footnoteRef/>
      </w:r>
      <w:r>
        <w:t xml:space="preserve"> 47 CFR § 15.1(b).</w:t>
      </w:r>
    </w:p>
  </w:footnote>
  <w:footnote w:id="5">
    <w:p w:rsidR="001C5FF8" w:rsidP="00DB44F5" w14:paraId="46FA3E82" w14:textId="4C614BBB">
      <w:pPr>
        <w:pStyle w:val="FootnoteText"/>
        <w:spacing w:after="120"/>
      </w:pPr>
      <w:r>
        <w:rPr>
          <w:rStyle w:val="FootnoteReference"/>
        </w:rPr>
        <w:footnoteRef/>
      </w:r>
      <w:r>
        <w:t xml:space="preserve"> 47 CFR § 15.201(b).</w:t>
      </w:r>
    </w:p>
  </w:footnote>
  <w:footnote w:id="6">
    <w:p w:rsidR="00802712" w14:paraId="70BC8523" w14:textId="0F0CB90B">
      <w:pPr>
        <w:pStyle w:val="FootnoteText"/>
      </w:pPr>
      <w:r>
        <w:rPr>
          <w:rStyle w:val="FootnoteReference"/>
        </w:rPr>
        <w:footnoteRef/>
      </w:r>
      <w:r>
        <w:t xml:space="preserve"> 47 CFR § 15.1(c)</w:t>
      </w:r>
      <w:r w:rsidR="00F95024">
        <w:t xml:space="preserve"> (“Unless specifically exempted, the operation or marketing of an intentional or unintentional radiator that is not in compliance with the administrative and technical provisions in this part, </w:t>
      </w:r>
      <w:r w:rsidRPr="008D06F8" w:rsidR="00F95024">
        <w:rPr>
          <w:i/>
          <w:iCs/>
        </w:rPr>
        <w:t>including prior equipment authorization</w:t>
      </w:r>
      <w:r w:rsidR="00F95024">
        <w:t xml:space="preserve">, as appropriate, is prohibited under section 302 of the Communications Act of 1934, as amended, and </w:t>
      </w:r>
      <w:r w:rsidRPr="008D06F8" w:rsidR="00F95024">
        <w:t>subpart I of part 2 of this chapter</w:t>
      </w:r>
      <w:r w:rsidR="00F95024">
        <w:t xml:space="preserve">. The equipment authorization procedures are detailed in </w:t>
      </w:r>
      <w:r w:rsidRPr="008D06F8" w:rsidR="00F95024">
        <w:t>subpart J of part 2 of this chapter</w:t>
      </w:r>
      <w:r w:rsidR="00F95024">
        <w:t>” (emphasis added)</w:t>
      </w:r>
      <w:r w:rsidR="008C3CA9">
        <w:t>)</w:t>
      </w:r>
      <w:r w:rsidR="00F95024">
        <w:t>.</w:t>
      </w:r>
    </w:p>
  </w:footnote>
  <w:footnote w:id="7">
    <w:p w:rsidR="0054101A" w:rsidP="0054101A" w14:paraId="4DB5563E" w14:textId="77777777">
      <w:pPr>
        <w:pStyle w:val="FootnoteText"/>
        <w:spacing w:after="120"/>
      </w:pPr>
      <w:r>
        <w:rPr>
          <w:rStyle w:val="FootnoteReference"/>
        </w:rPr>
        <w:footnoteRef/>
      </w:r>
      <w:r>
        <w:t xml:space="preserve"> </w:t>
      </w:r>
      <w:r w:rsidRPr="00F33831">
        <w:t>47 U.S.C. § 301</w:t>
      </w:r>
      <w:r>
        <w:t>.</w:t>
      </w:r>
    </w:p>
  </w:footnote>
  <w:footnote w:id="8">
    <w:p w:rsidR="0054101A" w:rsidP="0054101A" w14:paraId="40BA6895" w14:textId="4C5AE72B">
      <w:pPr>
        <w:pStyle w:val="FootnoteText"/>
        <w:spacing w:after="120"/>
      </w:pPr>
      <w:r>
        <w:rPr>
          <w:rStyle w:val="FootnoteReference"/>
        </w:rPr>
        <w:footnoteRef/>
      </w:r>
      <w:r>
        <w:t xml:space="preserve"> </w:t>
      </w:r>
      <w:r w:rsidRPr="00D05D13">
        <w:t>47 CFR §§ 15.5(c)</w:t>
      </w:r>
      <w:r>
        <w:t>.</w:t>
      </w:r>
    </w:p>
  </w:footnote>
  <w:footnote w:id="9">
    <w:p w:rsidR="0054101A" w:rsidP="0054101A" w14:paraId="4A4AF0B9" w14:textId="77777777">
      <w:pPr>
        <w:pStyle w:val="FootnoteText"/>
        <w:spacing w:after="120"/>
      </w:pPr>
      <w:r>
        <w:rPr>
          <w:rStyle w:val="FootnoteReference"/>
        </w:rPr>
        <w:footnoteRef/>
      </w:r>
      <w:r>
        <w:t xml:space="preserve"> 47 CFR § 15.3(m).</w:t>
      </w:r>
    </w:p>
  </w:footnote>
  <w:footnote w:id="10">
    <w:p w:rsidR="001C5FF8" w:rsidP="00DB44F5" w14:paraId="6F06B42B" w14:textId="073583C7">
      <w:pPr>
        <w:pStyle w:val="FootnoteText"/>
        <w:spacing w:after="120"/>
      </w:pPr>
      <w:r>
        <w:rPr>
          <w:rStyle w:val="FootnoteReference"/>
        </w:rPr>
        <w:footnoteRef/>
      </w:r>
      <w:r>
        <w:t xml:space="preserve"> 47 U.S.C. § 301.</w:t>
      </w:r>
    </w:p>
  </w:footnote>
  <w:footnote w:id="11">
    <w:p w:rsidR="001C5FF8" w:rsidP="00DB44F5" w14:paraId="4C5E79F4" w14:textId="6C7C9F3B">
      <w:pPr>
        <w:pStyle w:val="FootnoteText"/>
        <w:spacing w:after="120"/>
      </w:pPr>
      <w:r>
        <w:rPr>
          <w:rStyle w:val="FootnoteReference"/>
        </w:rPr>
        <w:footnoteRef/>
      </w:r>
      <w:r>
        <w:t xml:space="preserve"> </w:t>
      </w:r>
      <w:r w:rsidRPr="00F506D1">
        <w:rPr>
          <w:i/>
        </w:rPr>
        <w:t>See</w:t>
      </w:r>
      <w:r>
        <w:t xml:space="preserve"> </w:t>
      </w:r>
      <w:r w:rsidRPr="00295AAE">
        <w:t>47 U.S.C. §§ 401, 501, 503 and 510</w:t>
      </w:r>
      <w:r>
        <w:t>.</w:t>
      </w:r>
    </w:p>
  </w:footnote>
  <w:footnote w:id="12">
    <w:p w:rsidR="00DB44F5" w:rsidP="00DB44F5" w14:paraId="72753E7E" w14:textId="39491B6E">
      <w:pPr>
        <w:pStyle w:val="FootnoteText"/>
        <w:spacing w:after="120"/>
      </w:pPr>
      <w:r>
        <w:rPr>
          <w:rStyle w:val="FootnoteReference"/>
        </w:rPr>
        <w:footnoteRef/>
      </w:r>
      <w:r>
        <w:t xml:space="preserve"> </w:t>
      </w:r>
      <w:r w:rsidRPr="00DB44F5">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F4F7276" w14:textId="7777777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v:shape>
        <o:OLEObject Type="Embed" ProgID="Word.Picture.8" ShapeID="_x0000_s2049" DrawAspect="Content" ObjectID="_1726034675" r:id="rId2"/>
      </w:pict>
    </w:r>
    <w:r>
      <w:rPr>
        <w:rFonts w:ascii="CG Times (W1)" w:hAnsi="CG Times (W1)"/>
        <w:sz w:val="28"/>
      </w:rPr>
      <w:t>Federal Communications Commission</w:t>
    </w:r>
  </w:p>
  <w:p w:rsidR="001C5FF8" w14:paraId="49C196B9" w14:textId="77777777">
    <w:pPr>
      <w:jc w:val="center"/>
      <w:rPr>
        <w:rFonts w:ascii="CG Times (W1)" w:hAnsi="CG Times (W1)"/>
        <w:sz w:val="28"/>
      </w:rPr>
    </w:pPr>
    <w:r>
      <w:rPr>
        <w:rFonts w:ascii="CG Times (W1)" w:hAnsi="CG Times (W1)"/>
        <w:sz w:val="28"/>
      </w:rPr>
      <w:t xml:space="preserve">Enforcement Bureau </w:t>
    </w:r>
  </w:p>
  <w:p w:rsidR="002B54DB" w:rsidRPr="001C5FF8" w14:paraId="65E6F28E" w14:textId="024B51E3">
    <w:pPr>
      <w:jc w:val="center"/>
      <w:rPr>
        <w:rFonts w:ascii="CG Times (W1)" w:hAnsi="CG Times (W1)"/>
        <w:sz w:val="28"/>
      </w:rPr>
    </w:pPr>
    <w:r>
      <w:rPr>
        <w:rFonts w:ascii="CG Times (W1)" w:hAnsi="CG Times (W1)"/>
        <w:sz w:val="28"/>
      </w:rPr>
      <w:t xml:space="preserve">Region </w:t>
    </w:r>
    <w:r w:rsidR="004D3C48">
      <w:rPr>
        <w:rFonts w:ascii="CG Times (W1)" w:hAnsi="CG Times (W1)"/>
        <w:sz w:val="28"/>
      </w:rPr>
      <w:t>Two</w:t>
    </w:r>
  </w:p>
  <w:p w:rsidR="001C5FF8" w14:paraId="24BB2CAE" w14:textId="22E56242">
    <w:pPr>
      <w:jc w:val="center"/>
    </w:pPr>
  </w:p>
  <w:p w:rsidR="001C5FF8" w:rsidP="001C5FF8" w14:paraId="1C1E99E2" w14:textId="5B820CAE">
    <w:pPr>
      <w:jc w:val="center"/>
    </w:pPr>
    <w:r>
      <w:t xml:space="preserve">Region Two </w:t>
    </w:r>
    <w:r>
      <w:t>Regional Office</w:t>
    </w:r>
  </w:p>
  <w:p w:rsidR="001C5FF8" w:rsidP="001C5FF8" w14:paraId="5D02236E" w14:textId="76967ED0">
    <w:pPr>
      <w:jc w:val="center"/>
    </w:pPr>
    <w:r>
      <w:t>P.O. Box 1493</w:t>
    </w:r>
  </w:p>
  <w:p w:rsidR="004D3C48" w:rsidP="001C5FF8" w14:paraId="068BE448" w14:textId="31510275">
    <w:pPr>
      <w:jc w:val="center"/>
    </w:pPr>
    <w:r>
      <w:t>Powder Springs, GA 30127</w:t>
    </w:r>
  </w:p>
  <w:p w:rsidR="001C5FF8" w:rsidP="001C5FF8" w14:paraId="361612DF" w14:textId="620B89F6">
    <w:pPr>
      <w:jc w:val="center"/>
    </w:pPr>
    <w:r>
      <w:t>504-219-8999</w:t>
    </w:r>
  </w:p>
  <w:p w:rsidR="001C5FF8" w:rsidRPr="009014F9" w:rsidP="001C5FF8" w14:paraId="07DEBBAC" w14:textId="77777777">
    <w:pPr>
      <w:jc w:val="center"/>
    </w:pPr>
    <w:r>
      <w:t>field@fcc.gov</w:t>
    </w:r>
  </w:p>
  <w:p w:rsidR="001C5FF8" w:rsidP="001C5FF8" w14:paraId="06D273FA" w14:textId="77777777">
    <w:pPr>
      <w:pStyle w:val="Header"/>
      <w:tabs>
        <w:tab w:val="clear" w:pos="4320"/>
      </w:tabs>
      <w:jc w:val="center"/>
      <w:rPr>
        <w:sz w:val="22"/>
      </w:rPr>
    </w:pPr>
  </w:p>
  <w:p w:rsidR="002B54DB" w:rsidRPr="001C5FF8" w:rsidP="001C5FF8" w14:paraId="41E3C0BB" w14:textId="43EC0467">
    <w:pPr>
      <w:pStyle w:val="Header"/>
      <w:tabs>
        <w:tab w:val="clear" w:pos="4320"/>
      </w:tabs>
      <w:jc w:val="center"/>
      <w:rPr>
        <w:sz w:val="22"/>
      </w:rPr>
    </w:pPr>
    <w:r>
      <w:rPr>
        <w:sz w:val="24"/>
      </w:rPr>
      <w:t>September 30</w:t>
    </w:r>
    <w:r w:rsidR="004D3C48">
      <w:rPr>
        <w:sz w:val="24"/>
      </w:rPr>
      <w:t>, 2022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Janet Moran">
    <w15:presenceInfo w15:providerId="AD" w15:userId="S::Janet.Moran@fcc.gov::b539a025-29c9-482f-8f23-2a518fff2d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F8"/>
    <w:rsid w:val="00047319"/>
    <w:rsid w:val="000A691D"/>
    <w:rsid w:val="000B32EC"/>
    <w:rsid w:val="000C716F"/>
    <w:rsid w:val="00142538"/>
    <w:rsid w:val="001546BA"/>
    <w:rsid w:val="001711FC"/>
    <w:rsid w:val="00176BE9"/>
    <w:rsid w:val="00181827"/>
    <w:rsid w:val="001C5FF8"/>
    <w:rsid w:val="00204CE3"/>
    <w:rsid w:val="0021261C"/>
    <w:rsid w:val="00271909"/>
    <w:rsid w:val="00295AAE"/>
    <w:rsid w:val="002B54DB"/>
    <w:rsid w:val="00306EEA"/>
    <w:rsid w:val="003123E4"/>
    <w:rsid w:val="003607D7"/>
    <w:rsid w:val="003B16FA"/>
    <w:rsid w:val="003B46AE"/>
    <w:rsid w:val="003C7557"/>
    <w:rsid w:val="00414A9B"/>
    <w:rsid w:val="0048126A"/>
    <w:rsid w:val="004D3B53"/>
    <w:rsid w:val="004D3C48"/>
    <w:rsid w:val="004F0AFF"/>
    <w:rsid w:val="0054101A"/>
    <w:rsid w:val="00573209"/>
    <w:rsid w:val="005A13A8"/>
    <w:rsid w:val="00671FE8"/>
    <w:rsid w:val="00687743"/>
    <w:rsid w:val="006A2B67"/>
    <w:rsid w:val="0071682E"/>
    <w:rsid w:val="007C71B7"/>
    <w:rsid w:val="007D68C6"/>
    <w:rsid w:val="00802712"/>
    <w:rsid w:val="0080425D"/>
    <w:rsid w:val="008663D3"/>
    <w:rsid w:val="008A169C"/>
    <w:rsid w:val="008B034E"/>
    <w:rsid w:val="008B3A02"/>
    <w:rsid w:val="008C206B"/>
    <w:rsid w:val="008C3CA9"/>
    <w:rsid w:val="008D06F8"/>
    <w:rsid w:val="009014F9"/>
    <w:rsid w:val="009F2EEF"/>
    <w:rsid w:val="00A9032E"/>
    <w:rsid w:val="00B14DB7"/>
    <w:rsid w:val="00B341C7"/>
    <w:rsid w:val="00B85E78"/>
    <w:rsid w:val="00BB74C1"/>
    <w:rsid w:val="00C24883"/>
    <w:rsid w:val="00C40B27"/>
    <w:rsid w:val="00D05D13"/>
    <w:rsid w:val="00D40DF3"/>
    <w:rsid w:val="00DA2EEC"/>
    <w:rsid w:val="00DB44F5"/>
    <w:rsid w:val="00DC36DA"/>
    <w:rsid w:val="00DD12CE"/>
    <w:rsid w:val="00DD304C"/>
    <w:rsid w:val="00F16130"/>
    <w:rsid w:val="00F33831"/>
    <w:rsid w:val="00F506D1"/>
    <w:rsid w:val="00F950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B01679"/>
  <w15:chartTrackingRefBased/>
  <w15:docId w15:val="{3DE90284-6C71-43C9-9ED4-E8BDFA53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1C5FF8"/>
  </w:style>
  <w:style w:type="character" w:customStyle="1" w:styleId="FootnoteTextChar">
    <w:name w:val="Footnote Text Char"/>
    <w:basedOn w:val="DefaultParagraphFont"/>
    <w:link w:val="FootnoteText"/>
    <w:uiPriority w:val="99"/>
    <w:semiHidden/>
    <w:rsid w:val="001C5FF8"/>
  </w:style>
  <w:style w:type="character" w:styleId="FootnoteReference">
    <w:name w:val="footnote reference"/>
    <w:uiPriority w:val="99"/>
    <w:semiHidden/>
    <w:unhideWhenUsed/>
    <w:rsid w:val="001C5FF8"/>
    <w:rPr>
      <w:vertAlign w:val="superscript"/>
    </w:rPr>
  </w:style>
  <w:style w:type="paragraph" w:styleId="BalloonText">
    <w:name w:val="Balloon Text"/>
    <w:basedOn w:val="Normal"/>
    <w:link w:val="BalloonTextChar"/>
    <w:uiPriority w:val="99"/>
    <w:semiHidden/>
    <w:unhideWhenUsed/>
    <w:rsid w:val="00F33831"/>
    <w:rPr>
      <w:rFonts w:ascii="Segoe UI" w:hAnsi="Segoe UI" w:cs="Segoe UI"/>
      <w:sz w:val="18"/>
      <w:szCs w:val="18"/>
    </w:rPr>
  </w:style>
  <w:style w:type="character" w:customStyle="1" w:styleId="BalloonTextChar">
    <w:name w:val="Balloon Text Char"/>
    <w:link w:val="BalloonText"/>
    <w:uiPriority w:val="99"/>
    <w:semiHidden/>
    <w:rsid w:val="00F33831"/>
    <w:rPr>
      <w:rFonts w:ascii="Segoe UI" w:hAnsi="Segoe UI" w:cs="Segoe UI"/>
      <w:sz w:val="18"/>
      <w:szCs w:val="18"/>
    </w:rPr>
  </w:style>
  <w:style w:type="character" w:styleId="CommentReference">
    <w:name w:val="annotation reference"/>
    <w:basedOn w:val="DefaultParagraphFont"/>
    <w:uiPriority w:val="99"/>
    <w:semiHidden/>
    <w:unhideWhenUsed/>
    <w:rsid w:val="003B46AE"/>
    <w:rPr>
      <w:sz w:val="16"/>
      <w:szCs w:val="16"/>
    </w:rPr>
  </w:style>
  <w:style w:type="paragraph" w:styleId="CommentText">
    <w:name w:val="annotation text"/>
    <w:basedOn w:val="Normal"/>
    <w:link w:val="CommentTextChar"/>
    <w:uiPriority w:val="99"/>
    <w:semiHidden/>
    <w:unhideWhenUsed/>
    <w:rsid w:val="003B46AE"/>
  </w:style>
  <w:style w:type="character" w:customStyle="1" w:styleId="CommentTextChar">
    <w:name w:val="Comment Text Char"/>
    <w:basedOn w:val="DefaultParagraphFont"/>
    <w:link w:val="CommentText"/>
    <w:uiPriority w:val="99"/>
    <w:semiHidden/>
    <w:rsid w:val="003B46AE"/>
  </w:style>
  <w:style w:type="paragraph" w:styleId="CommentSubject">
    <w:name w:val="annotation subject"/>
    <w:basedOn w:val="CommentText"/>
    <w:next w:val="CommentText"/>
    <w:link w:val="CommentSubjectChar"/>
    <w:uiPriority w:val="99"/>
    <w:semiHidden/>
    <w:unhideWhenUsed/>
    <w:rsid w:val="003B46AE"/>
    <w:rPr>
      <w:b/>
      <w:bCs/>
    </w:rPr>
  </w:style>
  <w:style w:type="character" w:customStyle="1" w:styleId="CommentSubjectChar">
    <w:name w:val="Comment Subject Char"/>
    <w:basedOn w:val="CommentTextChar"/>
    <w:link w:val="CommentSubject"/>
    <w:uiPriority w:val="99"/>
    <w:semiHidden/>
    <w:rsid w:val="003B46AE"/>
    <w:rPr>
      <w:b/>
      <w:bCs/>
    </w:rPr>
  </w:style>
  <w:style w:type="paragraph" w:styleId="Revision">
    <w:name w:val="Revision"/>
    <w:hidden/>
    <w:uiPriority w:val="99"/>
    <w:semiHidden/>
    <w:rsid w:val="00142538"/>
  </w:style>
  <w:style w:type="character" w:styleId="Hyperlink">
    <w:name w:val="Hyperlink"/>
    <w:basedOn w:val="DefaultParagraphFont"/>
    <w:uiPriority w:val="99"/>
    <w:semiHidden/>
    <w:unhideWhenUsed/>
    <w:rsid w:val="00F95024"/>
    <w:rPr>
      <w:color w:val="0000FF"/>
      <w:u w:val="single"/>
    </w:rPr>
  </w:style>
  <w:style w:type="character" w:customStyle="1" w:styleId="normaltextrun">
    <w:name w:val="normaltextrun"/>
    <w:basedOn w:val="DefaultParagraphFont"/>
    <w:rsid w:val="00414A9B"/>
  </w:style>
  <w:style w:type="character" w:customStyle="1" w:styleId="superscript">
    <w:name w:val="superscript"/>
    <w:basedOn w:val="DefaultParagraphFont"/>
    <w:rsid w:val="0041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 Id="rId8" Type="http://schemas.microsoft.com/office/2011/relationships/people" Target="people.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