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2.0 -->
  <w:body>
    <w:p w:rsidR="00EB6102" w:rsidRPr="00C817DC" w14:paraId="5A9D1E9C" w14:textId="77777777">
      <w:pPr>
        <w:rPr>
          <w:sz w:val="22"/>
          <w:szCs w:val="22"/>
        </w:rPr>
      </w:pPr>
    </w:p>
    <w:p w:rsidR="007A2D75" w:rsidRPr="00C817DC" w14:paraId="4AE83EBB" w14:textId="2E519DB0">
      <w:pPr>
        <w:rPr>
          <w:sz w:val="22"/>
          <w:szCs w:val="22"/>
        </w:rPr>
      </w:pPr>
      <w:r w:rsidRPr="00C817DC">
        <w:rPr>
          <w:sz w:val="22"/>
          <w:szCs w:val="22"/>
        </w:rPr>
        <w:t>Mark J. Palchick</w:t>
      </w:r>
    </w:p>
    <w:p w:rsidR="00F71388" w:rsidRPr="00C817DC" w14:paraId="600DD763" w14:textId="26DAAE65">
      <w:pPr>
        <w:rPr>
          <w:sz w:val="22"/>
          <w:szCs w:val="22"/>
        </w:rPr>
      </w:pPr>
      <w:r w:rsidRPr="00C817DC">
        <w:rPr>
          <w:sz w:val="22"/>
          <w:szCs w:val="22"/>
        </w:rPr>
        <w:t>Rebecca Jacobs Goldman</w:t>
      </w:r>
    </w:p>
    <w:p w:rsidR="00F71388" w:rsidRPr="00C817DC" w14:paraId="3CB15648" w14:textId="4C128627">
      <w:pPr>
        <w:rPr>
          <w:sz w:val="22"/>
          <w:szCs w:val="22"/>
        </w:rPr>
      </w:pPr>
      <w:r w:rsidRPr="00C817DC">
        <w:rPr>
          <w:sz w:val="22"/>
          <w:szCs w:val="22"/>
        </w:rPr>
        <w:t>Counsel to Massillon Cable TV, Inc.</w:t>
      </w:r>
    </w:p>
    <w:p w:rsidR="006B7CE4" w:rsidRPr="00C817DC" w14:paraId="09444F63" w14:textId="011DCE0D">
      <w:pPr>
        <w:rPr>
          <w:sz w:val="22"/>
          <w:szCs w:val="22"/>
        </w:rPr>
      </w:pPr>
      <w:r w:rsidRPr="00C817DC">
        <w:rPr>
          <w:sz w:val="22"/>
          <w:szCs w:val="22"/>
        </w:rPr>
        <w:t>2001 L Street, NW  Suite 400</w:t>
      </w:r>
    </w:p>
    <w:p w:rsidR="00E52A71" w:rsidRPr="00C817DC" w14:paraId="695AF3E5" w14:textId="6FE2EB62">
      <w:pPr>
        <w:rPr>
          <w:sz w:val="22"/>
          <w:szCs w:val="22"/>
        </w:rPr>
      </w:pPr>
      <w:r w:rsidRPr="00C817DC">
        <w:rPr>
          <w:sz w:val="22"/>
          <w:szCs w:val="22"/>
        </w:rPr>
        <w:t>Washington, DC  20036</w:t>
      </w:r>
    </w:p>
    <w:p w:rsidR="006B7CE4" w:rsidRPr="00C817DC" w14:paraId="37A08A69" w14:textId="77777777">
      <w:pPr>
        <w:rPr>
          <w:sz w:val="22"/>
          <w:szCs w:val="22"/>
        </w:rPr>
      </w:pPr>
    </w:p>
    <w:p w:rsidR="007A2D75" w:rsidRPr="00C817DC" w:rsidP="00A449BC" w14:paraId="6ED5F57F" w14:textId="52232B60">
      <w:pPr>
        <w:ind w:left="720" w:hanging="720"/>
        <w:rPr>
          <w:sz w:val="22"/>
          <w:szCs w:val="22"/>
        </w:rPr>
      </w:pPr>
      <w:r w:rsidRPr="00C817DC">
        <w:rPr>
          <w:sz w:val="22"/>
          <w:szCs w:val="22"/>
        </w:rPr>
        <w:t>RE:</w:t>
      </w:r>
      <w:r w:rsidRPr="00C817DC">
        <w:rPr>
          <w:sz w:val="22"/>
          <w:szCs w:val="22"/>
        </w:rPr>
        <w:tab/>
        <w:t xml:space="preserve">Request for </w:t>
      </w:r>
      <w:r w:rsidRPr="00C817DC" w:rsidR="00EB6102">
        <w:rPr>
          <w:sz w:val="22"/>
          <w:szCs w:val="22"/>
        </w:rPr>
        <w:t>C</w:t>
      </w:r>
      <w:r w:rsidRPr="00C817DC">
        <w:rPr>
          <w:sz w:val="22"/>
          <w:szCs w:val="22"/>
        </w:rPr>
        <w:t xml:space="preserve">onfidential </w:t>
      </w:r>
      <w:r w:rsidRPr="00C817DC" w:rsidR="00EB6102">
        <w:rPr>
          <w:sz w:val="22"/>
          <w:szCs w:val="22"/>
        </w:rPr>
        <w:t>T</w:t>
      </w:r>
      <w:r w:rsidRPr="00C817DC">
        <w:rPr>
          <w:sz w:val="22"/>
          <w:szCs w:val="22"/>
        </w:rPr>
        <w:t xml:space="preserve">reatment of </w:t>
      </w:r>
      <w:r w:rsidRPr="00C817DC" w:rsidR="00EB6102">
        <w:rPr>
          <w:sz w:val="22"/>
          <w:szCs w:val="22"/>
        </w:rPr>
        <w:t>C</w:t>
      </w:r>
      <w:r w:rsidRPr="00C817DC">
        <w:rPr>
          <w:sz w:val="22"/>
          <w:szCs w:val="22"/>
        </w:rPr>
        <w:t xml:space="preserve">ertain </w:t>
      </w:r>
      <w:r w:rsidRPr="00C817DC" w:rsidR="00EB6102">
        <w:rPr>
          <w:sz w:val="22"/>
          <w:szCs w:val="22"/>
        </w:rPr>
        <w:t>D</w:t>
      </w:r>
      <w:r w:rsidRPr="00C817DC">
        <w:rPr>
          <w:sz w:val="22"/>
          <w:szCs w:val="22"/>
        </w:rPr>
        <w:t xml:space="preserve">ata </w:t>
      </w:r>
      <w:r w:rsidRPr="00C817DC" w:rsidR="00EB6102">
        <w:rPr>
          <w:sz w:val="22"/>
          <w:szCs w:val="22"/>
        </w:rPr>
        <w:t>I</w:t>
      </w:r>
      <w:r w:rsidRPr="00C817DC">
        <w:rPr>
          <w:sz w:val="22"/>
          <w:szCs w:val="22"/>
        </w:rPr>
        <w:t xml:space="preserve">ncluded in Broadband Data Collection </w:t>
      </w:r>
      <w:r w:rsidRPr="00C817DC" w:rsidR="00EB6102">
        <w:rPr>
          <w:sz w:val="22"/>
          <w:szCs w:val="22"/>
        </w:rPr>
        <w:t>F</w:t>
      </w:r>
      <w:r w:rsidRPr="00C817DC">
        <w:rPr>
          <w:sz w:val="22"/>
          <w:szCs w:val="22"/>
        </w:rPr>
        <w:t>iling</w:t>
      </w:r>
    </w:p>
    <w:p w:rsidR="007A2D75" w:rsidRPr="00C817DC" w:rsidP="007A2D75" w14:paraId="57073C54" w14:textId="4BA23BAE">
      <w:pPr>
        <w:rPr>
          <w:sz w:val="22"/>
          <w:szCs w:val="22"/>
        </w:rPr>
      </w:pPr>
    </w:p>
    <w:p w:rsidR="007A2D75" w:rsidRPr="00C817DC" w:rsidP="007A2D75" w14:paraId="29D861E5" w14:textId="68688887">
      <w:pPr>
        <w:rPr>
          <w:sz w:val="22"/>
          <w:szCs w:val="22"/>
        </w:rPr>
      </w:pPr>
      <w:r w:rsidRPr="00C817DC">
        <w:rPr>
          <w:sz w:val="22"/>
          <w:szCs w:val="22"/>
        </w:rPr>
        <w:t xml:space="preserve">Mr. Palchick and </w:t>
      </w:r>
      <w:r w:rsidRPr="00C817DC">
        <w:rPr>
          <w:sz w:val="22"/>
          <w:szCs w:val="22"/>
        </w:rPr>
        <w:t>M</w:t>
      </w:r>
      <w:r w:rsidRPr="00C817DC" w:rsidR="006C2ADF">
        <w:rPr>
          <w:sz w:val="22"/>
          <w:szCs w:val="22"/>
        </w:rPr>
        <w:t>s</w:t>
      </w:r>
      <w:r w:rsidRPr="00C817DC">
        <w:rPr>
          <w:sz w:val="22"/>
          <w:szCs w:val="22"/>
        </w:rPr>
        <w:t xml:space="preserve">. </w:t>
      </w:r>
      <w:r w:rsidRPr="00C817DC">
        <w:rPr>
          <w:sz w:val="22"/>
          <w:szCs w:val="22"/>
        </w:rPr>
        <w:t>Goldman</w:t>
      </w:r>
      <w:r w:rsidRPr="00C817DC">
        <w:rPr>
          <w:sz w:val="22"/>
          <w:szCs w:val="22"/>
        </w:rPr>
        <w:t>:</w:t>
      </w:r>
    </w:p>
    <w:p w:rsidR="007A2D75" w:rsidRPr="00C817DC" w:rsidP="007A2D75" w14:paraId="0539BB6B" w14:textId="12D7B7CA">
      <w:pPr>
        <w:rPr>
          <w:sz w:val="22"/>
          <w:szCs w:val="22"/>
        </w:rPr>
      </w:pPr>
    </w:p>
    <w:p w:rsidR="007A2D75" w:rsidRPr="00C817DC" w:rsidP="007A2D75" w14:paraId="3F05EC18" w14:textId="67B41B6D">
      <w:pPr>
        <w:rPr>
          <w:sz w:val="22"/>
          <w:szCs w:val="22"/>
        </w:rPr>
      </w:pPr>
      <w:r w:rsidRPr="00C817DC">
        <w:rPr>
          <w:sz w:val="22"/>
          <w:szCs w:val="22"/>
        </w:rPr>
        <w:t>Thank</w:t>
      </w:r>
      <w:r w:rsidRPr="00C817DC" w:rsidR="00C817DC">
        <w:rPr>
          <w:sz w:val="22"/>
          <w:szCs w:val="22"/>
        </w:rPr>
        <w:t xml:space="preserve">s to Massillon Cable TV, Inc. </w:t>
      </w:r>
      <w:r w:rsidRPr="00C817DC">
        <w:rPr>
          <w:sz w:val="22"/>
          <w:szCs w:val="22"/>
        </w:rPr>
        <w:t xml:space="preserve">for certifying and submitting </w:t>
      </w:r>
      <w:r w:rsidRPr="00C817DC" w:rsidR="00C817DC">
        <w:rPr>
          <w:sz w:val="22"/>
          <w:szCs w:val="22"/>
        </w:rPr>
        <w:t xml:space="preserve">its </w:t>
      </w:r>
      <w:r w:rsidRPr="00C817DC" w:rsidR="00A449BC">
        <w:rPr>
          <w:sz w:val="22"/>
          <w:szCs w:val="22"/>
        </w:rPr>
        <w:t xml:space="preserve">fixed </w:t>
      </w:r>
      <w:r w:rsidRPr="00C817DC">
        <w:rPr>
          <w:sz w:val="22"/>
          <w:szCs w:val="22"/>
        </w:rPr>
        <w:t>broadband availability data into the C</w:t>
      </w:r>
      <w:r w:rsidRPr="00C817DC" w:rsidR="00EB6102">
        <w:rPr>
          <w:sz w:val="22"/>
          <w:szCs w:val="22"/>
        </w:rPr>
        <w:t>ommission</w:t>
      </w:r>
      <w:r w:rsidRPr="00C817DC">
        <w:rPr>
          <w:sz w:val="22"/>
          <w:szCs w:val="22"/>
        </w:rPr>
        <w:t>’s Broadband Data Collection (BDC)</w:t>
      </w:r>
      <w:r w:rsidRPr="00C817DC" w:rsidR="00A419A3">
        <w:rPr>
          <w:sz w:val="22"/>
          <w:szCs w:val="22"/>
        </w:rPr>
        <w:t>.</w:t>
      </w:r>
      <w:r w:rsidRPr="00C817DC">
        <w:rPr>
          <w:sz w:val="22"/>
          <w:szCs w:val="22"/>
        </w:rPr>
        <w:t xml:space="preserve">  </w:t>
      </w:r>
      <w:r w:rsidRPr="00C817DC" w:rsidR="009B2F8B">
        <w:rPr>
          <w:sz w:val="22"/>
          <w:szCs w:val="22"/>
        </w:rPr>
        <w:t xml:space="preserve">We </w:t>
      </w:r>
      <w:r w:rsidRPr="00C817DC" w:rsidR="00886A27">
        <w:rPr>
          <w:sz w:val="22"/>
          <w:szCs w:val="22"/>
        </w:rPr>
        <w:t xml:space="preserve">also have received </w:t>
      </w:r>
      <w:r w:rsidRPr="00C817DC" w:rsidR="00C817DC">
        <w:rPr>
          <w:sz w:val="22"/>
          <w:szCs w:val="22"/>
        </w:rPr>
        <w:t>Massillon</w:t>
      </w:r>
      <w:r w:rsidRPr="00C817DC" w:rsidR="003C7FBC">
        <w:rPr>
          <w:sz w:val="22"/>
          <w:szCs w:val="22"/>
        </w:rPr>
        <w:t xml:space="preserve">’s </w:t>
      </w:r>
      <w:r w:rsidRPr="00C817DC" w:rsidR="00314A62">
        <w:rPr>
          <w:sz w:val="22"/>
          <w:szCs w:val="22"/>
        </w:rPr>
        <w:t>R</w:t>
      </w:r>
      <w:r w:rsidRPr="00C817DC">
        <w:rPr>
          <w:sz w:val="22"/>
          <w:szCs w:val="22"/>
        </w:rPr>
        <w:t xml:space="preserve">equest for confidential treatment of </w:t>
      </w:r>
      <w:r w:rsidRPr="00C817DC" w:rsidR="00C817DC">
        <w:rPr>
          <w:sz w:val="22"/>
          <w:szCs w:val="22"/>
        </w:rPr>
        <w:t xml:space="preserve">the subscriber personal information and broadband availability supporting data </w:t>
      </w:r>
      <w:r w:rsidRPr="00C817DC">
        <w:rPr>
          <w:sz w:val="22"/>
          <w:szCs w:val="22"/>
        </w:rPr>
        <w:t xml:space="preserve">submitted as part of </w:t>
      </w:r>
      <w:r w:rsidRPr="00C817DC" w:rsidR="00C817DC">
        <w:rPr>
          <w:sz w:val="22"/>
          <w:szCs w:val="22"/>
        </w:rPr>
        <w:t>Massillon</w:t>
      </w:r>
      <w:r w:rsidRPr="00C817DC" w:rsidR="00D63B87">
        <w:rPr>
          <w:sz w:val="22"/>
          <w:szCs w:val="22"/>
        </w:rPr>
        <w:t xml:space="preserve">’s </w:t>
      </w:r>
      <w:r w:rsidRPr="00C817DC">
        <w:rPr>
          <w:sz w:val="22"/>
          <w:szCs w:val="22"/>
        </w:rPr>
        <w:t>filing.</w:t>
      </w:r>
      <w:r>
        <w:rPr>
          <w:rStyle w:val="FootnoteReference"/>
          <w:sz w:val="22"/>
          <w:szCs w:val="22"/>
        </w:rPr>
        <w:footnoteReference w:id="3"/>
      </w:r>
      <w:r w:rsidRPr="00C817DC" w:rsidR="004E3154">
        <w:rPr>
          <w:sz w:val="22"/>
          <w:szCs w:val="22"/>
        </w:rPr>
        <w:t xml:space="preserve">  For the reasons </w:t>
      </w:r>
      <w:r w:rsidRPr="00C817DC" w:rsidR="009D21F8">
        <w:rPr>
          <w:sz w:val="22"/>
          <w:szCs w:val="22"/>
        </w:rPr>
        <w:t xml:space="preserve">described below, </w:t>
      </w:r>
      <w:r w:rsidRPr="00C817DC" w:rsidR="00C817DC">
        <w:rPr>
          <w:sz w:val="22"/>
          <w:szCs w:val="22"/>
        </w:rPr>
        <w:t>Massillon</w:t>
      </w:r>
      <w:r w:rsidRPr="00C817DC" w:rsidR="009D21F8">
        <w:rPr>
          <w:sz w:val="22"/>
          <w:szCs w:val="22"/>
        </w:rPr>
        <w:t xml:space="preserve">’s </w:t>
      </w:r>
      <w:r w:rsidRPr="00C817DC" w:rsidR="00314A62">
        <w:rPr>
          <w:sz w:val="22"/>
          <w:szCs w:val="22"/>
        </w:rPr>
        <w:t>R</w:t>
      </w:r>
      <w:r w:rsidRPr="00C817DC" w:rsidR="009D21F8">
        <w:rPr>
          <w:sz w:val="22"/>
          <w:szCs w:val="22"/>
        </w:rPr>
        <w:t>equest</w:t>
      </w:r>
      <w:r w:rsidRPr="00C817DC" w:rsidR="00D659FA">
        <w:rPr>
          <w:sz w:val="22"/>
          <w:szCs w:val="22"/>
        </w:rPr>
        <w:t xml:space="preserve"> </w:t>
      </w:r>
      <w:r w:rsidRPr="00C817DC" w:rsidR="00C817DC">
        <w:rPr>
          <w:sz w:val="22"/>
          <w:szCs w:val="22"/>
        </w:rPr>
        <w:t>is</w:t>
      </w:r>
      <w:r w:rsidRPr="00C817DC" w:rsidR="00D659FA">
        <w:rPr>
          <w:sz w:val="22"/>
          <w:szCs w:val="22"/>
        </w:rPr>
        <w:t xml:space="preserve"> denied</w:t>
      </w:r>
      <w:r w:rsidRPr="00C817DC" w:rsidR="00F71388">
        <w:rPr>
          <w:sz w:val="22"/>
          <w:szCs w:val="22"/>
        </w:rPr>
        <w:t xml:space="preserve"> with respect to its </w:t>
      </w:r>
      <w:r w:rsidRPr="00C817DC" w:rsidR="00C817DC">
        <w:rPr>
          <w:sz w:val="22"/>
          <w:szCs w:val="22"/>
        </w:rPr>
        <w:t>broadband availability supportin</w:t>
      </w:r>
      <w:r w:rsidRPr="00C817DC" w:rsidR="00F71388">
        <w:rPr>
          <w:sz w:val="22"/>
          <w:szCs w:val="22"/>
        </w:rPr>
        <w:t>g data.</w:t>
      </w:r>
    </w:p>
    <w:p w:rsidR="009479B4" w:rsidRPr="00C817DC" w:rsidP="007A2D75" w14:paraId="70F7868E" w14:textId="77777777">
      <w:pPr>
        <w:rPr>
          <w:sz w:val="22"/>
          <w:szCs w:val="22"/>
        </w:rPr>
      </w:pPr>
    </w:p>
    <w:p w:rsidR="006B7CE4" w:rsidRPr="00C817DC" w:rsidP="006B7CE4" w14:paraId="1D534FE7" w14:textId="77777777">
      <w:pPr>
        <w:rPr>
          <w:sz w:val="22"/>
          <w:szCs w:val="22"/>
        </w:rPr>
      </w:pPr>
      <w:r w:rsidRPr="00C817DC">
        <w:rPr>
          <w:sz w:val="22"/>
          <w:szCs w:val="22"/>
        </w:rPr>
        <w:t>As an initial matter, pursuant to section 1.7005(b) of our rules, providers may request that provider-specific subscription information be treated as confidential and withheld from public inspection.</w:t>
      </w:r>
      <w:r>
        <w:rPr>
          <w:rStyle w:val="FootnoteReference"/>
          <w:sz w:val="22"/>
          <w:szCs w:val="22"/>
        </w:rPr>
        <w:footnoteReference w:id="4"/>
      </w:r>
      <w:r w:rsidRPr="00C817DC">
        <w:rPr>
          <w:sz w:val="22"/>
          <w:szCs w:val="22"/>
        </w:rPr>
        <w:t>  We have determined that public access to provider-specific subscription data submitted as part of the BDC is not necessary for the public to fully participate in a robust challenge process and that we will withhold it from public inspection regardless of whether an individual provider has requested such treatment.</w:t>
      </w:r>
    </w:p>
    <w:p w:rsidR="006B7CE4" w:rsidRPr="00C817DC" w:rsidP="00334EF7" w14:paraId="0959202E" w14:textId="77777777">
      <w:pPr>
        <w:rPr>
          <w:sz w:val="22"/>
          <w:szCs w:val="22"/>
        </w:rPr>
      </w:pPr>
    </w:p>
    <w:p w:rsidR="00374A0C" w:rsidRPr="00C817DC" w:rsidP="00942B36" w14:paraId="3CC9BD01" w14:textId="078D59CD">
      <w:pPr>
        <w:rPr>
          <w:sz w:val="22"/>
          <w:szCs w:val="22"/>
        </w:rPr>
      </w:pPr>
      <w:r w:rsidRPr="00C817DC">
        <w:rPr>
          <w:sz w:val="22"/>
          <w:szCs w:val="22"/>
        </w:rPr>
        <w:t xml:space="preserve">With regard to its broadband </w:t>
      </w:r>
      <w:r w:rsidRPr="00C817DC" w:rsidR="00C817DC">
        <w:rPr>
          <w:sz w:val="22"/>
          <w:szCs w:val="22"/>
        </w:rPr>
        <w:t xml:space="preserve">availability </w:t>
      </w:r>
      <w:r w:rsidRPr="00C817DC">
        <w:rPr>
          <w:sz w:val="22"/>
          <w:szCs w:val="22"/>
        </w:rPr>
        <w:t xml:space="preserve">supporting data, </w:t>
      </w:r>
      <w:r w:rsidRPr="00C817DC" w:rsidR="00C817DC">
        <w:rPr>
          <w:sz w:val="22"/>
          <w:szCs w:val="22"/>
        </w:rPr>
        <w:t>Massillon</w:t>
      </w:r>
      <w:r w:rsidRPr="00C817DC">
        <w:rPr>
          <w:sz w:val="22"/>
          <w:szCs w:val="22"/>
        </w:rPr>
        <w:t xml:space="preserve"> states that such data is </w:t>
      </w:r>
      <w:r w:rsidRPr="00C817DC" w:rsidR="00C817DC">
        <w:rPr>
          <w:sz w:val="22"/>
          <w:szCs w:val="22"/>
        </w:rPr>
        <w:t>competitively sensitiv</w:t>
      </w:r>
      <w:r w:rsidRPr="00C817DC">
        <w:rPr>
          <w:sz w:val="22"/>
          <w:szCs w:val="22"/>
        </w:rPr>
        <w:t xml:space="preserve">e </w:t>
      </w:r>
      <w:r w:rsidRPr="00C817DC" w:rsidR="00C817DC">
        <w:rPr>
          <w:sz w:val="22"/>
          <w:szCs w:val="22"/>
        </w:rPr>
        <w:t>and could be used by competitors “to a</w:t>
      </w:r>
      <w:r w:rsidRPr="00C817DC" w:rsidR="00C817DC">
        <w:rPr>
          <w:rStyle w:val="markedcontent"/>
          <w:sz w:val="22"/>
          <w:szCs w:val="22"/>
        </w:rPr>
        <w:t>ssess aspects of its</w:t>
      </w:r>
      <w:r w:rsidR="00C817DC">
        <w:rPr>
          <w:rStyle w:val="markedcontent"/>
          <w:sz w:val="22"/>
          <w:szCs w:val="22"/>
        </w:rPr>
        <w:t xml:space="preserve"> </w:t>
      </w:r>
      <w:r w:rsidRPr="00C817DC" w:rsidR="00C817DC">
        <w:rPr>
          <w:rStyle w:val="markedcontent"/>
          <w:sz w:val="22"/>
          <w:szCs w:val="22"/>
        </w:rPr>
        <w:t>network to undermine its deployment objectives and competitive position, potentially damaging its</w:t>
      </w:r>
      <w:r w:rsidR="00C817DC">
        <w:rPr>
          <w:rStyle w:val="markedcontent"/>
          <w:sz w:val="22"/>
          <w:szCs w:val="22"/>
        </w:rPr>
        <w:t xml:space="preserve"> </w:t>
      </w:r>
      <w:r w:rsidRPr="00C817DC" w:rsidR="00C817DC">
        <w:rPr>
          <w:rStyle w:val="markedcontent"/>
          <w:sz w:val="22"/>
          <w:szCs w:val="22"/>
        </w:rPr>
        <w:t>business</w:t>
      </w:r>
      <w:r w:rsidRPr="00C817DC">
        <w:rPr>
          <w:sz w:val="22"/>
          <w:szCs w:val="22"/>
        </w:rPr>
        <w:t>.</w:t>
      </w:r>
      <w:r w:rsidR="00C817DC">
        <w:rPr>
          <w:sz w:val="22"/>
          <w:szCs w:val="22"/>
        </w:rPr>
        <w:t>”</w:t>
      </w:r>
      <w:r>
        <w:rPr>
          <w:rStyle w:val="FootnoteReference"/>
          <w:sz w:val="22"/>
          <w:szCs w:val="22"/>
        </w:rPr>
        <w:footnoteReference w:id="5"/>
      </w:r>
      <w:r w:rsidRPr="00C817DC">
        <w:rPr>
          <w:sz w:val="22"/>
          <w:szCs w:val="22"/>
        </w:rPr>
        <w:t xml:space="preserve">  </w:t>
      </w:r>
      <w:r w:rsidRPr="00C817DC" w:rsidR="00A673C3">
        <w:rPr>
          <w:sz w:val="22"/>
          <w:szCs w:val="22"/>
        </w:rPr>
        <w:t xml:space="preserve">However, we find that </w:t>
      </w:r>
      <w:r w:rsidRPr="00C817DC" w:rsidR="00C817DC">
        <w:rPr>
          <w:sz w:val="22"/>
          <w:szCs w:val="22"/>
        </w:rPr>
        <w:t>Massillon</w:t>
      </w:r>
      <w:r w:rsidRPr="00C817DC" w:rsidR="00A673C3">
        <w:rPr>
          <w:sz w:val="22"/>
          <w:szCs w:val="22"/>
        </w:rPr>
        <w:t>’s argument</w:t>
      </w:r>
      <w:r w:rsidRPr="00C817DC" w:rsidR="00F71388">
        <w:rPr>
          <w:sz w:val="22"/>
          <w:szCs w:val="22"/>
        </w:rPr>
        <w:t>s</w:t>
      </w:r>
      <w:r w:rsidRPr="00C817DC" w:rsidR="00A673C3">
        <w:rPr>
          <w:sz w:val="22"/>
          <w:szCs w:val="22"/>
        </w:rPr>
        <w:t xml:space="preserve"> in support of confidentiality do not overcome the presumption that this data should be public.  T</w:t>
      </w:r>
      <w:r w:rsidRPr="00C817DC" w:rsidR="00FF1408">
        <w:rPr>
          <w:sz w:val="22"/>
          <w:szCs w:val="22"/>
        </w:rPr>
        <w:t xml:space="preserve">he Commission </w:t>
      </w:r>
      <w:r w:rsidRPr="00C817DC" w:rsidR="0007038F">
        <w:rPr>
          <w:sz w:val="22"/>
          <w:szCs w:val="22"/>
        </w:rPr>
        <w:t xml:space="preserve">has </w:t>
      </w:r>
      <w:r w:rsidRPr="00C817DC" w:rsidR="00DF3D02">
        <w:rPr>
          <w:sz w:val="22"/>
          <w:szCs w:val="22"/>
        </w:rPr>
        <w:t>determin</w:t>
      </w:r>
      <w:r w:rsidRPr="00C817DC" w:rsidR="00903671">
        <w:rPr>
          <w:sz w:val="22"/>
          <w:szCs w:val="22"/>
        </w:rPr>
        <w:t xml:space="preserve">ed that </w:t>
      </w:r>
      <w:r w:rsidRPr="00C817DC" w:rsidR="00F035AC">
        <w:rPr>
          <w:sz w:val="22"/>
          <w:szCs w:val="22"/>
        </w:rPr>
        <w:t>“[a]ll fixed providers must disclose the details of how they generated their coverage polygons or lists of addresses or locations when they submit them”</w:t>
      </w:r>
      <w:r w:rsidRPr="00C817DC" w:rsidR="0011441C">
        <w:rPr>
          <w:sz w:val="22"/>
          <w:szCs w:val="22"/>
        </w:rPr>
        <w:t xml:space="preserve"> and that </w:t>
      </w:r>
      <w:r w:rsidRPr="00C817DC" w:rsidR="00FA3745">
        <w:rPr>
          <w:sz w:val="22"/>
          <w:szCs w:val="22"/>
        </w:rPr>
        <w:t>this information will be publicly available</w:t>
      </w:r>
      <w:r w:rsidRPr="00C817DC" w:rsidR="00230847">
        <w:rPr>
          <w:sz w:val="22"/>
          <w:szCs w:val="22"/>
        </w:rPr>
        <w:t>, subject to individual requests for confidential treatment of this information</w:t>
      </w:r>
      <w:r w:rsidRPr="00C817DC" w:rsidR="00206EA8">
        <w:rPr>
          <w:sz w:val="22"/>
          <w:szCs w:val="22"/>
        </w:rPr>
        <w:t>.</w:t>
      </w:r>
      <w:r>
        <w:rPr>
          <w:rStyle w:val="FootnoteReference"/>
          <w:sz w:val="22"/>
          <w:szCs w:val="22"/>
        </w:rPr>
        <w:footnoteReference w:id="6"/>
      </w:r>
      <w:r w:rsidRPr="00C817DC" w:rsidR="00206EA8">
        <w:rPr>
          <w:sz w:val="22"/>
          <w:szCs w:val="22"/>
        </w:rPr>
        <w:t xml:space="preserve">  </w:t>
      </w:r>
      <w:bookmarkStart w:id="1" w:name="_Hlk115272693"/>
      <w:bookmarkStart w:id="2" w:name="_Hlk115256330"/>
      <w:r w:rsidRPr="00C817DC" w:rsidR="00AF64AD">
        <w:rPr>
          <w:sz w:val="22"/>
          <w:szCs w:val="22"/>
        </w:rPr>
        <w:t>T</w:t>
      </w:r>
      <w:r w:rsidRPr="00C817DC" w:rsidR="00AF64AD">
        <w:rPr>
          <w:rFonts w:eastAsia="MS Mincho"/>
          <w:sz w:val="22"/>
          <w:szCs w:val="22"/>
        </w:rPr>
        <w:t xml:space="preserve">he aim of the BDC is not only to provide this </w:t>
      </w:r>
      <w:r w:rsidRPr="00C817DC" w:rsidR="00DD5FF5">
        <w:rPr>
          <w:rFonts w:eastAsia="MS Mincho"/>
          <w:sz w:val="22"/>
          <w:szCs w:val="22"/>
        </w:rPr>
        <w:t xml:space="preserve">information </w:t>
      </w:r>
      <w:r w:rsidRPr="00C817DC" w:rsidR="00AF64AD">
        <w:rPr>
          <w:rFonts w:eastAsia="MS Mincho"/>
          <w:sz w:val="22"/>
          <w:szCs w:val="22"/>
        </w:rPr>
        <w:t xml:space="preserve">to the Commission, but also to make such data available to the public for purposes of validating and challenging the </w:t>
      </w:r>
      <w:r w:rsidRPr="00C817DC" w:rsidR="00175A51">
        <w:rPr>
          <w:rFonts w:eastAsia="MS Mincho"/>
          <w:sz w:val="22"/>
          <w:szCs w:val="22"/>
        </w:rPr>
        <w:t>accuracy of service providers’ submissions</w:t>
      </w:r>
      <w:r w:rsidRPr="00C817DC" w:rsidR="00AF64AD">
        <w:rPr>
          <w:rFonts w:eastAsia="MS Mincho"/>
          <w:sz w:val="22"/>
          <w:szCs w:val="22"/>
        </w:rPr>
        <w:t>.</w:t>
      </w:r>
      <w:r>
        <w:rPr>
          <w:rFonts w:eastAsia="MS Mincho"/>
          <w:sz w:val="22"/>
          <w:szCs w:val="22"/>
          <w:vertAlign w:val="superscript"/>
        </w:rPr>
        <w:footnoteReference w:id="7"/>
      </w:r>
      <w:r w:rsidRPr="00C817DC" w:rsidR="00A449BC">
        <w:rPr>
          <w:rFonts w:eastAsia="MS Mincho"/>
          <w:sz w:val="22"/>
          <w:szCs w:val="22"/>
        </w:rPr>
        <w:t xml:space="preserve"> </w:t>
      </w:r>
      <w:r w:rsidRPr="00C817DC" w:rsidR="00AF64AD">
        <w:rPr>
          <w:sz w:val="22"/>
          <w:szCs w:val="22"/>
        </w:rPr>
        <w:t xml:space="preserve"> </w:t>
      </w:r>
      <w:r w:rsidRPr="00C817DC" w:rsidR="00C049B2">
        <w:rPr>
          <w:sz w:val="22"/>
          <w:szCs w:val="22"/>
        </w:rPr>
        <w:t>P</w:t>
      </w:r>
      <w:r w:rsidRPr="00C817DC" w:rsidR="00AF64AD">
        <w:rPr>
          <w:sz w:val="22"/>
          <w:szCs w:val="22"/>
        </w:rPr>
        <w:t>ublic access to th</w:t>
      </w:r>
      <w:r w:rsidRPr="00C817DC" w:rsidR="00424E9C">
        <w:rPr>
          <w:sz w:val="22"/>
          <w:szCs w:val="22"/>
        </w:rPr>
        <w:t xml:space="preserve">e </w:t>
      </w:r>
      <w:r w:rsidR="00C817DC">
        <w:rPr>
          <w:sz w:val="22"/>
          <w:szCs w:val="22"/>
        </w:rPr>
        <w:t xml:space="preserve">supporting network data </w:t>
      </w:r>
      <w:r w:rsidRPr="00C817DC" w:rsidR="00424E9C">
        <w:rPr>
          <w:sz w:val="22"/>
          <w:szCs w:val="22"/>
        </w:rPr>
        <w:t xml:space="preserve">used </w:t>
      </w:r>
      <w:r w:rsidR="00C817DC">
        <w:rPr>
          <w:sz w:val="22"/>
          <w:szCs w:val="22"/>
        </w:rPr>
        <w:t xml:space="preserve">by providers </w:t>
      </w:r>
      <w:r w:rsidRPr="00C817DC" w:rsidR="00424E9C">
        <w:rPr>
          <w:sz w:val="22"/>
          <w:szCs w:val="22"/>
        </w:rPr>
        <w:t xml:space="preserve">to generate </w:t>
      </w:r>
      <w:r w:rsidR="00C817DC">
        <w:rPr>
          <w:sz w:val="22"/>
          <w:szCs w:val="22"/>
        </w:rPr>
        <w:t xml:space="preserve">their </w:t>
      </w:r>
      <w:r w:rsidRPr="00C817DC" w:rsidR="00424E9C">
        <w:rPr>
          <w:sz w:val="22"/>
          <w:szCs w:val="22"/>
        </w:rPr>
        <w:t xml:space="preserve">fixed broadband availability </w:t>
      </w:r>
      <w:r w:rsidRPr="00C817DC" w:rsidR="00AF64AD">
        <w:rPr>
          <w:sz w:val="22"/>
          <w:szCs w:val="22"/>
        </w:rPr>
        <w:t>data</w:t>
      </w:r>
      <w:r w:rsidR="00C817DC">
        <w:rPr>
          <w:sz w:val="22"/>
          <w:szCs w:val="22"/>
        </w:rPr>
        <w:t xml:space="preserve"> </w:t>
      </w:r>
      <w:r w:rsidRPr="00C817DC" w:rsidR="00C049B2">
        <w:rPr>
          <w:sz w:val="22"/>
          <w:szCs w:val="22"/>
        </w:rPr>
        <w:t xml:space="preserve">will </w:t>
      </w:r>
      <w:r w:rsidRPr="00C817DC" w:rsidR="00CC7B0F">
        <w:rPr>
          <w:sz w:val="22"/>
          <w:szCs w:val="22"/>
        </w:rPr>
        <w:t xml:space="preserve">maximize the </w:t>
      </w:r>
      <w:r w:rsidRPr="00C817DC" w:rsidR="002B60D9">
        <w:rPr>
          <w:sz w:val="22"/>
          <w:szCs w:val="22"/>
        </w:rPr>
        <w:t xml:space="preserve">effectiveness of the </w:t>
      </w:r>
      <w:r w:rsidRPr="00C817DC" w:rsidR="00BE4F58">
        <w:rPr>
          <w:sz w:val="22"/>
          <w:szCs w:val="22"/>
        </w:rPr>
        <w:t>BDC</w:t>
      </w:r>
      <w:r w:rsidRPr="00C817DC" w:rsidR="00AF64AD">
        <w:rPr>
          <w:sz w:val="22"/>
          <w:szCs w:val="22"/>
        </w:rPr>
        <w:t xml:space="preserve"> challenge process.</w:t>
      </w:r>
      <w:r>
        <w:rPr>
          <w:rStyle w:val="FootnoteReference"/>
          <w:sz w:val="22"/>
          <w:szCs w:val="22"/>
        </w:rPr>
        <w:footnoteReference w:id="8"/>
      </w:r>
      <w:r w:rsidRPr="00C817DC" w:rsidR="00AF64AD">
        <w:rPr>
          <w:sz w:val="22"/>
          <w:szCs w:val="22"/>
        </w:rPr>
        <w:t xml:space="preserve">  </w:t>
      </w:r>
      <w:bookmarkEnd w:id="1"/>
      <w:bookmarkEnd w:id="2"/>
      <w:r w:rsidRPr="00C817DC" w:rsidR="00A673C3">
        <w:rPr>
          <w:sz w:val="22"/>
          <w:szCs w:val="22"/>
        </w:rPr>
        <w:t xml:space="preserve">Further, </w:t>
      </w:r>
      <w:r w:rsidRPr="00C817DC" w:rsidR="00C817DC">
        <w:rPr>
          <w:sz w:val="22"/>
          <w:szCs w:val="22"/>
        </w:rPr>
        <w:t>Massillon</w:t>
      </w:r>
      <w:r w:rsidRPr="00C817DC" w:rsidR="0029177A">
        <w:rPr>
          <w:sz w:val="22"/>
          <w:szCs w:val="22"/>
        </w:rPr>
        <w:t xml:space="preserve"> has not explained why </w:t>
      </w:r>
      <w:r w:rsidRPr="00C817DC" w:rsidR="003C21A5">
        <w:rPr>
          <w:sz w:val="22"/>
          <w:szCs w:val="22"/>
        </w:rPr>
        <w:t>its</w:t>
      </w:r>
      <w:r w:rsidRPr="00C817DC" w:rsidR="00942B36">
        <w:rPr>
          <w:sz w:val="22"/>
          <w:szCs w:val="22"/>
        </w:rPr>
        <w:t xml:space="preserve"> situation differs from the typical provider, such that </w:t>
      </w:r>
      <w:r w:rsidRPr="00C817DC" w:rsidR="00C817DC">
        <w:rPr>
          <w:sz w:val="22"/>
          <w:szCs w:val="22"/>
        </w:rPr>
        <w:t>Massillon</w:t>
      </w:r>
      <w:r w:rsidRPr="00C817DC" w:rsidR="00942B36">
        <w:rPr>
          <w:sz w:val="22"/>
          <w:szCs w:val="22"/>
        </w:rPr>
        <w:t>’s information</w:t>
      </w:r>
      <w:r w:rsidRPr="00C817DC" w:rsidR="003E560A">
        <w:rPr>
          <w:sz w:val="22"/>
          <w:szCs w:val="22"/>
        </w:rPr>
        <w:t xml:space="preserve"> </w:t>
      </w:r>
      <w:r w:rsidRPr="00C817DC" w:rsidR="008C41EF">
        <w:rPr>
          <w:sz w:val="22"/>
          <w:szCs w:val="22"/>
        </w:rPr>
        <w:t xml:space="preserve">should be kept confidential </w:t>
      </w:r>
      <w:r w:rsidRPr="00C817DC" w:rsidR="00942B36">
        <w:rPr>
          <w:sz w:val="22"/>
          <w:szCs w:val="22"/>
        </w:rPr>
        <w:t>despite the Commission’s findings, nor</w:t>
      </w:r>
      <w:r w:rsidRPr="00C817DC" w:rsidR="0029177A">
        <w:rPr>
          <w:sz w:val="22"/>
          <w:szCs w:val="22"/>
        </w:rPr>
        <w:t xml:space="preserve"> </w:t>
      </w:r>
      <w:r w:rsidRPr="00C817DC" w:rsidR="004173BC">
        <w:rPr>
          <w:sz w:val="22"/>
          <w:szCs w:val="22"/>
        </w:rPr>
        <w:t xml:space="preserve">how </w:t>
      </w:r>
      <w:r w:rsidRPr="00C817DC" w:rsidR="004D4937">
        <w:rPr>
          <w:sz w:val="22"/>
          <w:szCs w:val="22"/>
        </w:rPr>
        <w:t xml:space="preserve">disclosure of </w:t>
      </w:r>
      <w:r w:rsidRPr="00C817DC" w:rsidR="00C817DC">
        <w:rPr>
          <w:sz w:val="22"/>
          <w:szCs w:val="22"/>
        </w:rPr>
        <w:t>Massillon</w:t>
      </w:r>
      <w:r w:rsidRPr="00C817DC" w:rsidR="00C90C40">
        <w:rPr>
          <w:sz w:val="22"/>
          <w:szCs w:val="22"/>
        </w:rPr>
        <w:t xml:space="preserve">'s </w:t>
      </w:r>
      <w:r w:rsidRPr="00C817DC" w:rsidR="004D4937">
        <w:rPr>
          <w:sz w:val="22"/>
          <w:szCs w:val="22"/>
        </w:rPr>
        <w:t xml:space="preserve">information </w:t>
      </w:r>
      <w:r w:rsidRPr="00C817DC" w:rsidR="004173BC">
        <w:rPr>
          <w:sz w:val="22"/>
          <w:szCs w:val="22"/>
        </w:rPr>
        <w:t>will place</w:t>
      </w:r>
      <w:r w:rsidRPr="00C817DC" w:rsidR="004D4937">
        <w:rPr>
          <w:sz w:val="22"/>
          <w:szCs w:val="22"/>
        </w:rPr>
        <w:t xml:space="preserve"> it </w:t>
      </w:r>
      <w:r w:rsidRPr="00C817DC" w:rsidR="004173BC">
        <w:rPr>
          <w:sz w:val="22"/>
          <w:szCs w:val="22"/>
        </w:rPr>
        <w:t xml:space="preserve">at a competitive disadvantage </w:t>
      </w:r>
      <w:r w:rsidRPr="00C817DC" w:rsidR="004D4937">
        <w:rPr>
          <w:sz w:val="22"/>
          <w:szCs w:val="22"/>
        </w:rPr>
        <w:t xml:space="preserve">to its rivals whose information also </w:t>
      </w:r>
      <w:r w:rsidRPr="00C817DC" w:rsidR="002B60D9">
        <w:rPr>
          <w:sz w:val="22"/>
          <w:szCs w:val="22"/>
        </w:rPr>
        <w:t xml:space="preserve">is </w:t>
      </w:r>
      <w:r w:rsidRPr="00C817DC" w:rsidR="004D4937">
        <w:rPr>
          <w:sz w:val="22"/>
          <w:szCs w:val="22"/>
        </w:rPr>
        <w:t>being publicly disclosed.</w:t>
      </w:r>
      <w:r w:rsidRPr="00C817DC" w:rsidR="00D659FA">
        <w:rPr>
          <w:sz w:val="22"/>
          <w:szCs w:val="22"/>
        </w:rPr>
        <w:t xml:space="preserve">  As a result, </w:t>
      </w:r>
      <w:r w:rsidRPr="00C817DC" w:rsidR="00C817DC">
        <w:rPr>
          <w:sz w:val="22"/>
          <w:szCs w:val="22"/>
        </w:rPr>
        <w:t>Massillon</w:t>
      </w:r>
      <w:r w:rsidRPr="00C817DC" w:rsidR="00D659FA">
        <w:rPr>
          <w:sz w:val="22"/>
          <w:szCs w:val="22"/>
        </w:rPr>
        <w:t xml:space="preserve">’s Request </w:t>
      </w:r>
      <w:r w:rsidR="00C66D5F">
        <w:rPr>
          <w:sz w:val="22"/>
          <w:szCs w:val="22"/>
        </w:rPr>
        <w:t>is</w:t>
      </w:r>
      <w:r w:rsidRPr="00C817DC" w:rsidR="00D659FA">
        <w:rPr>
          <w:sz w:val="22"/>
          <w:szCs w:val="22"/>
        </w:rPr>
        <w:t xml:space="preserve"> denied</w:t>
      </w:r>
      <w:r w:rsidRPr="00C817DC" w:rsidR="00A673C3">
        <w:rPr>
          <w:sz w:val="22"/>
          <w:szCs w:val="22"/>
        </w:rPr>
        <w:t xml:space="preserve"> with respect to its </w:t>
      </w:r>
      <w:r w:rsidR="00C66D5F">
        <w:rPr>
          <w:sz w:val="22"/>
          <w:szCs w:val="22"/>
        </w:rPr>
        <w:t xml:space="preserve">supporting </w:t>
      </w:r>
      <w:r w:rsidRPr="00C817DC" w:rsidR="00A673C3">
        <w:rPr>
          <w:sz w:val="22"/>
          <w:szCs w:val="22"/>
        </w:rPr>
        <w:t>broadband availability data</w:t>
      </w:r>
      <w:r w:rsidRPr="00C817DC" w:rsidR="00D659FA">
        <w:rPr>
          <w:sz w:val="22"/>
          <w:szCs w:val="22"/>
        </w:rPr>
        <w:t>.</w:t>
      </w:r>
    </w:p>
    <w:p w:rsidR="00B34F39" w:rsidRPr="00C817DC" w:rsidP="0029177A" w14:paraId="390114A6" w14:textId="77777777">
      <w:pPr>
        <w:rPr>
          <w:sz w:val="22"/>
          <w:szCs w:val="22"/>
        </w:rPr>
      </w:pPr>
    </w:p>
    <w:p w:rsidR="00A43E13" w:rsidRPr="00C817DC" w:rsidP="007A2D75" w14:paraId="6B2FD380" w14:textId="56830274">
      <w:pPr>
        <w:rPr>
          <w:sz w:val="22"/>
          <w:szCs w:val="22"/>
          <w:shd w:val="clear" w:color="auto" w:fill="FFFFFF"/>
        </w:rPr>
      </w:pPr>
      <w:bookmarkStart w:id="4" w:name="_Hlk112794065"/>
      <w:r w:rsidRPr="00C817DC">
        <w:rPr>
          <w:sz w:val="22"/>
          <w:szCs w:val="22"/>
          <w:shd w:val="clear" w:color="auto" w:fill="FFFFFF"/>
        </w:rPr>
        <w:t xml:space="preserve">Please direct further questions to </w:t>
      </w:r>
      <w:r w:rsidRPr="00C817DC" w:rsidR="002B60D9">
        <w:rPr>
          <w:sz w:val="22"/>
          <w:szCs w:val="22"/>
          <w:shd w:val="clear" w:color="auto" w:fill="FFFFFF"/>
        </w:rPr>
        <w:t>Michael Ray at Michael.Ray@fcc.gov.</w:t>
      </w:r>
      <w:r w:rsidRPr="00C817DC">
        <w:rPr>
          <w:sz w:val="22"/>
          <w:szCs w:val="22"/>
          <w:shd w:val="clear" w:color="auto" w:fill="FFFFFF"/>
        </w:rPr>
        <w:t xml:space="preserve"> </w:t>
      </w:r>
      <w:bookmarkEnd w:id="4"/>
    </w:p>
    <w:p w:rsidR="00D659FA" w:rsidRPr="00C817DC" w:rsidP="007A2D75" w14:paraId="7B020FAD" w14:textId="4B355D12">
      <w:pPr>
        <w:rPr>
          <w:sz w:val="22"/>
          <w:szCs w:val="22"/>
          <w:shd w:val="clear" w:color="auto" w:fill="FFFFFF"/>
        </w:rPr>
      </w:pPr>
    </w:p>
    <w:p w:rsidR="00D659FA" w:rsidRPr="00C817DC" w:rsidP="007A2D75" w14:paraId="59406B1B" w14:textId="1759D669">
      <w:pPr>
        <w:rPr>
          <w:sz w:val="22"/>
          <w:szCs w:val="22"/>
          <w:shd w:val="clear" w:color="auto" w:fill="FFFFFF"/>
        </w:rPr>
      </w:pPr>
    </w:p>
    <w:p w:rsidR="00D659FA" w:rsidRPr="00C817DC" w:rsidP="007A2D75" w14:paraId="6C832753" w14:textId="7E88894B">
      <w:pPr>
        <w:rPr>
          <w:sz w:val="22"/>
          <w:szCs w:val="22"/>
          <w:shd w:val="clear" w:color="auto" w:fill="FFFFFF"/>
        </w:rPr>
      </w:pPr>
    </w:p>
    <w:p w:rsidR="00D659FA" w:rsidRPr="00C817DC" w:rsidP="007A2D75" w14:paraId="5708030C" w14:textId="77777777">
      <w:pPr>
        <w:rPr>
          <w:sz w:val="22"/>
          <w:szCs w:val="22"/>
          <w:shd w:val="clear" w:color="auto" w:fill="FFFFFF"/>
        </w:rPr>
      </w:pPr>
    </w:p>
    <w:p w:rsidR="00D659FA" w:rsidRPr="00C817DC" w:rsidP="007A2D75" w14:paraId="6B8D1712" w14:textId="56490AEF">
      <w:pPr>
        <w:rPr>
          <w:sz w:val="22"/>
          <w:szCs w:val="22"/>
          <w:shd w:val="clear" w:color="auto" w:fill="FFFFFF"/>
        </w:rPr>
      </w:pP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t>Kirk Burgee</w:t>
      </w:r>
    </w:p>
    <w:p w:rsidR="00D659FA" w:rsidRPr="00C817DC" w:rsidP="007A2D75" w14:paraId="41EEF2D3" w14:textId="22D16629">
      <w:pPr>
        <w:rPr>
          <w:sz w:val="22"/>
          <w:szCs w:val="22"/>
          <w:shd w:val="clear" w:color="auto" w:fill="FFFFFF"/>
        </w:rPr>
      </w:pP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t>Chief of Staff</w:t>
      </w:r>
    </w:p>
    <w:p w:rsidR="00D659FA" w:rsidRPr="00C817DC" w:rsidP="007A2D75" w14:paraId="13447DA7" w14:textId="6CE831F5">
      <w:pPr>
        <w:rPr>
          <w:sz w:val="22"/>
          <w:szCs w:val="22"/>
          <w:shd w:val="clear" w:color="auto" w:fill="FFFFFF"/>
        </w:rPr>
      </w:pP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t>Wireline Competition Bureau</w:t>
      </w:r>
    </w:p>
    <w:p w:rsidR="00D659FA" w:rsidRPr="00C817DC" w:rsidP="007A2D75" w14:paraId="7A5B85D8" w14:textId="16664816">
      <w:pPr>
        <w:rPr>
          <w:sz w:val="22"/>
          <w:szCs w:val="22"/>
          <w:shd w:val="clear" w:color="auto" w:fill="FFFFFF"/>
        </w:rPr>
      </w:pP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r>
      <w:r w:rsidRPr="00C817DC">
        <w:rPr>
          <w:sz w:val="22"/>
          <w:szCs w:val="22"/>
          <w:shd w:val="clear" w:color="auto" w:fill="FFFFFF"/>
        </w:rPr>
        <w:tab/>
        <w:t>Federal Communications Commission</w:t>
      </w:r>
    </w:p>
    <w:sectPr>
      <w:headerReference w:type="first" r:id="rId5"/>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8713C" w14:paraId="6C95C688" w14:textId="77777777">
      <w:r>
        <w:separator/>
      </w:r>
    </w:p>
  </w:footnote>
  <w:footnote w:type="continuationSeparator" w:id="1">
    <w:p w:rsidR="0018713C" w14:paraId="753DD5C9" w14:textId="77777777">
      <w:r>
        <w:continuationSeparator/>
      </w:r>
    </w:p>
  </w:footnote>
  <w:footnote w:type="continuationNotice" w:id="2">
    <w:p w:rsidR="0018713C" w14:paraId="7B63E7B3" w14:textId="77777777"/>
  </w:footnote>
  <w:footnote w:id="3">
    <w:p w:rsidR="00FF7033" w:rsidRPr="00A161B6" w:rsidP="006B7CE4" w14:paraId="3B9DD939" w14:textId="0FD14A32">
      <w:pPr>
        <w:pStyle w:val="FootnoteText"/>
        <w:spacing w:after="120"/>
      </w:pPr>
      <w:r w:rsidRPr="00A161B6">
        <w:rPr>
          <w:rStyle w:val="FootnoteReference"/>
        </w:rPr>
        <w:footnoteRef/>
      </w:r>
      <w:r w:rsidRPr="00A161B6">
        <w:t xml:space="preserve"> </w:t>
      </w:r>
      <w:r w:rsidRPr="00A161B6" w:rsidR="00314A62">
        <w:t>Letter from</w:t>
      </w:r>
      <w:r w:rsidR="006C2ADF">
        <w:t xml:space="preserve"> </w:t>
      </w:r>
      <w:r w:rsidR="00C817DC">
        <w:t>Mark J. Palchick and Rebecca Jacobs Goldman, Counsel to</w:t>
      </w:r>
      <w:r w:rsidR="00F71388">
        <w:t xml:space="preserve"> </w:t>
      </w:r>
      <w:r w:rsidR="00C817DC">
        <w:t xml:space="preserve">Massillon Cable TV, </w:t>
      </w:r>
      <w:r w:rsidR="006B7CE4">
        <w:t>Inc.</w:t>
      </w:r>
      <w:r w:rsidR="005F5B91">
        <w:t xml:space="preserve">, </w:t>
      </w:r>
      <w:r w:rsidRPr="00A161B6" w:rsidR="00314A62">
        <w:t xml:space="preserve">to Marlene H. Dortch, Secretary, FCC, WC Docket No. 19-195 (filed </w:t>
      </w:r>
      <w:r w:rsidR="00B667F9">
        <w:t xml:space="preserve">Aug. </w:t>
      </w:r>
      <w:r w:rsidR="00C817DC">
        <w:t>22</w:t>
      </w:r>
      <w:r w:rsidRPr="00A161B6" w:rsidR="00314A62">
        <w:t>, 2022)</w:t>
      </w:r>
      <w:r w:rsidRPr="00F71388" w:rsidR="00F71388">
        <w:t xml:space="preserve"> </w:t>
      </w:r>
      <w:r w:rsidRPr="00A161B6" w:rsidR="008A49E9">
        <w:t>(Request).</w:t>
      </w:r>
    </w:p>
  </w:footnote>
  <w:footnote w:id="4">
    <w:p w:rsidR="006B7CE4" w:rsidRPr="005052E7" w:rsidP="006B7CE4" w14:paraId="202D255D" w14:textId="77777777">
      <w:pPr>
        <w:pStyle w:val="FootnoteText"/>
        <w:spacing w:after="120"/>
      </w:pPr>
      <w:r w:rsidRPr="005052E7">
        <w:rPr>
          <w:rStyle w:val="FootnoteReference"/>
        </w:rPr>
        <w:footnoteRef/>
      </w:r>
      <w:r w:rsidRPr="005052E7">
        <w:t xml:space="preserve"> 47 CFR § 1.7005(b).</w:t>
      </w:r>
    </w:p>
  </w:footnote>
  <w:footnote w:id="5">
    <w:p w:rsidR="006B7CE4" w:rsidP="006B7CE4" w14:paraId="0B1806C3" w14:textId="3DCCB2DE">
      <w:pPr>
        <w:pStyle w:val="FootnoteText"/>
        <w:spacing w:after="120"/>
      </w:pPr>
      <w:r>
        <w:rPr>
          <w:rStyle w:val="FootnoteReference"/>
        </w:rPr>
        <w:footnoteRef/>
      </w:r>
      <w:r>
        <w:t xml:space="preserve"> Request at </w:t>
      </w:r>
      <w:r w:rsidR="00C817DC">
        <w:t>2</w:t>
      </w:r>
      <w:r>
        <w:t>.</w:t>
      </w:r>
    </w:p>
  </w:footnote>
  <w:footnote w:id="6">
    <w:p w:rsidR="00317233" w:rsidRPr="00A161B6" w:rsidP="006B7CE4" w14:paraId="5A236DEA" w14:textId="305EDC31">
      <w:pPr>
        <w:autoSpaceDE w:val="0"/>
        <w:autoSpaceDN w:val="0"/>
        <w:adjustRightInd w:val="0"/>
        <w:spacing w:after="120"/>
      </w:pPr>
      <w:r w:rsidRPr="00A161B6">
        <w:rPr>
          <w:rStyle w:val="FootnoteReference"/>
        </w:rPr>
        <w:footnoteRef/>
      </w:r>
      <w:r w:rsidRPr="00A161B6">
        <w:t xml:space="preserve"> </w:t>
      </w:r>
      <w:r w:rsidRPr="00A161B6">
        <w:rPr>
          <w:i/>
          <w:iCs/>
        </w:rPr>
        <w:t>Establishing the Digital Opportunity Data Collection; Modernizing the FCC Form 477 Data Program</w:t>
      </w:r>
      <w:r w:rsidRPr="00A161B6">
        <w:t>, WC Docket Nos. 19-195, 11-10, Second Report and Order and Third Further Notice of Proposed Rulemaking, 35 FCC Rcd 7460, 74</w:t>
      </w:r>
      <w:r w:rsidRPr="00A161B6" w:rsidR="00372376">
        <w:t>65</w:t>
      </w:r>
      <w:r w:rsidRPr="00A161B6">
        <w:t xml:space="preserve">, para. </w:t>
      </w:r>
      <w:r w:rsidRPr="00A161B6" w:rsidR="00665583">
        <w:t>12</w:t>
      </w:r>
      <w:r w:rsidRPr="00A161B6">
        <w:t xml:space="preserve"> (2020)</w:t>
      </w:r>
      <w:r w:rsidRPr="00A161B6">
        <w:rPr>
          <w:i/>
          <w:iCs/>
        </w:rPr>
        <w:t xml:space="preserve"> </w:t>
      </w:r>
      <w:r w:rsidRPr="00A161B6">
        <w:t>(</w:t>
      </w:r>
      <w:bookmarkStart w:id="0" w:name="_Hlk115438399"/>
      <w:r w:rsidRPr="00A161B6">
        <w:rPr>
          <w:i/>
          <w:iCs/>
        </w:rPr>
        <w:t>Second Report and Order and Third Further Notice</w:t>
      </w:r>
      <w:bookmarkEnd w:id="0"/>
      <w:r w:rsidRPr="00A161B6">
        <w:t>).</w:t>
      </w:r>
    </w:p>
  </w:footnote>
  <w:footnote w:id="7">
    <w:p w:rsidR="00A449BC" w:rsidRPr="00A161B6" w:rsidP="006B7CE4" w14:paraId="29D0F742" w14:textId="77777777">
      <w:pPr>
        <w:pStyle w:val="FootnoteText"/>
        <w:spacing w:after="120"/>
      </w:pPr>
      <w:r w:rsidRPr="00A161B6">
        <w:rPr>
          <w:rStyle w:val="FootnoteReference"/>
        </w:rPr>
        <w:footnoteRef/>
      </w:r>
      <w:r w:rsidRPr="00A161B6">
        <w:t xml:space="preserve"> </w:t>
      </w:r>
      <w:bookmarkStart w:id="3" w:name="_Hlk115256674"/>
      <w:r w:rsidRPr="00A161B6">
        <w:rPr>
          <w:rFonts w:eastAsia="MS Mincho"/>
        </w:rPr>
        <w:t>The Broadband DATA Act requires the Commission to “establish a user-friendly challenge process through which consumers, [s]tate, local, and Tribal governmental entities, and other entities or individuals may submit coverage data to the Commission to challenge the accuracy of – (i) the coverage maps; (ii) any information submitted by a provider regarding the availability of broadband internet access service; or (iii) the information included in the [Broadband Serviceable Location] Fabric.”</w:t>
      </w:r>
      <w:r w:rsidRPr="00A161B6">
        <w:t xml:space="preserve">  47 U.S.C. §§ 642(b)(5)(A), 642(a)(1)(B)(iii).</w:t>
      </w:r>
      <w:bookmarkEnd w:id="3"/>
    </w:p>
  </w:footnote>
  <w:footnote w:id="8">
    <w:p w:rsidR="00424E9C" w:rsidRPr="00A161B6" w:rsidP="006B7CE4" w14:paraId="2A46FCDF" w14:textId="794041D9">
      <w:pPr>
        <w:pStyle w:val="FootnoteText"/>
        <w:spacing w:after="120"/>
      </w:pPr>
      <w:r w:rsidRPr="00A161B6">
        <w:rPr>
          <w:rStyle w:val="FootnoteReference"/>
        </w:rPr>
        <w:footnoteRef/>
      </w:r>
      <w:r w:rsidRPr="00A161B6">
        <w:t xml:space="preserve"> </w:t>
      </w:r>
      <w:r w:rsidRPr="00A161B6">
        <w:rPr>
          <w:i/>
          <w:iCs/>
        </w:rPr>
        <w:t>Second Report and Order and Third Further Notice</w:t>
      </w:r>
      <w:r w:rsidRPr="00A161B6">
        <w:t>, 35 FCC Rcd at 7465, para.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54DB" w14:paraId="08C5211E" w14:textId="663475D6">
    <w:pPr>
      <w:pStyle w:val="Header"/>
      <w:tabs>
        <w:tab w:val="clear" w:pos="4320"/>
        <w:tab w:val="clear" w:pos="8640"/>
      </w:tabs>
      <w:spacing w:before="360" w:line="228" w:lineRule="auto"/>
      <w:jc w:val="center"/>
    </w:pPr>
    <w:r>
      <w:rPr>
        <w:noProof/>
      </w:rPr>
      <w:drawing>
        <wp:anchor distT="0" distB="0" distL="114300" distR="114300" simplePos="0" relativeHeight="251658240" behindDoc="1" locked="0" layoutInCell="1" allowOverlap="1">
          <wp:simplePos x="0" y="0"/>
          <wp:positionH relativeFrom="column">
            <wp:posOffset>-403860</wp:posOffset>
          </wp:positionH>
          <wp:positionV relativeFrom="paragraph">
            <wp:posOffset>0</wp:posOffset>
          </wp:positionV>
          <wp:extent cx="752475" cy="752475"/>
          <wp:effectExtent l="0" t="0" r="0" b="0"/>
          <wp:wrapTight wrapText="bothSides">
            <wp:wrapPolygon>
              <wp:start x="6015" y="0"/>
              <wp:lineTo x="0" y="3828"/>
              <wp:lineTo x="0" y="14765"/>
              <wp:lineTo x="1094" y="18046"/>
              <wp:lineTo x="5468" y="21327"/>
              <wp:lineTo x="6015" y="21327"/>
              <wp:lineTo x="15311" y="21327"/>
              <wp:lineTo x="15858" y="21327"/>
              <wp:lineTo x="20233" y="18046"/>
              <wp:lineTo x="21327" y="14765"/>
              <wp:lineTo x="21327" y="3828"/>
              <wp:lineTo x="15311" y="0"/>
              <wp:lineTo x="601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CG Times (W1)" w:hAnsi="CG Times (W1)"/>
        <w:sz w:val="28"/>
      </w:rPr>
      <w:t>Federal Communications Commission</w:t>
    </w:r>
  </w:p>
  <w:p w:rsidR="002B54DB" w:rsidP="001333F1" w14:paraId="0D943C0A" w14:textId="77777777">
    <w:pPr>
      <w:tabs>
        <w:tab w:val="center" w:pos="4680"/>
        <w:tab w:val="left" w:pos="8400"/>
      </w:tabs>
    </w:pPr>
    <w:r>
      <w:rPr>
        <w:rFonts w:ascii="CG Times (W1)" w:hAnsi="CG Times (W1)"/>
        <w:sz w:val="28"/>
      </w:rPr>
      <w:tab/>
    </w:r>
    <w:r>
      <w:rPr>
        <w:rFonts w:ascii="CG Times (W1)" w:hAnsi="CG Times (W1)"/>
        <w:sz w:val="28"/>
      </w:rPr>
      <w:t>Washington, D.C. 20554</w:t>
    </w:r>
    <w:r>
      <w:rPr>
        <w:rFonts w:ascii="CG Times (W1)" w:hAnsi="CG Times (W1)"/>
        <w:sz w:val="28"/>
      </w:rPr>
      <w:tab/>
    </w:r>
  </w:p>
  <w:p w:rsidR="002B54DB" w14:paraId="0AD011B2" w14:textId="77777777">
    <w:pPr>
      <w:pStyle w:val="Header"/>
      <w:tabs>
        <w:tab w:val="clear" w:pos="4320"/>
      </w:tabs>
      <w:jc w:val="center"/>
      <w:rPr>
        <w:sz w:val="22"/>
      </w:rPr>
    </w:pPr>
  </w:p>
  <w:p w:rsidR="002B54DB" w:rsidP="00EB6102" w14:paraId="6B4386C5" w14:textId="3ACDF84C">
    <w:pPr>
      <w:pStyle w:val="Header"/>
      <w:tabs>
        <w:tab w:val="clear" w:pos="4320"/>
      </w:tabs>
      <w:jc w:val="right"/>
      <w:rPr>
        <w:sz w:val="22"/>
      </w:rPr>
    </w:pPr>
    <w:r>
      <w:rPr>
        <w:sz w:val="22"/>
      </w:rPr>
      <w:t xml:space="preserve">October </w:t>
    </w:r>
    <w:r w:rsidR="006B7CE4">
      <w:rPr>
        <w:sz w:val="22"/>
      </w:rPr>
      <w:t>20</w:t>
    </w:r>
    <w:r w:rsidR="00EB6102">
      <w:rPr>
        <w:sz w:val="22"/>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51791B"/>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61182925"/>
    <w:multiLevelType w:val="singleLevel"/>
    <w:tmpl w:val="A02A0308"/>
    <w:lvl w:ilvl="0">
      <w:start w:val="1"/>
      <w:numFmt w:val="decimal"/>
      <w:pStyle w:val="ParaNum"/>
      <w:lvlText w:val="%1."/>
      <w:lvlJc w:val="left"/>
      <w:pPr>
        <w:tabs>
          <w:tab w:val="num" w:pos="1080"/>
        </w:tabs>
        <w:ind w:left="0" w:firstLine="720"/>
      </w:pPr>
      <w:rPr>
        <w:rFonts w:hint="default"/>
      </w:rPr>
    </w:lvl>
  </w:abstractNum>
  <w:abstractNum w:abstractNumId="2">
    <w:nsid w:val="693C7274"/>
    <w:multiLevelType w:val="hybridMultilevel"/>
    <w:tmpl w:val="ED92A6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75"/>
    <w:rsid w:val="000139DF"/>
    <w:rsid w:val="00014CB4"/>
    <w:rsid w:val="0002401C"/>
    <w:rsid w:val="00032C2F"/>
    <w:rsid w:val="00034D9B"/>
    <w:rsid w:val="00035EA3"/>
    <w:rsid w:val="0007038F"/>
    <w:rsid w:val="00090A8D"/>
    <w:rsid w:val="000B5DCE"/>
    <w:rsid w:val="000E5E1E"/>
    <w:rsid w:val="000E5F43"/>
    <w:rsid w:val="000F0EF4"/>
    <w:rsid w:val="000F2B1D"/>
    <w:rsid w:val="000F73DC"/>
    <w:rsid w:val="00104819"/>
    <w:rsid w:val="0011441C"/>
    <w:rsid w:val="001312B4"/>
    <w:rsid w:val="001333F1"/>
    <w:rsid w:val="00143AA5"/>
    <w:rsid w:val="00160630"/>
    <w:rsid w:val="00163493"/>
    <w:rsid w:val="00175A51"/>
    <w:rsid w:val="001869C5"/>
    <w:rsid w:val="0018713C"/>
    <w:rsid w:val="001908D1"/>
    <w:rsid w:val="001B1FBD"/>
    <w:rsid w:val="001E697F"/>
    <w:rsid w:val="001F42DE"/>
    <w:rsid w:val="001F6EF3"/>
    <w:rsid w:val="00204CE3"/>
    <w:rsid w:val="00206EA8"/>
    <w:rsid w:val="00230847"/>
    <w:rsid w:val="0024278F"/>
    <w:rsid w:val="00254CF0"/>
    <w:rsid w:val="002560C3"/>
    <w:rsid w:val="002633F0"/>
    <w:rsid w:val="00264D95"/>
    <w:rsid w:val="002741E1"/>
    <w:rsid w:val="00276532"/>
    <w:rsid w:val="00287F44"/>
    <w:rsid w:val="0029177A"/>
    <w:rsid w:val="00292C19"/>
    <w:rsid w:val="002A5379"/>
    <w:rsid w:val="002B18F4"/>
    <w:rsid w:val="002B54DB"/>
    <w:rsid w:val="002B60D9"/>
    <w:rsid w:val="002D032B"/>
    <w:rsid w:val="002D6DE0"/>
    <w:rsid w:val="003118DB"/>
    <w:rsid w:val="00314A62"/>
    <w:rsid w:val="00317233"/>
    <w:rsid w:val="003177BB"/>
    <w:rsid w:val="00326A9E"/>
    <w:rsid w:val="00334EF7"/>
    <w:rsid w:val="00340CA8"/>
    <w:rsid w:val="00341E73"/>
    <w:rsid w:val="00344CA4"/>
    <w:rsid w:val="00350074"/>
    <w:rsid w:val="00355082"/>
    <w:rsid w:val="00365175"/>
    <w:rsid w:val="00372376"/>
    <w:rsid w:val="00374A0C"/>
    <w:rsid w:val="00374F45"/>
    <w:rsid w:val="00386A10"/>
    <w:rsid w:val="00397B27"/>
    <w:rsid w:val="003C21A5"/>
    <w:rsid w:val="003C6033"/>
    <w:rsid w:val="003C7DB7"/>
    <w:rsid w:val="003C7FBC"/>
    <w:rsid w:val="003D55FF"/>
    <w:rsid w:val="003E560A"/>
    <w:rsid w:val="00401347"/>
    <w:rsid w:val="00405868"/>
    <w:rsid w:val="00407B48"/>
    <w:rsid w:val="004173BC"/>
    <w:rsid w:val="00422676"/>
    <w:rsid w:val="00424E9C"/>
    <w:rsid w:val="004267BD"/>
    <w:rsid w:val="00434668"/>
    <w:rsid w:val="00441CAB"/>
    <w:rsid w:val="0044636B"/>
    <w:rsid w:val="00446D59"/>
    <w:rsid w:val="004478A7"/>
    <w:rsid w:val="00460810"/>
    <w:rsid w:val="0046483C"/>
    <w:rsid w:val="004757B3"/>
    <w:rsid w:val="004842A7"/>
    <w:rsid w:val="004847B3"/>
    <w:rsid w:val="004C0D72"/>
    <w:rsid w:val="004D1671"/>
    <w:rsid w:val="004D3B53"/>
    <w:rsid w:val="004D4937"/>
    <w:rsid w:val="004D6E6F"/>
    <w:rsid w:val="004E013F"/>
    <w:rsid w:val="004E3154"/>
    <w:rsid w:val="005052E7"/>
    <w:rsid w:val="00506E25"/>
    <w:rsid w:val="00520B2C"/>
    <w:rsid w:val="00523761"/>
    <w:rsid w:val="00556047"/>
    <w:rsid w:val="00556D2C"/>
    <w:rsid w:val="00566FCF"/>
    <w:rsid w:val="005A06CF"/>
    <w:rsid w:val="005A6DE7"/>
    <w:rsid w:val="005C75EF"/>
    <w:rsid w:val="005D2935"/>
    <w:rsid w:val="005D6C2A"/>
    <w:rsid w:val="005F5B91"/>
    <w:rsid w:val="006045E3"/>
    <w:rsid w:val="00611EE8"/>
    <w:rsid w:val="006532A4"/>
    <w:rsid w:val="006537AB"/>
    <w:rsid w:val="00654694"/>
    <w:rsid w:val="0065499A"/>
    <w:rsid w:val="00656892"/>
    <w:rsid w:val="00665583"/>
    <w:rsid w:val="006713BA"/>
    <w:rsid w:val="006836B4"/>
    <w:rsid w:val="006A0783"/>
    <w:rsid w:val="006B7CE4"/>
    <w:rsid w:val="006C2ADF"/>
    <w:rsid w:val="006C3DE1"/>
    <w:rsid w:val="006D027C"/>
    <w:rsid w:val="006D5F45"/>
    <w:rsid w:val="006F1EA6"/>
    <w:rsid w:val="006F3085"/>
    <w:rsid w:val="006F73B0"/>
    <w:rsid w:val="00701745"/>
    <w:rsid w:val="0070462F"/>
    <w:rsid w:val="00711E5C"/>
    <w:rsid w:val="00712675"/>
    <w:rsid w:val="00734C9C"/>
    <w:rsid w:val="00735884"/>
    <w:rsid w:val="00750E83"/>
    <w:rsid w:val="00753D5B"/>
    <w:rsid w:val="00772176"/>
    <w:rsid w:val="00796B1C"/>
    <w:rsid w:val="007A2D75"/>
    <w:rsid w:val="007B50A4"/>
    <w:rsid w:val="007C4E1F"/>
    <w:rsid w:val="007E1AE9"/>
    <w:rsid w:val="007E7AF3"/>
    <w:rsid w:val="007F1A86"/>
    <w:rsid w:val="007F3BF5"/>
    <w:rsid w:val="00820667"/>
    <w:rsid w:val="00820C78"/>
    <w:rsid w:val="00823994"/>
    <w:rsid w:val="00823D7A"/>
    <w:rsid w:val="00850146"/>
    <w:rsid w:val="008620AB"/>
    <w:rsid w:val="008667A0"/>
    <w:rsid w:val="00872464"/>
    <w:rsid w:val="008778A7"/>
    <w:rsid w:val="00883C28"/>
    <w:rsid w:val="00886A27"/>
    <w:rsid w:val="008A49E9"/>
    <w:rsid w:val="008C2D78"/>
    <w:rsid w:val="008C2E5E"/>
    <w:rsid w:val="008C41EF"/>
    <w:rsid w:val="008D3AC0"/>
    <w:rsid w:val="008F5AE0"/>
    <w:rsid w:val="00903671"/>
    <w:rsid w:val="00916B00"/>
    <w:rsid w:val="00920B5B"/>
    <w:rsid w:val="00924D17"/>
    <w:rsid w:val="00926ACF"/>
    <w:rsid w:val="00942B36"/>
    <w:rsid w:val="00944D86"/>
    <w:rsid w:val="009479B4"/>
    <w:rsid w:val="00947F05"/>
    <w:rsid w:val="00964470"/>
    <w:rsid w:val="00964DC1"/>
    <w:rsid w:val="0097326A"/>
    <w:rsid w:val="00975EC7"/>
    <w:rsid w:val="00977AE0"/>
    <w:rsid w:val="00985882"/>
    <w:rsid w:val="009B2F8B"/>
    <w:rsid w:val="009C39C9"/>
    <w:rsid w:val="009C4FBB"/>
    <w:rsid w:val="009D21F8"/>
    <w:rsid w:val="009E0892"/>
    <w:rsid w:val="009E389E"/>
    <w:rsid w:val="00A044B5"/>
    <w:rsid w:val="00A065AE"/>
    <w:rsid w:val="00A161B6"/>
    <w:rsid w:val="00A37BC3"/>
    <w:rsid w:val="00A419A3"/>
    <w:rsid w:val="00A43E13"/>
    <w:rsid w:val="00A449BC"/>
    <w:rsid w:val="00A44F04"/>
    <w:rsid w:val="00A619B3"/>
    <w:rsid w:val="00A673C3"/>
    <w:rsid w:val="00A72A97"/>
    <w:rsid w:val="00A80F6F"/>
    <w:rsid w:val="00A84B62"/>
    <w:rsid w:val="00AB52D7"/>
    <w:rsid w:val="00AC15CD"/>
    <w:rsid w:val="00AC6342"/>
    <w:rsid w:val="00AC6D3A"/>
    <w:rsid w:val="00AE1620"/>
    <w:rsid w:val="00AF5175"/>
    <w:rsid w:val="00AF64AD"/>
    <w:rsid w:val="00B02F6B"/>
    <w:rsid w:val="00B07856"/>
    <w:rsid w:val="00B16A35"/>
    <w:rsid w:val="00B16BDD"/>
    <w:rsid w:val="00B27ADE"/>
    <w:rsid w:val="00B3173D"/>
    <w:rsid w:val="00B31B6A"/>
    <w:rsid w:val="00B34F39"/>
    <w:rsid w:val="00B61D5D"/>
    <w:rsid w:val="00B62F9B"/>
    <w:rsid w:val="00B65B5E"/>
    <w:rsid w:val="00B667F9"/>
    <w:rsid w:val="00BB6A16"/>
    <w:rsid w:val="00BC2181"/>
    <w:rsid w:val="00BC2771"/>
    <w:rsid w:val="00BC69CB"/>
    <w:rsid w:val="00BE4F58"/>
    <w:rsid w:val="00BF2E00"/>
    <w:rsid w:val="00BF6B06"/>
    <w:rsid w:val="00BF7934"/>
    <w:rsid w:val="00C049B2"/>
    <w:rsid w:val="00C14EB8"/>
    <w:rsid w:val="00C15356"/>
    <w:rsid w:val="00C211BF"/>
    <w:rsid w:val="00C278FE"/>
    <w:rsid w:val="00C27FEE"/>
    <w:rsid w:val="00C3007E"/>
    <w:rsid w:val="00C31506"/>
    <w:rsid w:val="00C52D50"/>
    <w:rsid w:val="00C61F77"/>
    <w:rsid w:val="00C65EBE"/>
    <w:rsid w:val="00C66B35"/>
    <w:rsid w:val="00C66D5F"/>
    <w:rsid w:val="00C76B5B"/>
    <w:rsid w:val="00C807B8"/>
    <w:rsid w:val="00C817DC"/>
    <w:rsid w:val="00C83D7E"/>
    <w:rsid w:val="00C90C40"/>
    <w:rsid w:val="00C93BB9"/>
    <w:rsid w:val="00CA055A"/>
    <w:rsid w:val="00CA2B09"/>
    <w:rsid w:val="00CA4EFF"/>
    <w:rsid w:val="00CB54F2"/>
    <w:rsid w:val="00CB596E"/>
    <w:rsid w:val="00CB5974"/>
    <w:rsid w:val="00CC13E8"/>
    <w:rsid w:val="00CC2055"/>
    <w:rsid w:val="00CC7B0F"/>
    <w:rsid w:val="00CD3C9B"/>
    <w:rsid w:val="00CE341E"/>
    <w:rsid w:val="00CEC8FF"/>
    <w:rsid w:val="00D23BDF"/>
    <w:rsid w:val="00D25601"/>
    <w:rsid w:val="00D447B6"/>
    <w:rsid w:val="00D46F6E"/>
    <w:rsid w:val="00D51BF1"/>
    <w:rsid w:val="00D6024D"/>
    <w:rsid w:val="00D6165B"/>
    <w:rsid w:val="00D61DA1"/>
    <w:rsid w:val="00D63B87"/>
    <w:rsid w:val="00D659FA"/>
    <w:rsid w:val="00D84CA2"/>
    <w:rsid w:val="00D93134"/>
    <w:rsid w:val="00D94A15"/>
    <w:rsid w:val="00D95E1D"/>
    <w:rsid w:val="00DA1E8B"/>
    <w:rsid w:val="00DA6B9D"/>
    <w:rsid w:val="00DB5A7F"/>
    <w:rsid w:val="00DB6880"/>
    <w:rsid w:val="00DC0E49"/>
    <w:rsid w:val="00DD5FF5"/>
    <w:rsid w:val="00DD610A"/>
    <w:rsid w:val="00DF044B"/>
    <w:rsid w:val="00DF3D02"/>
    <w:rsid w:val="00E16DBA"/>
    <w:rsid w:val="00E22FEA"/>
    <w:rsid w:val="00E310C3"/>
    <w:rsid w:val="00E50784"/>
    <w:rsid w:val="00E525A1"/>
    <w:rsid w:val="00E52A71"/>
    <w:rsid w:val="00E84AE8"/>
    <w:rsid w:val="00E85FEF"/>
    <w:rsid w:val="00EA03D3"/>
    <w:rsid w:val="00EA19D4"/>
    <w:rsid w:val="00EA283F"/>
    <w:rsid w:val="00EB4134"/>
    <w:rsid w:val="00EB6102"/>
    <w:rsid w:val="00EC7A26"/>
    <w:rsid w:val="00ED12F3"/>
    <w:rsid w:val="00ED2805"/>
    <w:rsid w:val="00ED77C3"/>
    <w:rsid w:val="00EE00F5"/>
    <w:rsid w:val="00EE6128"/>
    <w:rsid w:val="00EE7FC5"/>
    <w:rsid w:val="00F035AC"/>
    <w:rsid w:val="00F13FDB"/>
    <w:rsid w:val="00F15A62"/>
    <w:rsid w:val="00F173F7"/>
    <w:rsid w:val="00F31A9F"/>
    <w:rsid w:val="00F3262C"/>
    <w:rsid w:val="00F4012D"/>
    <w:rsid w:val="00F53B15"/>
    <w:rsid w:val="00F71388"/>
    <w:rsid w:val="00F948D9"/>
    <w:rsid w:val="00F97D7A"/>
    <w:rsid w:val="00FA3745"/>
    <w:rsid w:val="00FA7906"/>
    <w:rsid w:val="00FC44EF"/>
    <w:rsid w:val="00FC5E20"/>
    <w:rsid w:val="00FD63F2"/>
    <w:rsid w:val="00FE1F57"/>
    <w:rsid w:val="00FF1408"/>
    <w:rsid w:val="00FF60D0"/>
    <w:rsid w:val="00FF7033"/>
    <w:rsid w:val="00FF79E2"/>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345D5B68"/>
  <w15:chartTrackingRefBased/>
  <w15:docId w15:val="{A5FFFC6E-0B14-4ABA-B63B-2C947049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uiPriority w:val="99"/>
    <w:semiHidden/>
    <w:unhideWhenUsed/>
    <w:rsid w:val="00A43E13"/>
    <w:rPr>
      <w:sz w:val="16"/>
      <w:szCs w:val="16"/>
    </w:rPr>
  </w:style>
  <w:style w:type="paragraph" w:styleId="CommentText">
    <w:name w:val="annotation text"/>
    <w:basedOn w:val="Normal"/>
    <w:link w:val="CommentTextChar"/>
    <w:uiPriority w:val="99"/>
    <w:unhideWhenUsed/>
    <w:rsid w:val="00A43E13"/>
  </w:style>
  <w:style w:type="character" w:customStyle="1" w:styleId="CommentTextChar">
    <w:name w:val="Comment Text Char"/>
    <w:basedOn w:val="DefaultParagraphFont"/>
    <w:link w:val="CommentText"/>
    <w:uiPriority w:val="99"/>
    <w:rsid w:val="00A43E13"/>
  </w:style>
  <w:style w:type="paragraph" w:styleId="CommentSubject">
    <w:name w:val="annotation subject"/>
    <w:basedOn w:val="CommentText"/>
    <w:next w:val="CommentText"/>
    <w:link w:val="CommentSubjectChar"/>
    <w:uiPriority w:val="99"/>
    <w:semiHidden/>
    <w:unhideWhenUsed/>
    <w:rsid w:val="00A43E13"/>
    <w:rPr>
      <w:b/>
      <w:bCs/>
    </w:rPr>
  </w:style>
  <w:style w:type="character" w:customStyle="1" w:styleId="CommentSubjectChar">
    <w:name w:val="Comment Subject Char"/>
    <w:basedOn w:val="CommentTextChar"/>
    <w:link w:val="CommentSubject"/>
    <w:uiPriority w:val="99"/>
    <w:semiHidden/>
    <w:rsid w:val="00A43E13"/>
    <w:rPr>
      <w:b/>
      <w:bCs/>
    </w:rPr>
  </w:style>
  <w:style w:type="paragraph" w:customStyle="1" w:styleId="indent-1">
    <w:name w:val="indent-1"/>
    <w:basedOn w:val="Normal"/>
    <w:rsid w:val="00F948D9"/>
    <w:pPr>
      <w:spacing w:before="100" w:beforeAutospacing="1" w:after="100" w:afterAutospacing="1"/>
    </w:pPr>
    <w:rPr>
      <w:sz w:val="24"/>
      <w:szCs w:val="24"/>
    </w:rPr>
  </w:style>
  <w:style w:type="character" w:customStyle="1" w:styleId="paragraph-hierarchy">
    <w:name w:val="paragraph-hierarchy"/>
    <w:basedOn w:val="DefaultParagraphFont"/>
    <w:rsid w:val="00F948D9"/>
  </w:style>
  <w:style w:type="character" w:customStyle="1" w:styleId="paren">
    <w:name w:val="paren"/>
    <w:basedOn w:val="DefaultParagraphFont"/>
    <w:rsid w:val="00F948D9"/>
  </w:style>
  <w:style w:type="paragraph" w:styleId="FootnoteText">
    <w:name w:val="footnote text"/>
    <w:aliases w:val="ALTS FOOTNOTE,ALTS FOOTNOTE Char,Footnote Text Char2 Char,Footnote Text Char2 Char1 Char1 Char,Footnote Text Char2 Char1 Char1 Char Char Char,Footnote Text Char3 Char1 Char,Footnote Text Char3 Char1 Char Char Char,f,fn,fn ,fn Char,fn Char1"/>
    <w:basedOn w:val="Normal"/>
    <w:link w:val="FootnoteTextChar"/>
    <w:unhideWhenUsed/>
    <w:rsid w:val="00F948D9"/>
  </w:style>
  <w:style w:type="character" w:customStyle="1" w:styleId="FootnoteTextChar">
    <w:name w:val="Footnote Text Char"/>
    <w:aliases w:val="ALTS FOOTNOTE Char Char,ALTS FOOTNOTE Char1,Footnote Text Char2 Char Char,Footnote Text Char2 Char1 Char1 Char Char,Footnote Text Char2 Char1 Char1 Char Char Char Char,Footnote Text Char3 Char1 Char Char,f Char,fn  Char,fn Char2"/>
    <w:basedOn w:val="DefaultParagraphFont"/>
    <w:link w:val="FootnoteText"/>
    <w:rsid w:val="00F948D9"/>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uiPriority w:val="99"/>
    <w:unhideWhenUsed/>
    <w:qFormat/>
    <w:rsid w:val="00F948D9"/>
    <w:rPr>
      <w:vertAlign w:val="superscript"/>
    </w:rPr>
  </w:style>
  <w:style w:type="character" w:styleId="Hyperlink">
    <w:name w:val="Hyperlink"/>
    <w:uiPriority w:val="99"/>
    <w:unhideWhenUsed/>
    <w:rsid w:val="00A44F04"/>
    <w:rPr>
      <w:color w:val="0000FF"/>
      <w:u w:val="single"/>
    </w:rPr>
  </w:style>
  <w:style w:type="paragraph" w:styleId="EndnoteText">
    <w:name w:val="endnote text"/>
    <w:basedOn w:val="Normal"/>
    <w:link w:val="EndnoteTextChar"/>
    <w:uiPriority w:val="99"/>
    <w:semiHidden/>
    <w:unhideWhenUsed/>
    <w:rsid w:val="00A44F04"/>
  </w:style>
  <w:style w:type="character" w:customStyle="1" w:styleId="EndnoteTextChar">
    <w:name w:val="Endnote Text Char"/>
    <w:basedOn w:val="DefaultParagraphFont"/>
    <w:link w:val="EndnoteText"/>
    <w:uiPriority w:val="99"/>
    <w:semiHidden/>
    <w:rsid w:val="00A44F04"/>
  </w:style>
  <w:style w:type="character" w:styleId="EndnoteReference">
    <w:name w:val="endnote reference"/>
    <w:basedOn w:val="DefaultParagraphFont"/>
    <w:uiPriority w:val="99"/>
    <w:semiHidden/>
    <w:unhideWhenUsed/>
    <w:rsid w:val="00A44F04"/>
    <w:rPr>
      <w:vertAlign w:val="superscript"/>
    </w:rPr>
  </w:style>
  <w:style w:type="paragraph" w:customStyle="1" w:styleId="ParaNum">
    <w:name w:val="ParaNum"/>
    <w:basedOn w:val="Normal"/>
    <w:rsid w:val="00E22FEA"/>
    <w:pPr>
      <w:numPr>
        <w:numId w:val="2"/>
      </w:numPr>
      <w:spacing w:after="120" w:line="259" w:lineRule="auto"/>
    </w:pPr>
    <w:rPr>
      <w:rFonts w:ascii="Calibri" w:hAnsi="Calibri"/>
      <w:sz w:val="22"/>
      <w:szCs w:val="22"/>
    </w:rPr>
  </w:style>
  <w:style w:type="paragraph" w:styleId="Revision">
    <w:name w:val="Revision"/>
    <w:hidden/>
    <w:uiPriority w:val="99"/>
    <w:semiHidden/>
    <w:rsid w:val="009B2F8B"/>
  </w:style>
  <w:style w:type="character" w:styleId="Mention">
    <w:name w:val="Mention"/>
    <w:basedOn w:val="DefaultParagraphFont"/>
    <w:uiPriority w:val="99"/>
    <w:unhideWhenUsed/>
    <w:rsid w:val="006A0783"/>
    <w:rPr>
      <w:color w:val="2B579A"/>
      <w:shd w:val="clear" w:color="auto" w:fill="E1DFDD"/>
    </w:rPr>
  </w:style>
  <w:style w:type="paragraph" w:customStyle="1" w:styleId="Default">
    <w:name w:val="Default"/>
    <w:rsid w:val="00C278FE"/>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unhideWhenUsed/>
    <w:rsid w:val="000139DF"/>
    <w:rPr>
      <w:color w:val="605E5C"/>
      <w:shd w:val="clear" w:color="auto" w:fill="E1DFDD"/>
    </w:rPr>
  </w:style>
  <w:style w:type="character" w:customStyle="1" w:styleId="markedcontent">
    <w:name w:val="markedcontent"/>
    <w:basedOn w:val="DefaultParagraphFont"/>
    <w:rsid w:val="00C81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Letter.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