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15262" w:rsidRPr="00132592" w:rsidP="002546BB" w14:paraId="3928C267" w14:textId="77777777">
      <w:pPr>
        <w:rPr>
          <w:sz w:val="22"/>
          <w:szCs w:val="22"/>
        </w:rPr>
      </w:pPr>
    </w:p>
    <w:p w:rsidR="0065622C" w:rsidRPr="00132592" w:rsidP="00D45CC6" w14:paraId="36556613" w14:textId="39C90A26">
      <w:pPr>
        <w:jc w:val="center"/>
        <w:rPr>
          <w:sz w:val="22"/>
          <w:szCs w:val="22"/>
        </w:rPr>
      </w:pPr>
      <w:r>
        <w:rPr>
          <w:sz w:val="22"/>
          <w:szCs w:val="22"/>
        </w:rPr>
        <w:t>November 10, 2022</w:t>
      </w:r>
    </w:p>
    <w:p w:rsidR="002546BB" w:rsidRPr="00132592" w:rsidP="00D45CC6" w14:paraId="45F0342C" w14:textId="77777777">
      <w:pPr>
        <w:jc w:val="center"/>
        <w:rPr>
          <w:sz w:val="22"/>
          <w:szCs w:val="22"/>
        </w:rPr>
      </w:pPr>
    </w:p>
    <w:p w:rsidR="00D45CC6" w:rsidRPr="00132592" w:rsidP="00D45CC6" w14:paraId="26D6E225" w14:textId="77777777">
      <w:pPr>
        <w:jc w:val="center"/>
        <w:rPr>
          <w:sz w:val="22"/>
          <w:szCs w:val="22"/>
        </w:rPr>
      </w:pPr>
    </w:p>
    <w:p w:rsidR="0054294B" w:rsidRPr="00132592" w:rsidP="00E21C8E" w14:paraId="1E6BEFB1" w14:textId="613FEC43">
      <w:pPr>
        <w:spacing w:after="120"/>
        <w:contextualSpacing/>
        <w:rPr>
          <w:b/>
          <w:bCs/>
          <w:sz w:val="22"/>
          <w:szCs w:val="22"/>
        </w:rPr>
      </w:pPr>
      <w:r w:rsidRPr="00132592">
        <w:rPr>
          <w:b/>
          <w:sz w:val="22"/>
          <w:szCs w:val="22"/>
          <w:u w:val="single"/>
        </w:rPr>
        <w:t xml:space="preserve">VIA </w:t>
      </w:r>
      <w:r w:rsidRPr="00132592" w:rsidR="00E92871">
        <w:rPr>
          <w:b/>
          <w:sz w:val="22"/>
          <w:szCs w:val="22"/>
          <w:u w:val="single"/>
        </w:rPr>
        <w:t xml:space="preserve">ELECTRONIC DELIVERY AND </w:t>
      </w:r>
      <w:r w:rsidRPr="00132592">
        <w:rPr>
          <w:b/>
          <w:sz w:val="22"/>
          <w:szCs w:val="22"/>
          <w:u w:val="single"/>
        </w:rPr>
        <w:t>CERTIFIED MAIL - RETURN RECEIPT REQUESTED</w:t>
      </w:r>
      <w:r w:rsidRPr="00132592">
        <w:rPr>
          <w:b/>
          <w:bCs/>
          <w:sz w:val="22"/>
          <w:szCs w:val="22"/>
        </w:rPr>
        <w:t xml:space="preserve"> </w:t>
      </w:r>
    </w:p>
    <w:p w:rsidR="00D46269" w:rsidRPr="00132592" w:rsidP="00E21C8E" w14:paraId="3BE2170B" w14:textId="77777777">
      <w:pPr>
        <w:spacing w:after="120"/>
        <w:contextualSpacing/>
        <w:rPr>
          <w:b/>
          <w:bCs/>
          <w:sz w:val="22"/>
          <w:szCs w:val="22"/>
        </w:rPr>
      </w:pPr>
    </w:p>
    <w:p w:rsidR="00E905F7" w:rsidRPr="00132592" w:rsidP="00E905F7" w14:paraId="5A31FEDD" w14:textId="77777777">
      <w:pPr>
        <w:shd w:val="clear" w:color="auto" w:fill="FFFFFF"/>
        <w:rPr>
          <w:color w:val="201F1E"/>
          <w:sz w:val="22"/>
          <w:szCs w:val="22"/>
        </w:rPr>
      </w:pPr>
      <w:r w:rsidRPr="00132592">
        <w:rPr>
          <w:color w:val="201F1E"/>
          <w:sz w:val="22"/>
          <w:szCs w:val="22"/>
        </w:rPr>
        <w:t xml:space="preserve">Fawaz </w:t>
      </w:r>
      <w:bookmarkStart w:id="0" w:name="_Hlk112149204"/>
      <w:r w:rsidRPr="00132592">
        <w:rPr>
          <w:color w:val="201F1E"/>
          <w:sz w:val="22"/>
          <w:szCs w:val="22"/>
        </w:rPr>
        <w:t>Saleem</w:t>
      </w:r>
      <w:bookmarkEnd w:id="0"/>
    </w:p>
    <w:p w:rsidR="007D58FE" w:rsidRPr="00132592" w:rsidP="007D58FE" w14:paraId="08E6715C" w14:textId="4D967155">
      <w:pPr>
        <w:shd w:val="clear" w:color="auto" w:fill="FFFFFF"/>
        <w:rPr>
          <w:color w:val="201F1E"/>
          <w:sz w:val="22"/>
          <w:szCs w:val="22"/>
        </w:rPr>
      </w:pPr>
      <w:r w:rsidRPr="00132592">
        <w:rPr>
          <w:color w:val="201F1E"/>
          <w:sz w:val="22"/>
          <w:szCs w:val="22"/>
        </w:rPr>
        <w:t>CEO</w:t>
      </w:r>
    </w:p>
    <w:p w:rsidR="00BD5D21" w:rsidRPr="00132592" w:rsidP="007D58FE" w14:paraId="1F86A6F1" w14:textId="72AB937F">
      <w:pPr>
        <w:shd w:val="clear" w:color="auto" w:fill="FFFFFF"/>
        <w:rPr>
          <w:color w:val="201F1E"/>
          <w:sz w:val="22"/>
          <w:szCs w:val="22"/>
        </w:rPr>
      </w:pPr>
      <w:r w:rsidRPr="00132592">
        <w:rPr>
          <w:color w:val="201F1E"/>
          <w:sz w:val="22"/>
          <w:szCs w:val="22"/>
        </w:rPr>
        <w:t>Urth Access, LLC</w:t>
      </w:r>
    </w:p>
    <w:p w:rsidR="00E905F7" w:rsidRPr="00132592" w:rsidP="009F495F" w14:paraId="2DDB34A0" w14:textId="4E02909D">
      <w:pPr>
        <w:ind w:left="720" w:hanging="720"/>
        <w:rPr>
          <w:rStyle w:val="ng-binding"/>
          <w:sz w:val="22"/>
          <w:szCs w:val="22"/>
        </w:rPr>
      </w:pPr>
      <w:r w:rsidRPr="00132592">
        <w:rPr>
          <w:rStyle w:val="ng-binding"/>
          <w:sz w:val="22"/>
          <w:szCs w:val="22"/>
        </w:rPr>
        <w:t>2901 W. Coast Hwy</w:t>
      </w:r>
      <w:r w:rsidR="00F73801">
        <w:rPr>
          <w:rStyle w:val="ng-binding"/>
          <w:sz w:val="22"/>
          <w:szCs w:val="22"/>
        </w:rPr>
        <w:t>,</w:t>
      </w:r>
      <w:r w:rsidRPr="00132592">
        <w:rPr>
          <w:rStyle w:val="ng-binding"/>
          <w:sz w:val="22"/>
          <w:szCs w:val="22"/>
        </w:rPr>
        <w:t xml:space="preserve"> Suite 200 </w:t>
      </w:r>
    </w:p>
    <w:p w:rsidR="00E905F7" w:rsidRPr="00132592" w:rsidP="00FE3F89" w14:paraId="19709D2E" w14:textId="5372C2C8">
      <w:pPr>
        <w:ind w:left="720" w:hanging="720"/>
        <w:rPr>
          <w:rStyle w:val="ng-binding"/>
          <w:sz w:val="22"/>
          <w:szCs w:val="22"/>
        </w:rPr>
      </w:pPr>
      <w:r w:rsidRPr="00132592">
        <w:rPr>
          <w:rStyle w:val="ng-binding"/>
          <w:sz w:val="22"/>
          <w:szCs w:val="22"/>
        </w:rPr>
        <w:t>Newport Beach, CA 92663</w:t>
      </w:r>
    </w:p>
    <w:p w:rsidR="0004707D" w:rsidRPr="00132592" w:rsidP="00E905F7" w14:paraId="0EE04C85" w14:textId="6F623FD5">
      <w:pPr>
        <w:ind w:left="720" w:hanging="720"/>
        <w:rPr>
          <w:rStyle w:val="ng-scope"/>
          <w:sz w:val="22"/>
          <w:szCs w:val="22"/>
        </w:rPr>
      </w:pPr>
      <w:hyperlink r:id="rId5" w:history="1">
        <w:r w:rsidRPr="00132592" w:rsidR="00E905F7">
          <w:rPr>
            <w:rStyle w:val="Hyperlink"/>
            <w:sz w:val="22"/>
            <w:szCs w:val="22"/>
          </w:rPr>
          <w:t>f.saleem@urthaccess.com</w:t>
        </w:r>
      </w:hyperlink>
      <w:r w:rsidRPr="00132592" w:rsidR="00E905F7">
        <w:rPr>
          <w:rStyle w:val="ng-scope"/>
          <w:sz w:val="22"/>
          <w:szCs w:val="22"/>
        </w:rPr>
        <w:t xml:space="preserve"> </w:t>
      </w:r>
    </w:p>
    <w:p w:rsidR="00E905F7" w:rsidRPr="00132592" w:rsidP="00E905F7" w14:paraId="09854EF0" w14:textId="77777777">
      <w:pPr>
        <w:ind w:left="720" w:hanging="720"/>
        <w:rPr>
          <w:b/>
          <w:bCs/>
          <w:sz w:val="22"/>
          <w:szCs w:val="22"/>
        </w:rPr>
      </w:pPr>
    </w:p>
    <w:p w:rsidR="0065622C" w:rsidRPr="00132592" w:rsidP="0024681D" w14:paraId="2FC1F342" w14:textId="3ED9FB58">
      <w:pPr>
        <w:spacing w:after="120"/>
        <w:contextualSpacing/>
        <w:rPr>
          <w:sz w:val="22"/>
          <w:szCs w:val="22"/>
        </w:rPr>
      </w:pPr>
      <w:r w:rsidRPr="00132592">
        <w:rPr>
          <w:b/>
          <w:bCs/>
          <w:sz w:val="22"/>
          <w:szCs w:val="22"/>
        </w:rPr>
        <w:t>Re: Official Correspondence from the Federal Communications Commission</w:t>
      </w:r>
      <w:r w:rsidRPr="00132592">
        <w:rPr>
          <w:sz w:val="22"/>
          <w:szCs w:val="22"/>
        </w:rPr>
        <w:t xml:space="preserve"> </w:t>
      </w:r>
    </w:p>
    <w:p w:rsidR="00E4089F" w:rsidRPr="00132592" w:rsidP="00E21C8E" w14:paraId="7ACBDE16" w14:textId="77777777">
      <w:pPr>
        <w:spacing w:after="120"/>
        <w:contextualSpacing/>
        <w:rPr>
          <w:sz w:val="22"/>
          <w:szCs w:val="22"/>
        </w:rPr>
      </w:pPr>
    </w:p>
    <w:p w:rsidR="00E4089F" w:rsidRPr="00132592" w:rsidP="00E21C8E" w14:paraId="66F21FEE" w14:textId="499D2638">
      <w:pPr>
        <w:spacing w:after="120"/>
        <w:rPr>
          <w:sz w:val="22"/>
          <w:szCs w:val="22"/>
        </w:rPr>
      </w:pPr>
      <w:r w:rsidRPr="00132592">
        <w:rPr>
          <w:sz w:val="22"/>
          <w:szCs w:val="22"/>
        </w:rPr>
        <w:t xml:space="preserve">Dear </w:t>
      </w:r>
      <w:r w:rsidRPr="00132592" w:rsidR="00E9672D">
        <w:rPr>
          <w:sz w:val="22"/>
          <w:szCs w:val="22"/>
        </w:rPr>
        <w:t>M</w:t>
      </w:r>
      <w:r w:rsidRPr="00132592" w:rsidR="00566FFB">
        <w:rPr>
          <w:sz w:val="22"/>
          <w:szCs w:val="22"/>
        </w:rPr>
        <w:t>r</w:t>
      </w:r>
      <w:r w:rsidRPr="00132592" w:rsidR="007D58FE">
        <w:rPr>
          <w:sz w:val="22"/>
          <w:szCs w:val="22"/>
        </w:rPr>
        <w:t xml:space="preserve">. </w:t>
      </w:r>
      <w:r w:rsidRPr="00132592" w:rsidR="00E905F7">
        <w:rPr>
          <w:sz w:val="22"/>
          <w:szCs w:val="22"/>
        </w:rPr>
        <w:t>Saleem</w:t>
      </w:r>
      <w:r w:rsidR="00CD5140">
        <w:rPr>
          <w:sz w:val="22"/>
          <w:szCs w:val="22"/>
        </w:rPr>
        <w:t>:</w:t>
      </w:r>
    </w:p>
    <w:p w:rsidR="005621FC" w:rsidRPr="00132592" w:rsidP="008D0E50" w14:paraId="3AD0C45D" w14:textId="7BD1395B">
      <w:pPr>
        <w:shd w:val="clear" w:color="auto" w:fill="FFFFFF"/>
        <w:ind w:firstLine="720"/>
        <w:rPr>
          <w:b/>
          <w:bCs/>
          <w:sz w:val="22"/>
          <w:szCs w:val="22"/>
        </w:rPr>
      </w:pPr>
      <w:bookmarkStart w:id="1" w:name="_Hlk59448135"/>
      <w:r w:rsidRPr="00132592">
        <w:rPr>
          <w:sz w:val="22"/>
          <w:szCs w:val="22"/>
        </w:rPr>
        <w:t>We have determined that</w:t>
      </w:r>
      <w:r w:rsidRPr="00132592" w:rsidR="009844B0">
        <w:rPr>
          <w:sz w:val="22"/>
          <w:szCs w:val="22"/>
        </w:rPr>
        <w:t xml:space="preserve"> </w:t>
      </w:r>
      <w:r w:rsidRPr="00132592" w:rsidR="00E905F7">
        <w:rPr>
          <w:color w:val="201F1E"/>
          <w:sz w:val="22"/>
          <w:szCs w:val="22"/>
        </w:rPr>
        <w:t>Urth Access</w:t>
      </w:r>
      <w:r w:rsidRPr="00132592" w:rsidR="001921DE">
        <w:rPr>
          <w:color w:val="201F1E"/>
          <w:sz w:val="22"/>
          <w:szCs w:val="22"/>
        </w:rPr>
        <w:t xml:space="preserve"> LLC </w:t>
      </w:r>
      <w:r w:rsidRPr="00132592" w:rsidR="009844B0">
        <w:rPr>
          <w:sz w:val="22"/>
          <w:szCs w:val="22"/>
        </w:rPr>
        <w:t>(</w:t>
      </w:r>
      <w:r w:rsidRPr="00132592" w:rsidR="004F5EA9">
        <w:rPr>
          <w:sz w:val="22"/>
          <w:szCs w:val="22"/>
        </w:rPr>
        <w:t>“</w:t>
      </w:r>
      <w:r w:rsidRPr="00132592" w:rsidR="00E905F7">
        <w:rPr>
          <w:sz w:val="22"/>
          <w:szCs w:val="22"/>
        </w:rPr>
        <w:t>Urth Access</w:t>
      </w:r>
      <w:r w:rsidRPr="00132592" w:rsidR="004F5EA9">
        <w:rPr>
          <w:sz w:val="22"/>
          <w:szCs w:val="22"/>
        </w:rPr>
        <w:t>”</w:t>
      </w:r>
      <w:r w:rsidRPr="00132592" w:rsidR="00F466A2">
        <w:rPr>
          <w:sz w:val="22"/>
          <w:szCs w:val="22"/>
        </w:rPr>
        <w:t>)</w:t>
      </w:r>
      <w:bookmarkEnd w:id="1"/>
      <w:r w:rsidRPr="00132592">
        <w:rPr>
          <w:sz w:val="22"/>
          <w:szCs w:val="22"/>
        </w:rPr>
        <w:t xml:space="preserve"> is </w:t>
      </w:r>
      <w:bookmarkStart w:id="2" w:name="_Hlk59448040"/>
      <w:r w:rsidRPr="00132592">
        <w:rPr>
          <w:sz w:val="22"/>
          <w:szCs w:val="22"/>
        </w:rPr>
        <w:t xml:space="preserve">apparently </w:t>
      </w:r>
      <w:bookmarkEnd w:id="2"/>
      <w:r w:rsidRPr="00132592">
        <w:rPr>
          <w:sz w:val="22"/>
          <w:szCs w:val="22"/>
        </w:rPr>
        <w:t xml:space="preserve">originating illegal robocall traffic on behalf of one or more of its clients. You should investigate and, if necessary, cease transmitting </w:t>
      </w:r>
      <w:r w:rsidR="005400D3">
        <w:rPr>
          <w:sz w:val="22"/>
          <w:szCs w:val="22"/>
        </w:rPr>
        <w:t xml:space="preserve">any </w:t>
      </w:r>
      <w:r w:rsidRPr="00132592">
        <w:rPr>
          <w:sz w:val="22"/>
          <w:szCs w:val="22"/>
        </w:rPr>
        <w:t xml:space="preserve">such </w:t>
      </w:r>
      <w:r w:rsidR="007E08A6">
        <w:rPr>
          <w:sz w:val="22"/>
          <w:szCs w:val="22"/>
        </w:rPr>
        <w:t xml:space="preserve">illegal </w:t>
      </w:r>
      <w:r w:rsidRPr="00132592">
        <w:rPr>
          <w:sz w:val="22"/>
          <w:szCs w:val="22"/>
        </w:rPr>
        <w:t>traffic immediately and take steps to prevent your network from continuing to be a source of apparent illegal robocalls.</w:t>
      </w:r>
      <w:r>
        <w:rPr>
          <w:rStyle w:val="FootnoteReference"/>
          <w:sz w:val="22"/>
          <w:szCs w:val="22"/>
        </w:rPr>
        <w:footnoteReference w:id="2"/>
      </w:r>
      <w:r w:rsidRPr="00132592">
        <w:rPr>
          <w:sz w:val="22"/>
          <w:szCs w:val="22"/>
        </w:rPr>
        <w:t xml:space="preserve">  As noted below, downstream voice service providers will be authorized </w:t>
      </w:r>
      <w:r w:rsidRPr="00132592">
        <w:rPr>
          <w:b/>
          <w:bCs/>
          <w:sz w:val="22"/>
          <w:szCs w:val="22"/>
        </w:rPr>
        <w:t xml:space="preserve">to block </w:t>
      </w:r>
      <w:r w:rsidRPr="00132592">
        <w:rPr>
          <w:b/>
          <w:bCs/>
          <w:i/>
          <w:iCs/>
          <w:sz w:val="22"/>
          <w:szCs w:val="22"/>
        </w:rPr>
        <w:t>all</w:t>
      </w:r>
      <w:r w:rsidRPr="00132592">
        <w:rPr>
          <w:b/>
          <w:bCs/>
          <w:sz w:val="22"/>
          <w:szCs w:val="22"/>
        </w:rPr>
        <w:t xml:space="preserve"> of </w:t>
      </w:r>
      <w:r w:rsidRPr="00132592" w:rsidR="00E905F7">
        <w:rPr>
          <w:b/>
          <w:bCs/>
          <w:sz w:val="22"/>
          <w:szCs w:val="22"/>
        </w:rPr>
        <w:t>Urth Access</w:t>
      </w:r>
      <w:r w:rsidRPr="00132592" w:rsidR="00596264">
        <w:rPr>
          <w:b/>
          <w:bCs/>
          <w:sz w:val="22"/>
          <w:szCs w:val="22"/>
        </w:rPr>
        <w:t xml:space="preserve">’s </w:t>
      </w:r>
      <w:r w:rsidRPr="00132592">
        <w:rPr>
          <w:b/>
          <w:bCs/>
          <w:sz w:val="22"/>
          <w:szCs w:val="22"/>
        </w:rPr>
        <w:t>traffic</w:t>
      </w:r>
      <w:r w:rsidRPr="00132592">
        <w:rPr>
          <w:sz w:val="22"/>
          <w:szCs w:val="22"/>
        </w:rPr>
        <w:t xml:space="preserve"> if you do not (1) take steps to “effectively mitigate illegal traffic within 48 hours,” and (2) inform the Commission and the Traceback Consortium within fourteen (14) days of the date of this letter </w:t>
      </w:r>
      <w:r w:rsidRPr="00132592" w:rsidR="007D5628">
        <w:rPr>
          <w:sz w:val="22"/>
          <w:szCs w:val="22"/>
        </w:rPr>
        <w:t>(</w:t>
      </w:r>
      <w:r w:rsidR="008D0E50">
        <w:rPr>
          <w:sz w:val="22"/>
          <w:szCs w:val="22"/>
        </w:rPr>
        <w:t>November 25, 2022</w:t>
      </w:r>
      <w:r w:rsidRPr="00132592" w:rsidR="007D5628">
        <w:rPr>
          <w:sz w:val="22"/>
          <w:szCs w:val="22"/>
        </w:rPr>
        <w:t>)</w:t>
      </w:r>
      <w:r w:rsidRPr="00132592">
        <w:rPr>
          <w:sz w:val="22"/>
          <w:szCs w:val="22"/>
        </w:rPr>
        <w:t xml:space="preserve"> of the steps you have taken to “implement effective measures” to prevent customers from using your network to make illegal calls.</w:t>
      </w:r>
      <w:r>
        <w:rPr>
          <w:sz w:val="22"/>
          <w:szCs w:val="22"/>
          <w:vertAlign w:val="superscript"/>
        </w:rPr>
        <w:footnoteReference w:id="3"/>
      </w:r>
      <w:r w:rsidRPr="00132592">
        <w:rPr>
          <w:sz w:val="22"/>
          <w:szCs w:val="22"/>
        </w:rPr>
        <w:t xml:space="preserve">  Additionally, if you continue knowingly or negligently to originate illegal robocall campaigns after responding to this letter,</w:t>
      </w:r>
      <w:r w:rsidRPr="00132592">
        <w:rPr>
          <w:b/>
          <w:bCs/>
          <w:sz w:val="22"/>
          <w:szCs w:val="22"/>
        </w:rPr>
        <w:t xml:space="preserve"> we may </w:t>
      </w:r>
      <w:r w:rsidR="00E63BFF">
        <w:rPr>
          <w:b/>
          <w:bCs/>
          <w:sz w:val="22"/>
          <w:szCs w:val="22"/>
        </w:rPr>
        <w:t xml:space="preserve">initiate proceedings to </w:t>
      </w:r>
      <w:r w:rsidRPr="00132592">
        <w:rPr>
          <w:b/>
          <w:bCs/>
          <w:sz w:val="22"/>
          <w:szCs w:val="22"/>
        </w:rPr>
        <w:t xml:space="preserve">remove your certification from the Robocall Mitigation Database thereby </w:t>
      </w:r>
      <w:r w:rsidRPr="00132592">
        <w:rPr>
          <w:b/>
          <w:bCs/>
          <w:i/>
          <w:iCs/>
          <w:sz w:val="22"/>
          <w:szCs w:val="22"/>
        </w:rPr>
        <w:t>requiring</w:t>
      </w:r>
      <w:r w:rsidRPr="00132592">
        <w:rPr>
          <w:b/>
          <w:bCs/>
          <w:sz w:val="22"/>
          <w:szCs w:val="22"/>
        </w:rPr>
        <w:t xml:space="preserve"> all intermediate</w:t>
      </w:r>
      <w:r w:rsidR="00FC40CE">
        <w:rPr>
          <w:b/>
          <w:bCs/>
          <w:sz w:val="22"/>
          <w:szCs w:val="22"/>
        </w:rPr>
        <w:t xml:space="preserve"> </w:t>
      </w:r>
      <w:r w:rsidRPr="00132592">
        <w:rPr>
          <w:b/>
          <w:bCs/>
          <w:sz w:val="22"/>
          <w:szCs w:val="22"/>
        </w:rPr>
        <w:t>providers and terminating voice service provider</w:t>
      </w:r>
      <w:r w:rsidRPr="00132592" w:rsidR="001428B6">
        <w:rPr>
          <w:b/>
          <w:bCs/>
          <w:sz w:val="22"/>
          <w:szCs w:val="22"/>
        </w:rPr>
        <w:t>s to cease accepting your traffic.</w:t>
      </w:r>
      <w:r>
        <w:rPr>
          <w:b/>
          <w:bCs/>
          <w:sz w:val="22"/>
          <w:szCs w:val="22"/>
          <w:vertAlign w:val="superscript"/>
        </w:rPr>
        <w:footnoteReference w:id="4"/>
      </w:r>
    </w:p>
    <w:p w:rsidR="007D58FE" w:rsidRPr="00132592" w:rsidP="007D58FE" w14:paraId="66D6C9E3" w14:textId="77777777">
      <w:pPr>
        <w:shd w:val="clear" w:color="auto" w:fill="FFFFFF"/>
        <w:rPr>
          <w:color w:val="201F1E"/>
          <w:sz w:val="22"/>
          <w:szCs w:val="22"/>
        </w:rPr>
      </w:pPr>
    </w:p>
    <w:p w:rsidR="002B06B9" w:rsidP="00142055" w14:paraId="24963C2C" w14:textId="47B6680B">
      <w:pPr>
        <w:autoSpaceDE w:val="0"/>
        <w:autoSpaceDN w:val="0"/>
        <w:adjustRightInd w:val="0"/>
        <w:spacing w:after="120"/>
        <w:ind w:firstLine="720"/>
        <w:rPr>
          <w:sz w:val="22"/>
          <w:szCs w:val="22"/>
        </w:rPr>
      </w:pPr>
      <w:r w:rsidRPr="00132592">
        <w:rPr>
          <w:b/>
          <w:sz w:val="22"/>
          <w:szCs w:val="22"/>
          <w:u w:val="single"/>
        </w:rPr>
        <w:t>Basis for finding apparent violations</w:t>
      </w:r>
      <w:r w:rsidRPr="00132592">
        <w:rPr>
          <w:b/>
          <w:bCs/>
          <w:sz w:val="22"/>
          <w:szCs w:val="22"/>
        </w:rPr>
        <w:t>.</w:t>
      </w:r>
      <w:r w:rsidRPr="00132592">
        <w:rPr>
          <w:sz w:val="22"/>
          <w:szCs w:val="22"/>
        </w:rPr>
        <w:t xml:space="preserve">  You are receiving this letter because our investigation revealed that </w:t>
      </w:r>
      <w:bookmarkStart w:id="3" w:name="_Hlk112139236"/>
      <w:r w:rsidRPr="00132592" w:rsidR="00E905F7">
        <w:rPr>
          <w:sz w:val="22"/>
          <w:szCs w:val="22"/>
        </w:rPr>
        <w:t>Urth Access</w:t>
      </w:r>
      <w:r w:rsidRPr="00132592" w:rsidR="00596264">
        <w:rPr>
          <w:sz w:val="22"/>
          <w:szCs w:val="22"/>
        </w:rPr>
        <w:t xml:space="preserve"> </w:t>
      </w:r>
      <w:bookmarkEnd w:id="3"/>
      <w:r w:rsidRPr="00132592">
        <w:rPr>
          <w:sz w:val="22"/>
          <w:szCs w:val="22"/>
        </w:rPr>
        <w:t xml:space="preserve">apparently originated multiple illegal robocall campaigns, as set forth in Attachment A.  The Federal Communications Commission’s Enforcement Bureau (Bureau) works closely with </w:t>
      </w:r>
      <w:r w:rsidRPr="00132592">
        <w:rPr>
          <w:sz w:val="22"/>
          <w:szCs w:val="22"/>
        </w:rPr>
        <w:t>USTelecom’s</w:t>
      </w:r>
      <w:r w:rsidRPr="00132592">
        <w:rPr>
          <w:sz w:val="22"/>
          <w:szCs w:val="22"/>
        </w:rPr>
        <w:t xml:space="preserve"> Industry Traceback Group (Traceback Consortium), which is the registered industry consortium selected pursuant to the TRACED Act to conduct tracebacks.</w:t>
      </w:r>
      <w:r>
        <w:rPr>
          <w:rStyle w:val="FootnoteReference"/>
          <w:sz w:val="22"/>
          <w:szCs w:val="22"/>
        </w:rPr>
        <w:footnoteReference w:id="5"/>
      </w:r>
      <w:r w:rsidRPr="00132592">
        <w:rPr>
          <w:sz w:val="22"/>
          <w:szCs w:val="22"/>
        </w:rPr>
        <w:t xml:space="preserve">  </w:t>
      </w:r>
      <w:r w:rsidR="00D97E01">
        <w:rPr>
          <w:sz w:val="22"/>
          <w:szCs w:val="22"/>
        </w:rPr>
        <w:t>In October 2022</w:t>
      </w:r>
      <w:r w:rsidR="000A689F">
        <w:rPr>
          <w:sz w:val="22"/>
          <w:szCs w:val="22"/>
        </w:rPr>
        <w:t>,</w:t>
      </w:r>
      <w:r w:rsidRPr="00132592">
        <w:rPr>
          <w:sz w:val="22"/>
          <w:szCs w:val="22"/>
        </w:rPr>
        <w:t xml:space="preserve"> </w:t>
      </w:r>
      <w:r w:rsidRPr="00132592" w:rsidR="001B00FF">
        <w:rPr>
          <w:sz w:val="22"/>
          <w:szCs w:val="22"/>
        </w:rPr>
        <w:t xml:space="preserve">the </w:t>
      </w:r>
      <w:r w:rsidRPr="00132592">
        <w:rPr>
          <w:sz w:val="22"/>
          <w:szCs w:val="22"/>
        </w:rPr>
        <w:t xml:space="preserve">Traceback Consortium investigated prerecorded voice message calls that customers of </w:t>
      </w:r>
      <w:r w:rsidRPr="00132592" w:rsidR="00D71247">
        <w:rPr>
          <w:sz w:val="22"/>
          <w:szCs w:val="22"/>
        </w:rPr>
        <w:t>YouMail</w:t>
      </w:r>
      <w:r w:rsidRPr="00132592" w:rsidR="00D71247">
        <w:rPr>
          <w:sz w:val="22"/>
          <w:szCs w:val="22"/>
        </w:rPr>
        <w:t xml:space="preserve"> </w:t>
      </w:r>
      <w:r w:rsidRPr="00132592">
        <w:rPr>
          <w:sz w:val="22"/>
          <w:szCs w:val="22"/>
        </w:rPr>
        <w:t xml:space="preserve">had </w:t>
      </w:r>
      <w:r w:rsidRPr="00132592">
        <w:rPr>
          <w:sz w:val="22"/>
          <w:szCs w:val="22"/>
        </w:rPr>
        <w:t>flagged as illegal robocalls made without consent.</w:t>
      </w:r>
      <w:r>
        <w:rPr>
          <w:rStyle w:val="FootnoteReference"/>
          <w:sz w:val="22"/>
          <w:szCs w:val="22"/>
        </w:rPr>
        <w:footnoteReference w:id="6"/>
      </w:r>
      <w:r w:rsidRPr="00132592">
        <w:rPr>
          <w:sz w:val="22"/>
          <w:szCs w:val="22"/>
        </w:rPr>
        <w:t xml:space="preserve">  The Traceback Consortium conducted tracebacks and determined that </w:t>
      </w:r>
      <w:r w:rsidRPr="00132592" w:rsidR="00E905F7">
        <w:rPr>
          <w:sz w:val="22"/>
          <w:szCs w:val="22"/>
        </w:rPr>
        <w:t>Urth Access</w:t>
      </w:r>
      <w:r w:rsidRPr="00132592" w:rsidR="00596264">
        <w:rPr>
          <w:sz w:val="22"/>
          <w:szCs w:val="22"/>
        </w:rPr>
        <w:t xml:space="preserve"> </w:t>
      </w:r>
      <w:r w:rsidRPr="00132592">
        <w:rPr>
          <w:sz w:val="22"/>
          <w:szCs w:val="22"/>
        </w:rPr>
        <w:t>originated the calls.  The Traceback Consortium previously notified you of these calls and provided you access to supporting data identifying each call, as indicated in Attachment A.</w:t>
      </w:r>
      <w:r w:rsidR="00142055">
        <w:rPr>
          <w:sz w:val="22"/>
          <w:szCs w:val="22"/>
        </w:rPr>
        <w:t xml:space="preserve">  </w:t>
      </w:r>
      <w:r w:rsidR="00306B9C">
        <w:rPr>
          <w:sz w:val="22"/>
          <w:szCs w:val="22"/>
        </w:rPr>
        <w:t>You</w:t>
      </w:r>
      <w:r w:rsidR="00142055">
        <w:rPr>
          <w:sz w:val="22"/>
          <w:szCs w:val="22"/>
        </w:rPr>
        <w:t xml:space="preserve"> responded to the Traceback Consortium and claimed that </w:t>
      </w:r>
      <w:r w:rsidR="00306B9C">
        <w:rPr>
          <w:sz w:val="22"/>
          <w:szCs w:val="22"/>
        </w:rPr>
        <w:t>your</w:t>
      </w:r>
      <w:r w:rsidR="00142055">
        <w:rPr>
          <w:sz w:val="22"/>
          <w:szCs w:val="22"/>
        </w:rPr>
        <w:t xml:space="preserve"> caller customer</w:t>
      </w:r>
      <w:r w:rsidR="00306B9C">
        <w:rPr>
          <w:sz w:val="22"/>
          <w:szCs w:val="22"/>
        </w:rPr>
        <w:t>(s)</w:t>
      </w:r>
      <w:r w:rsidR="00142055">
        <w:rPr>
          <w:sz w:val="22"/>
          <w:szCs w:val="22"/>
        </w:rPr>
        <w:t xml:space="preserve"> had</w:t>
      </w:r>
      <w:r w:rsidR="00E75359">
        <w:rPr>
          <w:sz w:val="22"/>
          <w:szCs w:val="22"/>
        </w:rPr>
        <w:t xml:space="preserve"> prior express</w:t>
      </w:r>
      <w:r w:rsidR="00142055">
        <w:rPr>
          <w:sz w:val="22"/>
          <w:szCs w:val="22"/>
        </w:rPr>
        <w:t xml:space="preserve"> consent for the calls.  </w:t>
      </w:r>
      <w:r w:rsidR="003B045F">
        <w:rPr>
          <w:sz w:val="22"/>
          <w:szCs w:val="22"/>
        </w:rPr>
        <w:t xml:space="preserve">You are welcome to submit evidence of this consent in response to this letter.  </w:t>
      </w:r>
    </w:p>
    <w:p w:rsidR="002B06B9" w:rsidP="00325596" w14:paraId="010F2809" w14:textId="4C2C3D1A">
      <w:pPr>
        <w:pStyle w:val="ParaNum"/>
        <w:widowControl/>
        <w:numPr>
          <w:ilvl w:val="0"/>
          <w:numId w:val="0"/>
        </w:numPr>
        <w:ind w:firstLine="720"/>
      </w:pPr>
      <w:r>
        <w:t>Even considering</w:t>
      </w:r>
      <w:r>
        <w:t xml:space="preserve"> </w:t>
      </w:r>
      <w:r>
        <w:t>your</w:t>
      </w:r>
      <w:r>
        <w:t xml:space="preserve"> </w:t>
      </w:r>
      <w:r>
        <w:t>assertions</w:t>
      </w:r>
      <w:r>
        <w:t xml:space="preserve"> to the Traceback Consortium </w:t>
      </w:r>
      <w:r>
        <w:t xml:space="preserve">that you had consent for the calls, we </w:t>
      </w:r>
      <w:r>
        <w:t xml:space="preserve">find that </w:t>
      </w:r>
      <w:r>
        <w:t xml:space="preserve">you and </w:t>
      </w:r>
      <w:r>
        <w:t xml:space="preserve">your customers apparently </w:t>
      </w:r>
      <w:r>
        <w:t>lacked</w:t>
      </w:r>
      <w:r>
        <w:t xml:space="preserve"> consent for the calls.  You provided the Traceback Consortium “consent logs” that included website addresses that allegedly captured the called party’s </w:t>
      </w:r>
      <w:r w:rsidRPr="00AB58A7">
        <w:t>consent</w:t>
      </w:r>
      <w:r>
        <w:t>.</w:t>
      </w:r>
      <w:r>
        <w:rPr>
          <w:rStyle w:val="FootnoteReference"/>
        </w:rPr>
        <w:footnoteReference w:id="7"/>
      </w:r>
      <w:r>
        <w:t xml:space="preserve">  Examples included </w:t>
      </w:r>
      <w:r w:rsidR="00C00241">
        <w:t>“</w:t>
      </w:r>
      <w:r>
        <w:t>healthinsnow.org,</w:t>
      </w:r>
      <w:r w:rsidR="00C00241">
        <w:t>”</w:t>
      </w:r>
      <w:r>
        <w:t xml:space="preserve"> </w:t>
      </w:r>
      <w:r w:rsidR="00C00241">
        <w:t>“</w:t>
      </w:r>
      <w:r>
        <w:t>gohealth.healthcare</w:t>
      </w:r>
      <w:r>
        <w:t>,</w:t>
      </w:r>
      <w:r w:rsidR="00C00241">
        <w:t>”</w:t>
      </w:r>
      <w:r>
        <w:t xml:space="preserve"> and </w:t>
      </w:r>
      <w:r w:rsidR="00C00241">
        <w:t>“</w:t>
      </w:r>
      <w:r>
        <w:t>healthme.live</w:t>
      </w:r>
      <w:r>
        <w:t>.</w:t>
      </w:r>
      <w:r w:rsidR="00C00241">
        <w:t>”</w:t>
      </w:r>
      <w:r>
        <w:t xml:space="preserve">  None of these websites appear to have any connection with student loan assistance.  Instead, all relate to health insurance or health care services.  Urth Access apparently knew that these </w:t>
      </w:r>
      <w:r w:rsidR="00C00241">
        <w:t xml:space="preserve">student loan </w:t>
      </w:r>
      <w:r>
        <w:t xml:space="preserve">robocalls </w:t>
      </w:r>
      <w:r w:rsidR="00C00241">
        <w:t>were</w:t>
      </w:r>
      <w:r>
        <w:t xml:space="preserve"> not relate</w:t>
      </w:r>
      <w:r w:rsidR="00C00241">
        <w:t>d</w:t>
      </w:r>
      <w:r>
        <w:t xml:space="preserve"> to health insurance.</w:t>
      </w:r>
      <w:r>
        <w:rPr>
          <w:rStyle w:val="FootnoteReference"/>
        </w:rPr>
        <w:footnoteReference w:id="8"/>
      </w:r>
    </w:p>
    <w:p w:rsidR="002B06B9" w:rsidP="00325596" w14:paraId="3D7F9425" w14:textId="3D3CFB40">
      <w:pPr>
        <w:pStyle w:val="ParaNum"/>
        <w:widowControl/>
        <w:numPr>
          <w:ilvl w:val="0"/>
          <w:numId w:val="0"/>
        </w:numPr>
        <w:ind w:firstLine="720"/>
      </w:pPr>
      <w:r>
        <w:t xml:space="preserve">In addition, the consent logs apparently fail to </w:t>
      </w:r>
      <w:r w:rsidR="00E230DE">
        <w:t xml:space="preserve">provide adequate disclosure that would constitute </w:t>
      </w:r>
      <w:r w:rsidR="00E230DE">
        <w:t>conset</w:t>
      </w:r>
      <w:r w:rsidR="00E230DE">
        <w:t>.  For example, for telemarketing calls,</w:t>
      </w:r>
      <w:r>
        <w:t xml:space="preserve"> the Commission require</w:t>
      </w:r>
      <w:r w:rsidR="00E230DE">
        <w:t>s calling parties</w:t>
      </w:r>
      <w:r>
        <w:t xml:space="preserve"> to provide “clear and conspicuous disclosure” when obtaining prior express written consent.</w:t>
      </w:r>
      <w:r>
        <w:rPr>
          <w:rStyle w:val="FootnoteReference"/>
        </w:rPr>
        <w:footnoteReference w:id="9"/>
      </w:r>
      <w:r>
        <w:t xml:space="preserve">  The websites included TCPA consent disclosures whereby the consumer agreed to receive robocalls from “marketing partners.”  The consumer had to click on the hyperlink associated with “marketing partners.”  The list of “marketing partners” on that second website contained the names of 5,329 entities.</w:t>
      </w:r>
      <w:r>
        <w:rPr>
          <w:rStyle w:val="FootnoteReference"/>
        </w:rPr>
        <w:footnoteReference w:id="10"/>
      </w:r>
      <w:r>
        <w:t xml:space="preserve">  We find that </w:t>
      </w:r>
      <w:r w:rsidR="00E230DE">
        <w:t>listing more than</w:t>
      </w:r>
      <w:r>
        <w:t xml:space="preserve"> 5,000 “marketing partners” on a secondary website is not</w:t>
      </w:r>
      <w:r w:rsidR="00F4469B">
        <w:t xml:space="preserve"> sufficient to demonstrate that the called parties consented to the calls.</w:t>
      </w:r>
      <w:r>
        <w:t xml:space="preserve"> conclude that Urth Access’s customers apparently lacked consent for the calls.</w:t>
      </w:r>
      <w:r>
        <w:rPr>
          <w:rStyle w:val="FootnoteReference"/>
        </w:rPr>
        <w:footnoteReference w:id="11"/>
      </w:r>
      <w:r w:rsidRPr="00F4469B" w:rsidR="00F4469B">
        <w:t xml:space="preserve"> </w:t>
      </w:r>
      <w:r w:rsidR="00F4469B">
        <w:t xml:space="preserve"> </w:t>
      </w:r>
      <w:r w:rsidR="00C00241">
        <w:t>Consequently, b</w:t>
      </w:r>
      <w:r w:rsidR="00F4469B">
        <w:t>ecause</w:t>
      </w:r>
      <w:r w:rsidR="00C00241">
        <w:t>:</w:t>
      </w:r>
      <w:r w:rsidR="00F4469B">
        <w:t xml:space="preserve"> (1) the websites that Urth Access has thus far referenced do not seek or obtain consent to receive robocalls about student loans</w:t>
      </w:r>
      <w:r w:rsidR="00C00241">
        <w:t>;</w:t>
      </w:r>
      <w:r w:rsidR="00F4469B">
        <w:t xml:space="preserve"> (2) the consent was accessible only if the consumer clicked on a hyperlink and reviewed a second webpage</w:t>
      </w:r>
      <w:r w:rsidR="00C00241">
        <w:t>;</w:t>
      </w:r>
      <w:r w:rsidR="00F4469B">
        <w:t xml:space="preserve"> and (3) the second webpage listed 5,329 </w:t>
      </w:r>
      <w:r w:rsidR="00F4469B">
        <w:t>ostensible “marketing partners,” we conclude that Urth Access and it customers apparently lacked consent for the calls.</w:t>
      </w:r>
    </w:p>
    <w:p w:rsidR="00483272" w:rsidRPr="00132592" w:rsidP="00142055" w14:paraId="718268EF" w14:textId="04558D29">
      <w:pPr>
        <w:autoSpaceDE w:val="0"/>
        <w:autoSpaceDN w:val="0"/>
        <w:adjustRightInd w:val="0"/>
        <w:spacing w:after="120"/>
        <w:ind w:firstLine="720"/>
        <w:rPr>
          <w:sz w:val="22"/>
          <w:szCs w:val="22"/>
        </w:rPr>
      </w:pPr>
      <w:r>
        <w:rPr>
          <w:sz w:val="22"/>
          <w:szCs w:val="22"/>
        </w:rPr>
        <w:t>F</w:t>
      </w:r>
      <w:r w:rsidRPr="00132592" w:rsidR="005621FC">
        <w:rPr>
          <w:sz w:val="22"/>
          <w:szCs w:val="22"/>
        </w:rPr>
        <w:t xml:space="preserve">urther, the numerous tracebacks to </w:t>
      </w:r>
      <w:r w:rsidRPr="00132592" w:rsidR="00E905F7">
        <w:rPr>
          <w:sz w:val="22"/>
          <w:szCs w:val="22"/>
        </w:rPr>
        <w:t>Urth Access</w:t>
      </w:r>
      <w:r w:rsidRPr="00132592" w:rsidR="00596264">
        <w:rPr>
          <w:sz w:val="22"/>
          <w:szCs w:val="22"/>
        </w:rPr>
        <w:t xml:space="preserve"> </w:t>
      </w:r>
      <w:r w:rsidRPr="00132592" w:rsidR="005621FC">
        <w:rPr>
          <w:sz w:val="22"/>
          <w:szCs w:val="22"/>
        </w:rPr>
        <w:t xml:space="preserve">as an originator indicate that you are apparently knowingly or negligently originating illegal robocall traffic.  Under our rules (and as explained further below), providers that originate illegal robocall traffic face serious consequences, including blocking by downstream providers of all of the originating provider’s traffic.  To avoid such blocking, you must take corrective actions immediately. </w:t>
      </w:r>
    </w:p>
    <w:p w:rsidR="005059A4" w:rsidRPr="00132592" w:rsidP="005059A4" w14:paraId="4FE4F15B" w14:textId="0E4F726E">
      <w:pPr>
        <w:spacing w:after="120"/>
        <w:ind w:firstLine="720"/>
        <w:rPr>
          <w:sz w:val="22"/>
          <w:szCs w:val="22"/>
        </w:rPr>
      </w:pPr>
      <w:r w:rsidRPr="00132592">
        <w:rPr>
          <w:b/>
          <w:bCs/>
          <w:sz w:val="22"/>
          <w:szCs w:val="22"/>
          <w:u w:val="single"/>
        </w:rPr>
        <w:t>Actions You Should Take Now</w:t>
      </w:r>
      <w:r w:rsidRPr="00132592">
        <w:rPr>
          <w:b/>
          <w:bCs/>
          <w:sz w:val="22"/>
          <w:szCs w:val="22"/>
        </w:rPr>
        <w:t>.</w:t>
      </w:r>
      <w:r w:rsidRPr="00132592">
        <w:rPr>
          <w:sz w:val="22"/>
          <w:szCs w:val="22"/>
        </w:rPr>
        <w:t xml:space="preserve">  </w:t>
      </w:r>
      <w:r w:rsidRPr="00132592" w:rsidR="00E905F7">
        <w:rPr>
          <w:sz w:val="22"/>
          <w:szCs w:val="22"/>
        </w:rPr>
        <w:t>Urth Access</w:t>
      </w:r>
      <w:r w:rsidRPr="00132592" w:rsidR="00596264">
        <w:rPr>
          <w:sz w:val="22"/>
          <w:szCs w:val="22"/>
        </w:rPr>
        <w:t xml:space="preserve"> </w:t>
      </w:r>
      <w:r w:rsidRPr="00132592">
        <w:rPr>
          <w:sz w:val="22"/>
          <w:szCs w:val="22"/>
        </w:rPr>
        <w:t xml:space="preserve">should take the following steps to resolve this matter: </w:t>
      </w:r>
    </w:p>
    <w:p w:rsidR="005059A4" w:rsidRPr="00132592" w:rsidP="005059A4" w14:paraId="1D0C1BBC" w14:textId="77777777">
      <w:pPr>
        <w:numPr>
          <w:ilvl w:val="0"/>
          <w:numId w:val="8"/>
        </w:numPr>
        <w:spacing w:after="120"/>
        <w:rPr>
          <w:sz w:val="22"/>
          <w:szCs w:val="22"/>
        </w:rPr>
      </w:pPr>
      <w:r w:rsidRPr="00132592">
        <w:rPr>
          <w:sz w:val="22"/>
          <w:szCs w:val="22"/>
        </w:rPr>
        <w:t>Promptly investigate the transmissions identified in Attachment A.</w:t>
      </w:r>
    </w:p>
    <w:p w:rsidR="005059A4" w:rsidRPr="00132592" w:rsidP="005059A4" w14:paraId="7490AF72" w14:textId="4B133645">
      <w:pPr>
        <w:numPr>
          <w:ilvl w:val="0"/>
          <w:numId w:val="8"/>
        </w:numPr>
        <w:spacing w:after="120"/>
        <w:rPr>
          <w:sz w:val="22"/>
          <w:szCs w:val="22"/>
        </w:rPr>
      </w:pPr>
      <w:r w:rsidRPr="00132592">
        <w:rPr>
          <w:sz w:val="22"/>
          <w:szCs w:val="22"/>
        </w:rPr>
        <w:t>If necessary, “effectively mitigate” the identified unlawful traffic by determining the source of the traffic and preventing that source from continuing to originate such traffic.</w:t>
      </w:r>
      <w:r>
        <w:rPr>
          <w:rStyle w:val="FootnoteReference"/>
          <w:sz w:val="22"/>
          <w:szCs w:val="22"/>
        </w:rPr>
        <w:footnoteReference w:id="12"/>
      </w:r>
      <w:r w:rsidRPr="00132592">
        <w:rPr>
          <w:sz w:val="22"/>
          <w:szCs w:val="22"/>
        </w:rPr>
        <w:t xml:space="preserve">  </w:t>
      </w:r>
    </w:p>
    <w:p w:rsidR="005059A4" w:rsidRPr="00132592" w:rsidP="005059A4" w14:paraId="6DA7926F" w14:textId="3092DB57">
      <w:pPr>
        <w:numPr>
          <w:ilvl w:val="0"/>
          <w:numId w:val="8"/>
        </w:numPr>
        <w:spacing w:after="120"/>
        <w:rPr>
          <w:sz w:val="22"/>
          <w:szCs w:val="22"/>
        </w:rPr>
      </w:pPr>
      <w:r w:rsidRPr="00132592">
        <w:rPr>
          <w:sz w:val="22"/>
          <w:szCs w:val="22"/>
        </w:rPr>
        <w:t>Implement effective safeguards to prevent customers from using your network as a platform to originate illegal calls.</w:t>
      </w:r>
      <w:r>
        <w:rPr>
          <w:rStyle w:val="FootnoteReference"/>
          <w:sz w:val="22"/>
          <w:szCs w:val="22"/>
        </w:rPr>
        <w:footnoteReference w:id="13"/>
      </w:r>
      <w:r w:rsidRPr="00132592">
        <w:rPr>
          <w:sz w:val="22"/>
          <w:szCs w:val="22"/>
        </w:rPr>
        <w:t xml:space="preserve">  </w:t>
      </w:r>
    </w:p>
    <w:p w:rsidR="005059A4" w:rsidRPr="00132592" w:rsidP="005059A4" w14:paraId="50A9AD6D" w14:textId="759AE2EB">
      <w:pPr>
        <w:numPr>
          <w:ilvl w:val="0"/>
          <w:numId w:val="8"/>
        </w:numPr>
        <w:spacing w:after="120"/>
        <w:rPr>
          <w:sz w:val="22"/>
          <w:szCs w:val="22"/>
        </w:rPr>
      </w:pPr>
      <w:r w:rsidRPr="00132592">
        <w:rPr>
          <w:sz w:val="22"/>
          <w:szCs w:val="22"/>
        </w:rPr>
        <w:t>Within 48 hours, inform the Commission and the Traceback Consortium of steps taken to mitigate the identified apparent illegal traffic.</w:t>
      </w:r>
      <w:r>
        <w:rPr>
          <w:rStyle w:val="FootnoteReference"/>
          <w:sz w:val="22"/>
          <w:szCs w:val="22"/>
        </w:rPr>
        <w:footnoteReference w:id="14"/>
      </w:r>
      <w:r w:rsidRPr="00132592">
        <w:rPr>
          <w:sz w:val="22"/>
          <w:szCs w:val="22"/>
        </w:rPr>
        <w:t xml:space="preserve">  If you have evidence that the transmissions identified in Attachment A were legal calls, present that evidence to the Commission and the Traceback Consortium.</w:t>
      </w:r>
    </w:p>
    <w:p w:rsidR="005059A4" w:rsidRPr="00132592" w:rsidP="005059A4" w14:paraId="186F073E" w14:textId="5FEC83B7">
      <w:pPr>
        <w:numPr>
          <w:ilvl w:val="0"/>
          <w:numId w:val="8"/>
        </w:numPr>
        <w:spacing w:after="120"/>
        <w:rPr>
          <w:sz w:val="22"/>
          <w:szCs w:val="22"/>
        </w:rPr>
      </w:pPr>
      <w:r w:rsidRPr="00132592">
        <w:rPr>
          <w:sz w:val="22"/>
          <w:szCs w:val="22"/>
        </w:rPr>
        <w:t>Within fourteen (14) days of the date of this letter</w:t>
      </w:r>
      <w:r w:rsidRPr="00132592" w:rsidR="00BD5D21">
        <w:rPr>
          <w:sz w:val="22"/>
          <w:szCs w:val="22"/>
        </w:rPr>
        <w:t xml:space="preserve"> </w:t>
      </w:r>
      <w:r w:rsidR="008D0E50">
        <w:rPr>
          <w:sz w:val="22"/>
          <w:szCs w:val="22"/>
        </w:rPr>
        <w:t>(November 25, 2022)</w:t>
      </w:r>
      <w:r w:rsidRPr="00132592" w:rsidR="007D5628">
        <w:rPr>
          <w:sz w:val="22"/>
          <w:szCs w:val="22"/>
        </w:rPr>
        <w:t xml:space="preserve"> </w:t>
      </w:r>
      <w:r w:rsidRPr="00132592">
        <w:rPr>
          <w:sz w:val="22"/>
          <w:szCs w:val="22"/>
        </w:rPr>
        <w:t xml:space="preserve">inform the Commission and the Traceback Consortium of the steps </w:t>
      </w:r>
      <w:r w:rsidRPr="00132592" w:rsidR="00E905F7">
        <w:rPr>
          <w:sz w:val="22"/>
          <w:szCs w:val="22"/>
        </w:rPr>
        <w:t>Urth Access</w:t>
      </w:r>
      <w:r w:rsidRPr="00132592" w:rsidR="00596264">
        <w:rPr>
          <w:sz w:val="22"/>
          <w:szCs w:val="22"/>
        </w:rPr>
        <w:t xml:space="preserve"> </w:t>
      </w:r>
      <w:r w:rsidRPr="00132592">
        <w:rPr>
          <w:sz w:val="22"/>
          <w:szCs w:val="22"/>
        </w:rPr>
        <w:t>is taking to prevent customers from using its network to transmit illegal robocalls (i.e. robocall mitigation measures).</w:t>
      </w:r>
      <w:r>
        <w:rPr>
          <w:sz w:val="22"/>
          <w:szCs w:val="22"/>
          <w:vertAlign w:val="superscript"/>
        </w:rPr>
        <w:footnoteReference w:id="15"/>
      </w:r>
      <w:r w:rsidRPr="00132592">
        <w:rPr>
          <w:sz w:val="22"/>
          <w:szCs w:val="22"/>
        </w:rPr>
        <w:t xml:space="preserve">  Failure to provide this information within 14 days shall be equivalent to having failed to put effective measures in place.</w:t>
      </w:r>
      <w:r>
        <w:rPr>
          <w:sz w:val="22"/>
          <w:szCs w:val="22"/>
          <w:vertAlign w:val="superscript"/>
        </w:rPr>
        <w:footnoteReference w:id="16"/>
      </w:r>
    </w:p>
    <w:p w:rsidR="005059A4" w:rsidRPr="00132592" w:rsidP="005059A4" w14:paraId="32DC18C4" w14:textId="3A2F10F7">
      <w:pPr>
        <w:spacing w:after="120"/>
        <w:ind w:firstLine="720"/>
        <w:rPr>
          <w:sz w:val="22"/>
          <w:szCs w:val="22"/>
        </w:rPr>
      </w:pPr>
      <w:r w:rsidRPr="00132592">
        <w:rPr>
          <w:b/>
          <w:bCs/>
          <w:sz w:val="22"/>
          <w:szCs w:val="22"/>
          <w:u w:val="single"/>
        </w:rPr>
        <w:t>Consequences for Failure to Comply</w:t>
      </w:r>
      <w:r w:rsidRPr="00132592">
        <w:rPr>
          <w:b/>
          <w:bCs/>
          <w:sz w:val="22"/>
          <w:szCs w:val="22"/>
        </w:rPr>
        <w:t>.</w:t>
      </w:r>
      <w:r w:rsidRPr="00132592">
        <w:rPr>
          <w:sz w:val="22"/>
          <w:szCs w:val="22"/>
        </w:rPr>
        <w:t xml:space="preserve">  If after 48 hours of issuance of this letter </w:t>
      </w:r>
      <w:r w:rsidRPr="00132592" w:rsidR="00E905F7">
        <w:rPr>
          <w:sz w:val="22"/>
          <w:szCs w:val="22"/>
        </w:rPr>
        <w:t>Urth Access</w:t>
      </w:r>
      <w:r w:rsidRPr="00132592" w:rsidR="00596264">
        <w:rPr>
          <w:sz w:val="22"/>
          <w:szCs w:val="22"/>
        </w:rPr>
        <w:t xml:space="preserve"> </w:t>
      </w:r>
      <w:r w:rsidRPr="00132592">
        <w:rPr>
          <w:sz w:val="22"/>
          <w:szCs w:val="22"/>
        </w:rPr>
        <w:t xml:space="preserve">continues to route or transmit harmful robocall traffic from the entities involved in these campaigns, downstream U.S.-based voice service providers may begin blocking all calls from </w:t>
      </w:r>
      <w:r w:rsidRPr="00132592" w:rsidR="00E905F7">
        <w:rPr>
          <w:sz w:val="22"/>
          <w:szCs w:val="22"/>
        </w:rPr>
        <w:t>Urth Access</w:t>
      </w:r>
      <w:r w:rsidRPr="00132592" w:rsidR="00596264">
        <w:rPr>
          <w:sz w:val="22"/>
          <w:szCs w:val="22"/>
        </w:rPr>
        <w:t xml:space="preserve"> </w:t>
      </w:r>
      <w:r w:rsidR="00726402">
        <w:rPr>
          <w:sz w:val="22"/>
          <w:szCs w:val="22"/>
        </w:rPr>
        <w:t xml:space="preserve">after </w:t>
      </w:r>
      <w:r w:rsidRPr="00132592">
        <w:rPr>
          <w:sz w:val="22"/>
          <w:szCs w:val="22"/>
        </w:rPr>
        <w:t>notifying the Commission of their decision and providing a brief summary of their basis for making such a determination.</w:t>
      </w:r>
      <w:r>
        <w:rPr>
          <w:rStyle w:val="FootnoteReference"/>
          <w:sz w:val="22"/>
          <w:szCs w:val="22"/>
        </w:rPr>
        <w:footnoteReference w:id="17"/>
      </w:r>
      <w:r w:rsidRPr="00132592">
        <w:rPr>
          <w:sz w:val="22"/>
          <w:szCs w:val="22"/>
        </w:rPr>
        <w:t xml:space="preserve">  If </w:t>
      </w:r>
      <w:r w:rsidRPr="00132592" w:rsidR="00E905F7">
        <w:rPr>
          <w:sz w:val="22"/>
          <w:szCs w:val="22"/>
        </w:rPr>
        <w:t>Urth Access</w:t>
      </w:r>
      <w:r w:rsidRPr="00132592" w:rsidR="00596264">
        <w:rPr>
          <w:sz w:val="22"/>
          <w:szCs w:val="22"/>
        </w:rPr>
        <w:t xml:space="preserve"> </w:t>
      </w:r>
      <w:r w:rsidRPr="00132592">
        <w:rPr>
          <w:sz w:val="22"/>
          <w:szCs w:val="22"/>
        </w:rPr>
        <w:t xml:space="preserve">fails to take sufficient mitigating actions to prevent new and renewing </w:t>
      </w:r>
      <w:r w:rsidRPr="00132592">
        <w:rPr>
          <w:sz w:val="22"/>
          <w:szCs w:val="22"/>
        </w:rPr>
        <w:t xml:space="preserve">customers from using its network  to originate illegal robocalls, then downstream U.S.-based providers may block calls following notice to the Commission.  </w:t>
      </w:r>
      <w:r w:rsidRPr="00132592">
        <w:rPr>
          <w:b/>
          <w:bCs/>
          <w:sz w:val="22"/>
          <w:szCs w:val="22"/>
        </w:rPr>
        <w:t>Failure to act within the deadlines authorizes U.S.-based voice service providers to block ALL call traffic transmitting from your network, permanently.</w:t>
      </w:r>
    </w:p>
    <w:p w:rsidR="0065622C" w:rsidRPr="00132592" w:rsidP="005059A4" w14:paraId="2798F51E" w14:textId="61819487">
      <w:pPr>
        <w:spacing w:after="120"/>
        <w:ind w:firstLine="720"/>
        <w:rPr>
          <w:sz w:val="22"/>
          <w:szCs w:val="22"/>
        </w:rPr>
      </w:pPr>
      <w:r w:rsidRPr="00132592">
        <w:rPr>
          <w:sz w:val="22"/>
          <w:szCs w:val="22"/>
        </w:rPr>
        <w:t xml:space="preserve">Furthermore, if you fail to take the actions listed above, or knowingly or negligently continue to originate unlawful robocall campaigns after responding to this letter, we </w:t>
      </w:r>
      <w:r w:rsidR="004C6F63">
        <w:rPr>
          <w:sz w:val="22"/>
          <w:szCs w:val="22"/>
        </w:rPr>
        <w:t xml:space="preserve">may </w:t>
      </w:r>
      <w:r w:rsidRPr="00132592">
        <w:rPr>
          <w:sz w:val="22"/>
          <w:szCs w:val="22"/>
        </w:rPr>
        <w:t>find that your certification in the Robocall Mitigation Database is deficient and direct the removal of your certification from the database.</w:t>
      </w:r>
      <w:r>
        <w:rPr>
          <w:rStyle w:val="FootnoteReference"/>
          <w:sz w:val="22"/>
          <w:szCs w:val="22"/>
        </w:rPr>
        <w:footnoteReference w:id="18"/>
      </w:r>
      <w:r w:rsidRPr="00132592">
        <w:rPr>
          <w:sz w:val="22"/>
          <w:szCs w:val="22"/>
        </w:rPr>
        <w:t xml:space="preserve">  Removal of a certification from the Robocall Mitigation Database requires all intermediate providers and terminating voice service providers to immediately cease accepting all of your calls.</w:t>
      </w:r>
      <w:r>
        <w:rPr>
          <w:rStyle w:val="FootnoteReference"/>
          <w:sz w:val="22"/>
          <w:szCs w:val="22"/>
        </w:rPr>
        <w:footnoteReference w:id="19"/>
      </w:r>
      <w:r w:rsidRPr="00132592">
        <w:rPr>
          <w:sz w:val="22"/>
          <w:szCs w:val="22"/>
        </w:rPr>
        <w:t xml:space="preserve"> </w:t>
      </w:r>
      <w:r w:rsidRPr="00132592">
        <w:rPr>
          <w:b/>
          <w:bCs/>
          <w:sz w:val="22"/>
          <w:szCs w:val="22"/>
        </w:rPr>
        <w:t xml:space="preserve">Continued origination of illegal robocalls following this notice </w:t>
      </w:r>
      <w:r w:rsidR="007E575D">
        <w:rPr>
          <w:b/>
          <w:bCs/>
          <w:sz w:val="22"/>
          <w:szCs w:val="22"/>
        </w:rPr>
        <w:t xml:space="preserve">and opportunity </w:t>
      </w:r>
      <w:r w:rsidR="00D4772C">
        <w:rPr>
          <w:b/>
          <w:bCs/>
          <w:sz w:val="22"/>
          <w:szCs w:val="22"/>
        </w:rPr>
        <w:t xml:space="preserve">to take action to prevent such illegal robocalls </w:t>
      </w:r>
      <w:r w:rsidRPr="00132592">
        <w:rPr>
          <w:b/>
          <w:bCs/>
          <w:sz w:val="22"/>
          <w:szCs w:val="22"/>
        </w:rPr>
        <w:t>will be used as evidence of a defective certification, and we may initiate proceedings to remove your certification from the Robocall Mitigation Database.</w:t>
      </w:r>
      <w:r>
        <w:rPr>
          <w:rStyle w:val="FootnoteReference"/>
          <w:b/>
          <w:bCs/>
          <w:sz w:val="22"/>
          <w:szCs w:val="22"/>
        </w:rPr>
        <w:footnoteReference w:id="20"/>
      </w:r>
      <w:r w:rsidRPr="00132592">
        <w:rPr>
          <w:sz w:val="22"/>
          <w:szCs w:val="22"/>
        </w:rPr>
        <w:t xml:space="preserve">  You will have an opportunity to respond to that notice.</w:t>
      </w:r>
      <w:r>
        <w:rPr>
          <w:rStyle w:val="FootnoteReference"/>
          <w:sz w:val="22"/>
          <w:szCs w:val="22"/>
        </w:rPr>
        <w:footnoteReference w:id="21"/>
      </w:r>
      <w:r w:rsidRPr="00132592">
        <w:rPr>
          <w:sz w:val="22"/>
          <w:szCs w:val="22"/>
        </w:rPr>
        <w:t xml:space="preserve"> </w:t>
      </w:r>
      <w:r w:rsidRPr="00132592">
        <w:rPr>
          <w:b/>
          <w:bCs/>
          <w:sz w:val="22"/>
          <w:szCs w:val="22"/>
        </w:rPr>
        <w:t xml:space="preserve"> </w:t>
      </w:r>
    </w:p>
    <w:p w:rsidR="00592188" w:rsidRPr="00132592" w:rsidP="00592188" w14:paraId="241748FE" w14:textId="36A4EC7D">
      <w:pPr>
        <w:keepNext/>
        <w:spacing w:after="120"/>
        <w:ind w:firstLine="720"/>
        <w:rPr>
          <w:sz w:val="22"/>
          <w:szCs w:val="22"/>
        </w:rPr>
      </w:pPr>
      <w:r w:rsidRPr="00132592">
        <w:rPr>
          <w:sz w:val="22"/>
          <w:szCs w:val="22"/>
        </w:rPr>
        <w:t xml:space="preserve">Please direct any inquiries or responses regarding this letter to </w:t>
      </w:r>
      <w:r w:rsidRPr="00132592" w:rsidR="00A66650">
        <w:rPr>
          <w:sz w:val="22"/>
          <w:szCs w:val="22"/>
        </w:rPr>
        <w:t xml:space="preserve">Daniel Stepanicich, Attorney Advisor, Telecommunications Consumers Division, Enforcement Bureau, FCC, at </w:t>
      </w:r>
      <w:hyperlink r:id="rId6" w:history="1">
        <w:r w:rsidRPr="00132592" w:rsidR="00A66650">
          <w:rPr>
            <w:rStyle w:val="Hyperlink"/>
            <w:sz w:val="22"/>
            <w:szCs w:val="22"/>
          </w:rPr>
          <w:t>daniel.stepanicich@fcc.gov</w:t>
        </w:r>
      </w:hyperlink>
      <w:r w:rsidRPr="00132592" w:rsidR="00A66650">
        <w:rPr>
          <w:sz w:val="22"/>
          <w:szCs w:val="22"/>
        </w:rPr>
        <w:t xml:space="preserve"> or (202) 418-7451</w:t>
      </w:r>
      <w:r w:rsidRPr="00132592">
        <w:rPr>
          <w:sz w:val="22"/>
          <w:szCs w:val="22"/>
        </w:rPr>
        <w:t xml:space="preserve">; and cc: to Kristi Thompson, Division Chief, Telecommunications Consumers Division, Enforcement Bureau, FCC, at </w:t>
      </w:r>
      <w:hyperlink r:id="rId7" w:history="1">
        <w:r w:rsidRPr="00132592">
          <w:rPr>
            <w:rStyle w:val="Hyperlink"/>
            <w:sz w:val="22"/>
            <w:szCs w:val="22"/>
          </w:rPr>
          <w:t>kristi.thompson@fcc.gov</w:t>
        </w:r>
      </w:hyperlink>
      <w:r w:rsidRPr="00132592">
        <w:rPr>
          <w:sz w:val="22"/>
          <w:szCs w:val="22"/>
        </w:rPr>
        <w:t xml:space="preserve">.  A copy of this letter has been sent to the Traceback Consortium. </w:t>
      </w:r>
    </w:p>
    <w:p w:rsidR="00422C0A" w:rsidRPr="00132592" w:rsidP="00E21C8E" w14:paraId="17D4DA47" w14:textId="77777777">
      <w:pPr>
        <w:keepNext/>
        <w:spacing w:after="120"/>
        <w:ind w:left="4320" w:firstLine="720"/>
        <w:rPr>
          <w:sz w:val="22"/>
          <w:szCs w:val="22"/>
        </w:rPr>
      </w:pPr>
    </w:p>
    <w:p w:rsidR="0065622C" w:rsidRPr="00132592" w:rsidP="00E21C8E" w14:paraId="4D8EB23C" w14:textId="6A7CC6EE">
      <w:pPr>
        <w:keepNext/>
        <w:tabs>
          <w:tab w:val="center" w:pos="7200"/>
        </w:tabs>
        <w:spacing w:after="120"/>
        <w:ind w:left="4320" w:firstLine="720"/>
        <w:rPr>
          <w:sz w:val="22"/>
          <w:szCs w:val="22"/>
        </w:rPr>
      </w:pPr>
      <w:r w:rsidRPr="00132592">
        <w:rPr>
          <w:sz w:val="22"/>
          <w:szCs w:val="22"/>
        </w:rPr>
        <w:t>Sincerely,</w:t>
      </w:r>
      <w:r w:rsidRPr="00132592" w:rsidR="00956D94">
        <w:rPr>
          <w:sz w:val="22"/>
          <w:szCs w:val="22"/>
        </w:rPr>
        <w:tab/>
      </w:r>
    </w:p>
    <w:p w:rsidR="002D446D" w:rsidRPr="00132592" w:rsidP="00E21C8E" w14:paraId="76588B60" w14:textId="77777777">
      <w:pPr>
        <w:keepNext/>
        <w:spacing w:after="120"/>
        <w:ind w:left="5040" w:firstLine="720"/>
        <w:contextualSpacing/>
        <w:rPr>
          <w:sz w:val="22"/>
          <w:szCs w:val="22"/>
        </w:rPr>
      </w:pPr>
    </w:p>
    <w:p w:rsidR="002D446D" w:rsidRPr="00132592" w:rsidP="00E21C8E" w14:paraId="3DE7CB13" w14:textId="2C96F08E">
      <w:pPr>
        <w:keepNext/>
        <w:pBdr>
          <w:bottom w:val="single" w:sz="12" w:space="1" w:color="auto"/>
        </w:pBdr>
        <w:spacing w:after="120"/>
        <w:ind w:left="5040" w:firstLine="720"/>
        <w:contextualSpacing/>
        <w:rPr>
          <w:sz w:val="22"/>
          <w:szCs w:val="22"/>
        </w:rPr>
      </w:pPr>
      <w:r w:rsidRPr="00132592">
        <w:rPr>
          <w:sz w:val="22"/>
          <w:szCs w:val="22"/>
        </w:rPr>
        <w:tab/>
      </w:r>
    </w:p>
    <w:p w:rsidR="00E80D0C" w:rsidRPr="00132592" w:rsidP="00E21C8E" w14:paraId="359744D7" w14:textId="77777777">
      <w:pPr>
        <w:keepNext/>
        <w:pBdr>
          <w:bottom w:val="single" w:sz="12" w:space="1" w:color="auto"/>
        </w:pBdr>
        <w:spacing w:after="120"/>
        <w:ind w:left="5040" w:firstLine="720"/>
        <w:contextualSpacing/>
        <w:rPr>
          <w:sz w:val="22"/>
          <w:szCs w:val="22"/>
        </w:rPr>
      </w:pPr>
    </w:p>
    <w:p w:rsidR="002D446D" w:rsidRPr="00132592" w:rsidP="00E21C8E" w14:paraId="006672A5" w14:textId="39F82156">
      <w:pPr>
        <w:keepNext/>
        <w:spacing w:after="120"/>
        <w:contextualSpacing/>
        <w:rPr>
          <w:sz w:val="22"/>
          <w:szCs w:val="22"/>
        </w:rPr>
      </w:pPr>
      <w:r w:rsidRPr="00132592">
        <w:rPr>
          <w:sz w:val="22"/>
          <w:szCs w:val="22"/>
        </w:rPr>
        <w:tab/>
      </w:r>
      <w:r w:rsidRPr="00132592">
        <w:rPr>
          <w:sz w:val="22"/>
          <w:szCs w:val="22"/>
        </w:rPr>
        <w:tab/>
      </w:r>
      <w:r w:rsidRPr="00132592">
        <w:rPr>
          <w:sz w:val="22"/>
          <w:szCs w:val="22"/>
        </w:rPr>
        <w:tab/>
      </w:r>
      <w:r w:rsidRPr="00132592">
        <w:rPr>
          <w:sz w:val="22"/>
          <w:szCs w:val="22"/>
        </w:rPr>
        <w:tab/>
      </w:r>
      <w:r w:rsidRPr="00132592">
        <w:rPr>
          <w:sz w:val="22"/>
          <w:szCs w:val="22"/>
        </w:rPr>
        <w:tab/>
      </w:r>
      <w:r w:rsidRPr="00132592">
        <w:rPr>
          <w:sz w:val="22"/>
          <w:szCs w:val="22"/>
        </w:rPr>
        <w:tab/>
      </w:r>
      <w:r w:rsidRPr="00132592">
        <w:rPr>
          <w:sz w:val="22"/>
          <w:szCs w:val="22"/>
        </w:rPr>
        <w:tab/>
      </w:r>
      <w:r w:rsidRPr="00132592" w:rsidR="0055737C">
        <w:rPr>
          <w:sz w:val="22"/>
          <w:szCs w:val="22"/>
        </w:rPr>
        <w:t>Loyaan A. Egal</w:t>
      </w:r>
    </w:p>
    <w:p w:rsidR="002D446D" w:rsidRPr="00132592" w:rsidP="002A080B" w14:paraId="7548D624" w14:textId="792E158E">
      <w:pPr>
        <w:keepNext/>
        <w:spacing w:after="120"/>
        <w:ind w:left="5040"/>
        <w:contextualSpacing/>
        <w:rPr>
          <w:sz w:val="22"/>
          <w:szCs w:val="22"/>
        </w:rPr>
      </w:pPr>
      <w:r w:rsidRPr="00132592">
        <w:rPr>
          <w:sz w:val="22"/>
          <w:szCs w:val="22"/>
        </w:rPr>
        <w:t xml:space="preserve">Bureau </w:t>
      </w:r>
      <w:r w:rsidRPr="00132592" w:rsidR="003F539E">
        <w:rPr>
          <w:sz w:val="22"/>
          <w:szCs w:val="22"/>
        </w:rPr>
        <w:t>Chief</w:t>
      </w:r>
      <w:r w:rsidRPr="00132592" w:rsidR="003F539E">
        <w:rPr>
          <w:sz w:val="22"/>
          <w:szCs w:val="22"/>
        </w:rPr>
        <w:br/>
      </w:r>
      <w:r w:rsidRPr="00132592">
        <w:rPr>
          <w:sz w:val="22"/>
          <w:szCs w:val="22"/>
        </w:rPr>
        <w:t>Enforcement Bureau</w:t>
      </w:r>
    </w:p>
    <w:p w:rsidR="00A770B7" w:rsidRPr="00132592" w:rsidP="00E21C8E" w14:paraId="24762795" w14:textId="77777777">
      <w:pPr>
        <w:spacing w:after="120"/>
        <w:contextualSpacing/>
        <w:rPr>
          <w:sz w:val="22"/>
          <w:szCs w:val="22"/>
        </w:rPr>
        <w:sectPr w:rsidSect="00D4432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132592">
        <w:rPr>
          <w:sz w:val="22"/>
          <w:szCs w:val="22"/>
        </w:rPr>
        <w:tab/>
      </w:r>
      <w:r w:rsidRPr="00132592">
        <w:rPr>
          <w:sz w:val="22"/>
          <w:szCs w:val="22"/>
        </w:rPr>
        <w:tab/>
      </w:r>
      <w:r w:rsidRPr="00132592">
        <w:rPr>
          <w:sz w:val="22"/>
          <w:szCs w:val="22"/>
        </w:rPr>
        <w:tab/>
      </w:r>
      <w:r w:rsidRPr="00132592">
        <w:rPr>
          <w:sz w:val="22"/>
          <w:szCs w:val="22"/>
        </w:rPr>
        <w:tab/>
      </w:r>
      <w:r w:rsidRPr="00132592">
        <w:rPr>
          <w:sz w:val="22"/>
          <w:szCs w:val="22"/>
        </w:rPr>
        <w:tab/>
      </w:r>
      <w:r w:rsidRPr="00132592">
        <w:rPr>
          <w:sz w:val="22"/>
          <w:szCs w:val="22"/>
        </w:rPr>
        <w:tab/>
      </w:r>
      <w:r w:rsidRPr="00132592">
        <w:rPr>
          <w:sz w:val="22"/>
          <w:szCs w:val="22"/>
        </w:rPr>
        <w:tab/>
        <w:t>Federal Communications Commission</w:t>
      </w:r>
    </w:p>
    <w:p w:rsidR="002D446D" w:rsidRPr="00132592" w:rsidP="00D44324" w14:paraId="064C17BF" w14:textId="635DE70F">
      <w:pPr>
        <w:spacing w:after="120"/>
        <w:contextualSpacing/>
        <w:rPr>
          <w:sz w:val="22"/>
          <w:szCs w:val="22"/>
        </w:rPr>
      </w:pPr>
    </w:p>
    <w:p w:rsidR="00A533BC" w:rsidRPr="00132592" w:rsidP="00A533BC" w14:paraId="37F2C70F" w14:textId="77777777">
      <w:pPr>
        <w:spacing w:after="120"/>
        <w:contextualSpacing/>
        <w:jc w:val="center"/>
        <w:rPr>
          <w:b/>
          <w:bCs/>
          <w:sz w:val="22"/>
          <w:szCs w:val="22"/>
        </w:rPr>
      </w:pPr>
      <w:r w:rsidRPr="00132592">
        <w:rPr>
          <w:b/>
          <w:bCs/>
          <w:sz w:val="22"/>
          <w:szCs w:val="22"/>
        </w:rPr>
        <w:t>ATTACHMENT A</w:t>
      </w:r>
    </w:p>
    <w:p w:rsidR="00A533BC" w:rsidRPr="00132592" w:rsidP="00A533BC" w14:paraId="77CB6F00" w14:textId="77777777">
      <w:pPr>
        <w:spacing w:after="120"/>
        <w:contextualSpacing/>
        <w:jc w:val="center"/>
        <w:rPr>
          <w:b/>
          <w:bCs/>
          <w:sz w:val="22"/>
          <w:szCs w:val="22"/>
        </w:rPr>
      </w:pPr>
    </w:p>
    <w:tbl>
      <w:tblPr>
        <w:tblW w:w="13045" w:type="dxa"/>
        <w:tblLook w:val="04A0"/>
      </w:tblPr>
      <w:tblGrid>
        <w:gridCol w:w="2569"/>
        <w:gridCol w:w="1534"/>
        <w:gridCol w:w="1808"/>
        <w:gridCol w:w="1819"/>
        <w:gridCol w:w="1701"/>
        <w:gridCol w:w="2268"/>
        <w:gridCol w:w="1346"/>
      </w:tblGrid>
      <w:tr w14:paraId="4245EDD5" w14:textId="77777777" w:rsidTr="00CD7F15">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D90A01" w:rsidRPr="00132592" w:rsidP="00D90A01" w14:paraId="44DB3955" w14:textId="70071394">
            <w:pPr>
              <w:rPr>
                <w:b/>
                <w:bCs/>
                <w:color w:val="000000"/>
                <w:sz w:val="22"/>
                <w:szCs w:val="22"/>
              </w:rPr>
            </w:pPr>
            <w:r w:rsidRPr="00132592">
              <w:rPr>
                <w:b/>
                <w:bCs/>
                <w:color w:val="000000"/>
                <w:sz w:val="22"/>
                <w:szCs w:val="22"/>
              </w:rPr>
              <w:t>Customer</w:t>
            </w:r>
          </w:p>
        </w:tc>
        <w:tc>
          <w:tcPr>
            <w:tcW w:w="1534" w:type="dxa"/>
            <w:tcBorders>
              <w:top w:val="single" w:sz="4" w:space="0" w:color="auto"/>
              <w:left w:val="nil"/>
              <w:bottom w:val="single" w:sz="4" w:space="0" w:color="auto"/>
              <w:right w:val="single" w:sz="4" w:space="0" w:color="auto"/>
            </w:tcBorders>
            <w:shd w:val="clear" w:color="auto" w:fill="auto"/>
          </w:tcPr>
          <w:p w:rsidR="00D90A01" w:rsidRPr="00132592" w:rsidP="00D90A01" w14:paraId="29334C05" w14:textId="65DE314D">
            <w:pPr>
              <w:rPr>
                <w:b/>
                <w:bCs/>
                <w:color w:val="000000"/>
                <w:sz w:val="22"/>
                <w:szCs w:val="22"/>
              </w:rPr>
            </w:pPr>
            <w:r w:rsidRPr="00132592">
              <w:rPr>
                <w:b/>
                <w:bCs/>
                <w:color w:val="000000"/>
                <w:sz w:val="22"/>
                <w:szCs w:val="22"/>
              </w:rPr>
              <w:t>Date of Call</w:t>
            </w:r>
          </w:p>
        </w:tc>
        <w:tc>
          <w:tcPr>
            <w:tcW w:w="1808" w:type="dxa"/>
            <w:tcBorders>
              <w:top w:val="single" w:sz="4" w:space="0" w:color="auto"/>
              <w:left w:val="nil"/>
              <w:bottom w:val="single" w:sz="4" w:space="0" w:color="auto"/>
              <w:right w:val="single" w:sz="4" w:space="0" w:color="auto"/>
            </w:tcBorders>
            <w:shd w:val="clear" w:color="auto" w:fill="auto"/>
          </w:tcPr>
          <w:p w:rsidR="00D90A01" w:rsidRPr="00132592" w:rsidP="00D90A01" w14:paraId="2FF82300" w14:textId="536EDCE1">
            <w:pPr>
              <w:rPr>
                <w:b/>
                <w:bCs/>
                <w:color w:val="000000"/>
                <w:sz w:val="22"/>
                <w:szCs w:val="22"/>
              </w:rPr>
            </w:pPr>
            <w:r w:rsidRPr="00132592">
              <w:rPr>
                <w:b/>
                <w:bCs/>
                <w:color w:val="000000"/>
                <w:sz w:val="22"/>
                <w:szCs w:val="22"/>
              </w:rPr>
              <w:t>Date of ITG Noti</w:t>
            </w:r>
            <w:r w:rsidRPr="00132592" w:rsidR="00952F8B">
              <w:rPr>
                <w:b/>
                <w:bCs/>
                <w:color w:val="000000"/>
                <w:sz w:val="22"/>
                <w:szCs w:val="22"/>
              </w:rPr>
              <w:t>fication</w:t>
            </w:r>
          </w:p>
        </w:tc>
        <w:tc>
          <w:tcPr>
            <w:tcW w:w="1819" w:type="dxa"/>
            <w:tcBorders>
              <w:top w:val="single" w:sz="4" w:space="0" w:color="auto"/>
              <w:left w:val="nil"/>
              <w:bottom w:val="single" w:sz="4" w:space="0" w:color="auto"/>
              <w:right w:val="single" w:sz="4" w:space="0" w:color="auto"/>
            </w:tcBorders>
            <w:shd w:val="clear" w:color="auto" w:fill="auto"/>
          </w:tcPr>
          <w:p w:rsidR="00D90A01" w:rsidRPr="00132592" w:rsidP="00D90A01" w14:paraId="5D637FE7" w14:textId="2B7192A7">
            <w:pPr>
              <w:rPr>
                <w:b/>
                <w:bCs/>
                <w:color w:val="000000"/>
                <w:sz w:val="22"/>
                <w:szCs w:val="22"/>
              </w:rPr>
            </w:pPr>
            <w:r w:rsidRPr="00132592">
              <w:rPr>
                <w:b/>
                <w:bCs/>
                <w:color w:val="000000"/>
                <w:sz w:val="22"/>
                <w:szCs w:val="22"/>
              </w:rPr>
              <w:t>Caller ID</w:t>
            </w:r>
          </w:p>
        </w:tc>
        <w:tc>
          <w:tcPr>
            <w:tcW w:w="1701" w:type="dxa"/>
            <w:tcBorders>
              <w:top w:val="single" w:sz="4" w:space="0" w:color="auto"/>
              <w:left w:val="nil"/>
              <w:bottom w:val="single" w:sz="4" w:space="0" w:color="auto"/>
              <w:right w:val="single" w:sz="4" w:space="0" w:color="auto"/>
            </w:tcBorders>
            <w:shd w:val="clear" w:color="auto" w:fill="auto"/>
          </w:tcPr>
          <w:p w:rsidR="00D90A01" w:rsidRPr="00132592" w:rsidP="00D90A01" w14:paraId="4D2EB701" w14:textId="3F13D0A8">
            <w:pPr>
              <w:rPr>
                <w:b/>
                <w:bCs/>
                <w:color w:val="000000"/>
                <w:sz w:val="22"/>
                <w:szCs w:val="22"/>
              </w:rPr>
            </w:pPr>
            <w:r w:rsidRPr="00132592">
              <w:rPr>
                <w:b/>
                <w:bCs/>
                <w:color w:val="000000"/>
                <w:sz w:val="22"/>
                <w:szCs w:val="22"/>
              </w:rPr>
              <w:t>Called Number</w:t>
            </w:r>
          </w:p>
        </w:tc>
        <w:tc>
          <w:tcPr>
            <w:tcW w:w="2268" w:type="dxa"/>
            <w:tcBorders>
              <w:top w:val="single" w:sz="4" w:space="0" w:color="auto"/>
              <w:left w:val="nil"/>
              <w:bottom w:val="single" w:sz="4" w:space="0" w:color="auto"/>
              <w:right w:val="single" w:sz="4" w:space="0" w:color="auto"/>
            </w:tcBorders>
            <w:shd w:val="clear" w:color="auto" w:fill="auto"/>
          </w:tcPr>
          <w:p w:rsidR="00D90A01" w:rsidRPr="00132592" w:rsidP="00D90A01" w14:paraId="142F8565" w14:textId="76389B83">
            <w:pPr>
              <w:rPr>
                <w:b/>
                <w:bCs/>
                <w:color w:val="000000"/>
                <w:sz w:val="22"/>
                <w:szCs w:val="22"/>
              </w:rPr>
            </w:pPr>
            <w:r w:rsidRPr="00132592">
              <w:rPr>
                <w:b/>
                <w:bCs/>
                <w:color w:val="000000"/>
                <w:sz w:val="22"/>
                <w:szCs w:val="22"/>
              </w:rPr>
              <w:t>Description</w:t>
            </w:r>
          </w:p>
        </w:tc>
        <w:tc>
          <w:tcPr>
            <w:tcW w:w="1346" w:type="dxa"/>
            <w:tcBorders>
              <w:top w:val="single" w:sz="4" w:space="0" w:color="auto"/>
              <w:left w:val="nil"/>
              <w:bottom w:val="single" w:sz="4" w:space="0" w:color="auto"/>
              <w:right w:val="single" w:sz="4" w:space="0" w:color="auto"/>
            </w:tcBorders>
          </w:tcPr>
          <w:p w:rsidR="00D90A01" w:rsidRPr="00132592" w:rsidP="00D90A01" w14:paraId="7E1D39F8" w14:textId="74B2F2AA">
            <w:pPr>
              <w:rPr>
                <w:b/>
                <w:bCs/>
                <w:color w:val="000000"/>
                <w:sz w:val="22"/>
                <w:szCs w:val="22"/>
              </w:rPr>
            </w:pPr>
            <w:r w:rsidRPr="00132592">
              <w:rPr>
                <w:b/>
                <w:bCs/>
                <w:color w:val="000000"/>
                <w:sz w:val="22"/>
                <w:szCs w:val="22"/>
              </w:rPr>
              <w:t>Violation</w:t>
            </w:r>
          </w:p>
        </w:tc>
      </w:tr>
      <w:tr w14:paraId="247120CD"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6E1EDA7A" w14:textId="64AE7DC2">
            <w:pPr>
              <w:rPr>
                <w:sz w:val="22"/>
                <w:szCs w:val="22"/>
              </w:rPr>
            </w:pPr>
            <w:r w:rsidRPr="00132592">
              <w:rPr>
                <w:sz w:val="22"/>
                <w:szCs w:val="22"/>
              </w:rPr>
              <w:t>Go Health</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30B05AE7" w14:textId="291881C0">
            <w:pPr>
              <w:rPr>
                <w:sz w:val="22"/>
                <w:szCs w:val="22"/>
              </w:rPr>
            </w:pPr>
            <w:r w:rsidRPr="00132592">
              <w:rPr>
                <w:color w:val="000000"/>
                <w:sz w:val="22"/>
                <w:szCs w:val="22"/>
              </w:rPr>
              <w:t>Oct 11, 2022 21:44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789C2F00" w14:textId="2C365BD9">
            <w:pPr>
              <w:rPr>
                <w:sz w:val="22"/>
                <w:szCs w:val="22"/>
              </w:rPr>
            </w:pPr>
            <w:r w:rsidRPr="00132592">
              <w:rPr>
                <w:color w:val="000000"/>
                <w:sz w:val="22"/>
                <w:szCs w:val="22"/>
              </w:rPr>
              <w:t>Oct 12, 2022 15:20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1AC40019" w14:textId="0E9D9898">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6C44848A" w14:textId="6F53E8FC">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1B9D8A96" w14:textId="1C8B1049">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05DA5810" w14:textId="724A09D7">
            <w:pPr>
              <w:jc w:val="center"/>
              <w:rPr>
                <w:color w:val="000000"/>
                <w:sz w:val="22"/>
                <w:szCs w:val="22"/>
              </w:rPr>
            </w:pPr>
            <w:r w:rsidRPr="00132592">
              <w:rPr>
                <w:color w:val="000000"/>
                <w:sz w:val="22"/>
                <w:szCs w:val="22"/>
              </w:rPr>
              <w:t>47 USC 227(b); 47 CFR 64.1200(a)</w:t>
            </w:r>
          </w:p>
        </w:tc>
      </w:tr>
      <w:tr w14:paraId="087BE545"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7B86374A" w14:textId="7699DCF5">
            <w:pPr>
              <w:rPr>
                <w:sz w:val="22"/>
                <w:szCs w:val="22"/>
              </w:rPr>
            </w:pPr>
            <w:r w:rsidRPr="00132592">
              <w:rPr>
                <w:sz w:val="22"/>
                <w:szCs w:val="22"/>
              </w:rPr>
              <w:t>Get Your Health Now</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6704195A" w14:textId="3C6E570B">
            <w:pPr>
              <w:rPr>
                <w:sz w:val="22"/>
                <w:szCs w:val="22"/>
              </w:rPr>
            </w:pPr>
            <w:r w:rsidRPr="00132592">
              <w:rPr>
                <w:color w:val="000000"/>
                <w:sz w:val="22"/>
                <w:szCs w:val="22"/>
              </w:rPr>
              <w:t>Oct 11, 2022 16:37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234D7B1F" w14:textId="700E1836">
            <w:pPr>
              <w:rPr>
                <w:sz w:val="22"/>
                <w:szCs w:val="22"/>
              </w:rPr>
            </w:pPr>
            <w:r w:rsidRPr="00132592">
              <w:rPr>
                <w:color w:val="000000"/>
                <w:sz w:val="22"/>
                <w:szCs w:val="22"/>
              </w:rPr>
              <w:t>Oct 12, 2022 18:38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6E791D8A" w14:textId="4EF3ADC0">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376F29B3" w14:textId="011DFC9E">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3E9F8787" w14:textId="1DFC7280">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091F152C" w14:textId="1D68815B">
            <w:pPr>
              <w:jc w:val="center"/>
              <w:rPr>
                <w:color w:val="000000"/>
                <w:sz w:val="22"/>
                <w:szCs w:val="22"/>
              </w:rPr>
            </w:pPr>
            <w:r w:rsidRPr="00132592">
              <w:rPr>
                <w:color w:val="000000"/>
                <w:sz w:val="22"/>
                <w:szCs w:val="22"/>
              </w:rPr>
              <w:t>47 USC 227(b); 47 CFR 64.1200(a)</w:t>
            </w:r>
          </w:p>
        </w:tc>
      </w:tr>
      <w:tr w14:paraId="74215B83"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2824A216" w14:textId="1CA0C2F8">
            <w:pPr>
              <w:rPr>
                <w:sz w:val="22"/>
                <w:szCs w:val="22"/>
              </w:rPr>
            </w:pPr>
            <w:r w:rsidRPr="00132592">
              <w:rPr>
                <w:sz w:val="22"/>
                <w:szCs w:val="22"/>
              </w:rPr>
              <w:t>Healthcare Info</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206AE469" w14:textId="67C3B9F0">
            <w:pPr>
              <w:rPr>
                <w:sz w:val="22"/>
                <w:szCs w:val="22"/>
              </w:rPr>
            </w:pPr>
            <w:r w:rsidRPr="00132592">
              <w:rPr>
                <w:color w:val="000000"/>
                <w:sz w:val="22"/>
                <w:szCs w:val="22"/>
              </w:rPr>
              <w:t>Oct 11, 2022 15:12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3FC94F62" w14:textId="5AC122CC">
            <w:pPr>
              <w:rPr>
                <w:sz w:val="22"/>
                <w:szCs w:val="22"/>
              </w:rPr>
            </w:pPr>
            <w:r w:rsidRPr="00132592">
              <w:rPr>
                <w:color w:val="000000"/>
                <w:sz w:val="22"/>
                <w:szCs w:val="22"/>
              </w:rPr>
              <w:t>Oct 12, 2022 18:31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28F74822" w14:textId="755D70DE">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3196F88D" w14:textId="7670F09E">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07C9F58B" w14:textId="78C151E4">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69DD9170" w14:textId="4D374A76">
            <w:pPr>
              <w:jc w:val="center"/>
              <w:rPr>
                <w:color w:val="000000"/>
                <w:sz w:val="22"/>
                <w:szCs w:val="22"/>
              </w:rPr>
            </w:pPr>
            <w:r w:rsidRPr="00132592">
              <w:rPr>
                <w:color w:val="000000"/>
                <w:sz w:val="22"/>
                <w:szCs w:val="22"/>
              </w:rPr>
              <w:t>47 USC 227(b); 47 CFR 64.1200(a)</w:t>
            </w:r>
          </w:p>
        </w:tc>
      </w:tr>
      <w:tr w14:paraId="4C045147"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321B0F42" w14:textId="14FFBF54">
            <w:pPr>
              <w:rPr>
                <w:sz w:val="22"/>
                <w:szCs w:val="22"/>
              </w:rPr>
            </w:pPr>
            <w:r w:rsidRPr="00132592">
              <w:rPr>
                <w:sz w:val="22"/>
                <w:szCs w:val="22"/>
              </w:rPr>
              <w:t>Go Health</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53251BD6" w14:textId="3E60DA8E">
            <w:pPr>
              <w:rPr>
                <w:sz w:val="22"/>
                <w:szCs w:val="22"/>
              </w:rPr>
            </w:pPr>
            <w:r w:rsidRPr="00132592">
              <w:rPr>
                <w:color w:val="000000"/>
                <w:sz w:val="22"/>
                <w:szCs w:val="22"/>
              </w:rPr>
              <w:t>Oct 11, 2022 17:52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51A9B7CF" w14:textId="24AD4963">
            <w:pPr>
              <w:rPr>
                <w:sz w:val="22"/>
                <w:szCs w:val="22"/>
              </w:rPr>
            </w:pPr>
            <w:r w:rsidRPr="00132592">
              <w:rPr>
                <w:color w:val="000000"/>
                <w:sz w:val="22"/>
                <w:szCs w:val="22"/>
              </w:rPr>
              <w:t>Oct 12, 2022 18:37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76FD5C95" w14:textId="1CBFF7DA">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70D5BEE8" w14:textId="65CBD894">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5309B102" w14:textId="2B6F9D47">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35D874C4" w14:textId="5D3078DE">
            <w:pPr>
              <w:jc w:val="center"/>
              <w:rPr>
                <w:color w:val="000000"/>
                <w:sz w:val="22"/>
                <w:szCs w:val="22"/>
              </w:rPr>
            </w:pPr>
            <w:r w:rsidRPr="00132592">
              <w:rPr>
                <w:color w:val="000000"/>
                <w:sz w:val="22"/>
                <w:szCs w:val="22"/>
              </w:rPr>
              <w:t>47 USC 227(b); 47 CFR 64.1200(a)</w:t>
            </w:r>
          </w:p>
        </w:tc>
      </w:tr>
      <w:tr w14:paraId="2A498497"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7BDB93EC" w14:textId="7D1243ED">
            <w:pPr>
              <w:rPr>
                <w:sz w:val="22"/>
                <w:szCs w:val="22"/>
              </w:rPr>
            </w:pPr>
            <w:r w:rsidRPr="00132592">
              <w:rPr>
                <w:sz w:val="22"/>
                <w:szCs w:val="22"/>
              </w:rPr>
              <w:t>medhealthnow</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31C6D01A" w14:textId="26E51F9A">
            <w:pPr>
              <w:rPr>
                <w:sz w:val="22"/>
                <w:szCs w:val="22"/>
              </w:rPr>
            </w:pPr>
            <w:r w:rsidRPr="00132592">
              <w:rPr>
                <w:color w:val="000000"/>
                <w:sz w:val="22"/>
                <w:szCs w:val="22"/>
              </w:rPr>
              <w:t>Oct 11, 2022 18:03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332A4997" w14:textId="3EFA191B">
            <w:pPr>
              <w:rPr>
                <w:sz w:val="22"/>
                <w:szCs w:val="22"/>
              </w:rPr>
            </w:pPr>
            <w:r w:rsidRPr="00132592">
              <w:rPr>
                <w:color w:val="000000"/>
                <w:sz w:val="22"/>
                <w:szCs w:val="22"/>
              </w:rPr>
              <w:t>Oct 12, 2022 15:18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7855FF04" w14:textId="0B941BC6">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16254281" w14:textId="5840A2D2">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2E7500B1" w14:textId="73F17399">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59A8581F" w14:textId="2799BAFC">
            <w:pPr>
              <w:jc w:val="center"/>
              <w:rPr>
                <w:color w:val="000000"/>
                <w:sz w:val="22"/>
                <w:szCs w:val="22"/>
              </w:rPr>
            </w:pPr>
            <w:r w:rsidRPr="00132592">
              <w:rPr>
                <w:color w:val="000000"/>
                <w:sz w:val="22"/>
                <w:szCs w:val="22"/>
              </w:rPr>
              <w:t>47 USC 227(b); 47 CFR 64.1200(a)</w:t>
            </w:r>
          </w:p>
        </w:tc>
      </w:tr>
      <w:tr w14:paraId="0A2D9D28"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45578FDF" w14:textId="31876BBA">
            <w:pPr>
              <w:rPr>
                <w:sz w:val="22"/>
                <w:szCs w:val="22"/>
              </w:rPr>
            </w:pPr>
            <w:r w:rsidRPr="00132592">
              <w:rPr>
                <w:sz w:val="22"/>
                <w:szCs w:val="22"/>
              </w:rPr>
              <w:t>healthcareinfo</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4B373826" w14:textId="1BA20990">
            <w:pPr>
              <w:rPr>
                <w:sz w:val="22"/>
                <w:szCs w:val="22"/>
              </w:rPr>
            </w:pPr>
            <w:r w:rsidRPr="00132592">
              <w:rPr>
                <w:color w:val="000000"/>
                <w:sz w:val="22"/>
                <w:szCs w:val="22"/>
              </w:rPr>
              <w:t>Oct 11, 2022 15:40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2071F75A" w14:textId="32558A3E">
            <w:pPr>
              <w:rPr>
                <w:sz w:val="22"/>
                <w:szCs w:val="22"/>
              </w:rPr>
            </w:pPr>
            <w:r w:rsidRPr="00132592">
              <w:rPr>
                <w:color w:val="000000"/>
                <w:sz w:val="22"/>
                <w:szCs w:val="22"/>
              </w:rPr>
              <w:t>Oct 12, 2022 18:35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4F2B009A" w14:textId="4BFA2989">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3FC2E3AB" w14:textId="42B33233">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32A4FB27" w14:textId="10ECA760">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7E43CD72" w14:textId="4FA72352">
            <w:pPr>
              <w:jc w:val="center"/>
              <w:rPr>
                <w:color w:val="000000"/>
                <w:sz w:val="22"/>
                <w:szCs w:val="22"/>
              </w:rPr>
            </w:pPr>
            <w:r w:rsidRPr="00132592">
              <w:rPr>
                <w:color w:val="000000"/>
                <w:sz w:val="22"/>
                <w:szCs w:val="22"/>
              </w:rPr>
              <w:t>47 USC 227(b); 47 CFR 64.1200(a)</w:t>
            </w:r>
          </w:p>
        </w:tc>
      </w:tr>
      <w:tr w14:paraId="5DA69963"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0F98D1D0" w14:textId="56562A97">
            <w:pPr>
              <w:rPr>
                <w:sz w:val="22"/>
                <w:szCs w:val="22"/>
              </w:rPr>
            </w:pPr>
            <w:r w:rsidRPr="00132592">
              <w:rPr>
                <w:sz w:val="22"/>
                <w:szCs w:val="22"/>
              </w:rPr>
              <w:t>Dynamic Health</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74B5D939" w14:textId="16A53774">
            <w:pPr>
              <w:rPr>
                <w:sz w:val="22"/>
                <w:szCs w:val="22"/>
              </w:rPr>
            </w:pPr>
            <w:r w:rsidRPr="00132592">
              <w:rPr>
                <w:color w:val="000000"/>
                <w:sz w:val="22"/>
                <w:szCs w:val="22"/>
              </w:rPr>
              <w:t>Oct 11, 2022 17:28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7F5B568A" w14:textId="5B4D2931">
            <w:pPr>
              <w:rPr>
                <w:sz w:val="22"/>
                <w:szCs w:val="22"/>
              </w:rPr>
            </w:pPr>
            <w:r w:rsidRPr="00132592">
              <w:rPr>
                <w:color w:val="000000"/>
                <w:sz w:val="22"/>
                <w:szCs w:val="22"/>
              </w:rPr>
              <w:t>Oct 12, 2022 13:36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6E13EFA1" w14:textId="571845DC">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0DDCEB4D" w14:textId="6F99952F">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6F3BAD88" w14:textId="61DDCBD7">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5F7D1BF6" w14:textId="5A02EF75">
            <w:pPr>
              <w:jc w:val="center"/>
              <w:rPr>
                <w:color w:val="000000"/>
                <w:sz w:val="22"/>
                <w:szCs w:val="22"/>
              </w:rPr>
            </w:pPr>
            <w:r w:rsidRPr="00132592">
              <w:rPr>
                <w:color w:val="000000"/>
                <w:sz w:val="22"/>
                <w:szCs w:val="22"/>
              </w:rPr>
              <w:t>47 USC 227(b); 47 CFR 64.1200(a)</w:t>
            </w:r>
          </w:p>
        </w:tc>
      </w:tr>
      <w:tr w14:paraId="370F2D26"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426534E1" w14:textId="612E9671">
            <w:pPr>
              <w:rPr>
                <w:sz w:val="22"/>
                <w:szCs w:val="22"/>
              </w:rPr>
            </w:pPr>
            <w:r w:rsidRPr="00132592">
              <w:rPr>
                <w:sz w:val="22"/>
                <w:szCs w:val="22"/>
              </w:rPr>
              <w:t>Go Health</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3FAA6AA3" w14:textId="3A3224A7">
            <w:pPr>
              <w:rPr>
                <w:sz w:val="22"/>
                <w:szCs w:val="22"/>
              </w:rPr>
            </w:pPr>
            <w:r w:rsidRPr="00132592">
              <w:rPr>
                <w:color w:val="000000"/>
                <w:sz w:val="22"/>
                <w:szCs w:val="22"/>
              </w:rPr>
              <w:t>Oct 11, 2022 17:59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07C9D353" w14:textId="30B4EB11">
            <w:pPr>
              <w:rPr>
                <w:sz w:val="22"/>
                <w:szCs w:val="22"/>
              </w:rPr>
            </w:pPr>
            <w:r w:rsidRPr="00132592">
              <w:rPr>
                <w:color w:val="000000"/>
                <w:sz w:val="22"/>
                <w:szCs w:val="22"/>
              </w:rPr>
              <w:t>Oct 12, 2022 13:40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64BCBE0A" w14:textId="593CE1A3">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37D369E3" w14:textId="71FD10ED">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449204A7" w14:textId="14E1D944">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30C956AE" w14:textId="3DA94035">
            <w:pPr>
              <w:jc w:val="center"/>
              <w:rPr>
                <w:color w:val="000000"/>
                <w:sz w:val="22"/>
                <w:szCs w:val="22"/>
              </w:rPr>
            </w:pPr>
            <w:r w:rsidRPr="00132592">
              <w:rPr>
                <w:color w:val="000000"/>
                <w:sz w:val="22"/>
                <w:szCs w:val="22"/>
              </w:rPr>
              <w:t xml:space="preserve">47 USC 227(b); 47 </w:t>
            </w:r>
            <w:r w:rsidRPr="00132592">
              <w:rPr>
                <w:color w:val="000000"/>
                <w:sz w:val="22"/>
                <w:szCs w:val="22"/>
              </w:rPr>
              <w:t>CFR 64.1200(a)</w:t>
            </w:r>
          </w:p>
        </w:tc>
      </w:tr>
      <w:tr w14:paraId="59AB8216"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3512E22D" w14:textId="31E50EEA">
            <w:pPr>
              <w:rPr>
                <w:sz w:val="22"/>
                <w:szCs w:val="22"/>
              </w:rPr>
            </w:pPr>
            <w:r w:rsidRPr="00132592">
              <w:rPr>
                <w:sz w:val="22"/>
                <w:szCs w:val="22"/>
              </w:rPr>
              <w:t>Health Now</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307BBB7B" w14:textId="27AAC132">
            <w:pPr>
              <w:rPr>
                <w:sz w:val="22"/>
                <w:szCs w:val="22"/>
              </w:rPr>
            </w:pPr>
            <w:r w:rsidRPr="00132592">
              <w:rPr>
                <w:color w:val="000000"/>
                <w:sz w:val="22"/>
                <w:szCs w:val="22"/>
              </w:rPr>
              <w:t>Oct 11, 2022 22:31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15D41D13" w14:textId="5CC262B8">
            <w:pPr>
              <w:rPr>
                <w:sz w:val="22"/>
                <w:szCs w:val="22"/>
              </w:rPr>
            </w:pPr>
            <w:r w:rsidRPr="00132592">
              <w:rPr>
                <w:color w:val="000000"/>
                <w:sz w:val="22"/>
                <w:szCs w:val="22"/>
              </w:rPr>
              <w:t>Oct 13, 2022 21:22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056C2F02" w14:textId="0FA90674">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22540FAF" w14:textId="147F40D2">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0DEA69A5" w14:textId="3758B73B">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74E393D6" w14:textId="21110FE4">
            <w:pPr>
              <w:jc w:val="center"/>
              <w:rPr>
                <w:color w:val="000000"/>
                <w:sz w:val="22"/>
                <w:szCs w:val="22"/>
              </w:rPr>
            </w:pPr>
            <w:r w:rsidRPr="00132592">
              <w:rPr>
                <w:color w:val="000000"/>
                <w:sz w:val="22"/>
                <w:szCs w:val="22"/>
              </w:rPr>
              <w:t>47 USC 227(b); 47 CFR 64.1200(a)</w:t>
            </w:r>
          </w:p>
        </w:tc>
      </w:tr>
      <w:tr w14:paraId="4A4E017C"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7546B309" w14:textId="7C5823C3">
            <w:pPr>
              <w:rPr>
                <w:sz w:val="22"/>
                <w:szCs w:val="22"/>
              </w:rPr>
            </w:pPr>
            <w:r w:rsidRPr="00132592">
              <w:rPr>
                <w:sz w:val="22"/>
                <w:szCs w:val="22"/>
              </w:rPr>
              <w:t>Healthcare Info</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344F5DC7" w14:textId="28521898">
            <w:pPr>
              <w:rPr>
                <w:sz w:val="22"/>
                <w:szCs w:val="22"/>
              </w:rPr>
            </w:pPr>
            <w:r w:rsidRPr="00132592">
              <w:rPr>
                <w:color w:val="000000"/>
                <w:sz w:val="22"/>
                <w:szCs w:val="22"/>
              </w:rPr>
              <w:t>Oct 11, 2022 15:42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63CD585C" w14:textId="70863A56">
            <w:pPr>
              <w:rPr>
                <w:sz w:val="22"/>
                <w:szCs w:val="22"/>
              </w:rPr>
            </w:pPr>
            <w:r w:rsidRPr="00132592">
              <w:rPr>
                <w:color w:val="000000"/>
                <w:sz w:val="22"/>
                <w:szCs w:val="22"/>
              </w:rPr>
              <w:t>Oct 12, 2022 21:51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57C39CAF" w14:textId="62695A9E">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065EC88F" w14:textId="70E68157">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7D40C766" w14:textId="617A2EBE">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392E8FC3" w14:textId="269B611E">
            <w:pPr>
              <w:jc w:val="center"/>
              <w:rPr>
                <w:color w:val="000000"/>
                <w:sz w:val="22"/>
                <w:szCs w:val="22"/>
              </w:rPr>
            </w:pPr>
            <w:r w:rsidRPr="00132592">
              <w:rPr>
                <w:color w:val="000000"/>
                <w:sz w:val="22"/>
                <w:szCs w:val="22"/>
              </w:rPr>
              <w:t>47 USC 227(b); 47 CFR 64.1200(a)</w:t>
            </w:r>
          </w:p>
        </w:tc>
      </w:tr>
      <w:tr w14:paraId="3B3A9906"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17D872B1" w14:textId="0B8A02E8">
            <w:pPr>
              <w:rPr>
                <w:sz w:val="22"/>
                <w:szCs w:val="22"/>
              </w:rPr>
            </w:pPr>
            <w:r w:rsidRPr="00132592">
              <w:rPr>
                <w:sz w:val="22"/>
                <w:szCs w:val="22"/>
              </w:rPr>
              <w:t>Healthcare Info</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65B4A4F9" w14:textId="6878DB24">
            <w:pPr>
              <w:rPr>
                <w:sz w:val="22"/>
                <w:szCs w:val="22"/>
              </w:rPr>
            </w:pPr>
            <w:r w:rsidRPr="00132592">
              <w:rPr>
                <w:color w:val="000000"/>
                <w:sz w:val="22"/>
                <w:szCs w:val="22"/>
              </w:rPr>
              <w:t>Oct 11, 2022 16:25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5E29D8E5" w14:textId="7F7BF57A">
            <w:pPr>
              <w:rPr>
                <w:sz w:val="22"/>
                <w:szCs w:val="22"/>
              </w:rPr>
            </w:pPr>
            <w:r w:rsidRPr="00132592">
              <w:rPr>
                <w:color w:val="000000"/>
                <w:sz w:val="22"/>
                <w:szCs w:val="22"/>
              </w:rPr>
              <w:t>Oct 12, 2022 21:53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0672AD60" w14:textId="7EC64E5D">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7871E9BA" w14:textId="55FCEAA1">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45208B11" w14:textId="276026D6">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0C83E6D1" w14:textId="31E973B9">
            <w:pPr>
              <w:jc w:val="center"/>
              <w:rPr>
                <w:color w:val="000000"/>
                <w:sz w:val="22"/>
                <w:szCs w:val="22"/>
              </w:rPr>
            </w:pPr>
            <w:r w:rsidRPr="00132592">
              <w:rPr>
                <w:color w:val="000000"/>
                <w:sz w:val="22"/>
                <w:szCs w:val="22"/>
              </w:rPr>
              <w:t>47 USC 227(b); 47 CFR 64.1200(a)</w:t>
            </w:r>
          </w:p>
        </w:tc>
      </w:tr>
      <w:tr w14:paraId="2838A93F" w14:textId="77777777" w:rsidTr="005E54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717959" w:rsidRPr="00132592" w:rsidP="00717959" w14:paraId="54923B86" w14:textId="4375494A">
            <w:pPr>
              <w:rPr>
                <w:sz w:val="22"/>
                <w:szCs w:val="22"/>
              </w:rPr>
            </w:pPr>
            <w:r w:rsidRPr="00132592">
              <w:rPr>
                <w:sz w:val="22"/>
                <w:szCs w:val="22"/>
              </w:rPr>
              <w:t>Health Labs</w:t>
            </w:r>
          </w:p>
        </w:tc>
        <w:tc>
          <w:tcPr>
            <w:tcW w:w="1534" w:type="dxa"/>
            <w:tcBorders>
              <w:top w:val="single" w:sz="4" w:space="0" w:color="auto"/>
              <w:left w:val="nil"/>
              <w:bottom w:val="single" w:sz="4" w:space="0" w:color="auto"/>
              <w:right w:val="single" w:sz="4" w:space="0" w:color="auto"/>
            </w:tcBorders>
            <w:shd w:val="clear" w:color="auto" w:fill="auto"/>
          </w:tcPr>
          <w:p w:rsidR="00717959" w:rsidRPr="00132592" w:rsidP="00717959" w14:paraId="09025548" w14:textId="51853DC2">
            <w:pPr>
              <w:rPr>
                <w:sz w:val="22"/>
                <w:szCs w:val="22"/>
              </w:rPr>
            </w:pPr>
            <w:r w:rsidRPr="00132592">
              <w:rPr>
                <w:color w:val="000000"/>
                <w:sz w:val="22"/>
                <w:szCs w:val="22"/>
              </w:rPr>
              <w:t>Oct 11, 2022 16:43 UTC</w:t>
            </w:r>
          </w:p>
        </w:tc>
        <w:tc>
          <w:tcPr>
            <w:tcW w:w="1808" w:type="dxa"/>
            <w:tcBorders>
              <w:top w:val="single" w:sz="4" w:space="0" w:color="auto"/>
              <w:left w:val="nil"/>
              <w:bottom w:val="single" w:sz="4" w:space="0" w:color="auto"/>
              <w:right w:val="single" w:sz="4" w:space="0" w:color="auto"/>
            </w:tcBorders>
            <w:shd w:val="clear" w:color="auto" w:fill="auto"/>
          </w:tcPr>
          <w:p w:rsidR="00717959" w:rsidRPr="00132592" w:rsidP="00717959" w14:paraId="398E5737" w14:textId="7F9F1FCD">
            <w:pPr>
              <w:rPr>
                <w:sz w:val="22"/>
                <w:szCs w:val="22"/>
              </w:rPr>
            </w:pPr>
            <w:r w:rsidRPr="00132592">
              <w:rPr>
                <w:color w:val="000000"/>
                <w:sz w:val="22"/>
                <w:szCs w:val="22"/>
              </w:rPr>
              <w:t>Oct 13, 2022 21:21 UTC</w:t>
            </w:r>
          </w:p>
        </w:tc>
        <w:tc>
          <w:tcPr>
            <w:tcW w:w="1819" w:type="dxa"/>
            <w:tcBorders>
              <w:top w:val="single" w:sz="4" w:space="0" w:color="auto"/>
              <w:left w:val="nil"/>
              <w:bottom w:val="single" w:sz="4" w:space="0" w:color="auto"/>
              <w:right w:val="single" w:sz="4" w:space="0" w:color="auto"/>
            </w:tcBorders>
            <w:shd w:val="clear" w:color="auto" w:fill="auto"/>
          </w:tcPr>
          <w:p w:rsidR="00717959" w:rsidRPr="00132592" w:rsidP="00717959" w14:paraId="24B4AB54" w14:textId="18B9465D">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717959" w:rsidRPr="00132592" w:rsidP="00717959" w14:paraId="421D80E5" w14:textId="62C1FE6C">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717959" w:rsidRPr="00132592" w:rsidP="00717959" w14:paraId="00E6A0B2" w14:textId="2EBEA43A">
            <w:pPr>
              <w:rPr>
                <w:sz w:val="22"/>
                <w:szCs w:val="22"/>
              </w:rPr>
            </w:pPr>
            <w:r w:rsidRPr="00132592">
              <w:rPr>
                <w:color w:val="000000"/>
                <w:sz w:val="22"/>
                <w:szCs w:val="22"/>
              </w:rPr>
              <w:t>StudentLoan-Payments-P1</w:t>
            </w:r>
          </w:p>
        </w:tc>
        <w:tc>
          <w:tcPr>
            <w:tcW w:w="1346" w:type="dxa"/>
            <w:tcBorders>
              <w:top w:val="single" w:sz="4" w:space="0" w:color="auto"/>
              <w:left w:val="nil"/>
              <w:bottom w:val="single" w:sz="4" w:space="0" w:color="auto"/>
              <w:right w:val="single" w:sz="4" w:space="0" w:color="auto"/>
            </w:tcBorders>
            <w:shd w:val="clear" w:color="auto" w:fill="auto"/>
          </w:tcPr>
          <w:p w:rsidR="00717959" w:rsidRPr="00132592" w:rsidP="00717959" w14:paraId="2AAF756D" w14:textId="7AADB973">
            <w:pPr>
              <w:jc w:val="center"/>
              <w:rPr>
                <w:color w:val="000000"/>
                <w:sz w:val="22"/>
                <w:szCs w:val="22"/>
              </w:rPr>
            </w:pPr>
            <w:r w:rsidRPr="00132592">
              <w:rPr>
                <w:color w:val="000000"/>
                <w:sz w:val="22"/>
                <w:szCs w:val="22"/>
              </w:rPr>
              <w:t>47 USC 227(b); 47 CFR 64.1200(a)</w:t>
            </w:r>
          </w:p>
        </w:tc>
      </w:tr>
      <w:tr w14:paraId="4383EE92"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RPr="00132592" w:rsidP="008D0E50" w14:paraId="4F8D0AF8" w14:textId="7CFF0E28">
            <w:pPr>
              <w:rPr>
                <w:sz w:val="22"/>
                <w:szCs w:val="22"/>
              </w:rPr>
            </w:pPr>
            <w:r w:rsidRPr="002C71F5">
              <w:rPr>
                <w:sz w:val="22"/>
                <w:szCs w:val="22"/>
              </w:rPr>
              <w:t>Health Me</w:t>
            </w:r>
          </w:p>
        </w:tc>
        <w:tc>
          <w:tcPr>
            <w:tcW w:w="1534" w:type="dxa"/>
            <w:tcBorders>
              <w:top w:val="single" w:sz="4" w:space="0" w:color="auto"/>
              <w:left w:val="nil"/>
              <w:bottom w:val="single" w:sz="4" w:space="0" w:color="auto"/>
              <w:right w:val="single" w:sz="4" w:space="0" w:color="auto"/>
            </w:tcBorders>
            <w:shd w:val="clear" w:color="auto" w:fill="auto"/>
          </w:tcPr>
          <w:p w:rsidR="008D0E50" w:rsidRPr="00132592" w:rsidP="008D0E50" w14:paraId="70EAB2BE" w14:textId="5FCEFD48">
            <w:pPr>
              <w:rPr>
                <w:color w:val="000000"/>
                <w:sz w:val="22"/>
                <w:szCs w:val="22"/>
              </w:rPr>
            </w:pPr>
            <w:r w:rsidRPr="005F0AC6">
              <w:rPr>
                <w:sz w:val="22"/>
                <w:szCs w:val="22"/>
              </w:rPr>
              <w:t>Oct 27, 2022 21:57 UTC</w:t>
            </w:r>
          </w:p>
        </w:tc>
        <w:tc>
          <w:tcPr>
            <w:tcW w:w="1808" w:type="dxa"/>
            <w:tcBorders>
              <w:top w:val="single" w:sz="4" w:space="0" w:color="auto"/>
              <w:left w:val="nil"/>
              <w:bottom w:val="single" w:sz="4" w:space="0" w:color="auto"/>
              <w:right w:val="single" w:sz="4" w:space="0" w:color="auto"/>
            </w:tcBorders>
            <w:shd w:val="clear" w:color="auto" w:fill="auto"/>
          </w:tcPr>
          <w:p w:rsidR="008D0E50" w:rsidRPr="00132592" w:rsidP="008D0E50" w14:paraId="76D81D61" w14:textId="22D78A9A">
            <w:pPr>
              <w:rPr>
                <w:color w:val="000000"/>
                <w:sz w:val="22"/>
                <w:szCs w:val="22"/>
              </w:rPr>
            </w:pPr>
            <w:r w:rsidRPr="005F0AC6">
              <w:rPr>
                <w:sz w:val="22"/>
                <w:szCs w:val="22"/>
              </w:rPr>
              <w:t>Oct 28, 2022 15:07 UTC</w:t>
            </w:r>
          </w:p>
        </w:tc>
        <w:tc>
          <w:tcPr>
            <w:tcW w:w="1819" w:type="dxa"/>
            <w:tcBorders>
              <w:top w:val="single" w:sz="4" w:space="0" w:color="auto"/>
              <w:left w:val="nil"/>
              <w:bottom w:val="single" w:sz="4" w:space="0" w:color="auto"/>
              <w:right w:val="single" w:sz="4" w:space="0" w:color="auto"/>
            </w:tcBorders>
            <w:shd w:val="clear" w:color="auto" w:fill="auto"/>
          </w:tcPr>
          <w:p w:rsidR="008D0E50" w:rsidRPr="00132592" w:rsidP="008D0E50" w14:paraId="5BEC03E7" w14:textId="16CD2BF0">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132592" w:rsidP="008D0E50" w14:paraId="085EA3E4" w14:textId="474A7091">
            <w:pPr>
              <w:rPr>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5F0AC6" w:rsidP="008D0E50" w14:paraId="2B2D2E18" w14:textId="77777777">
            <w:pPr>
              <w:rPr>
                <w:sz w:val="22"/>
                <w:szCs w:val="22"/>
              </w:rPr>
            </w:pPr>
            <w:r w:rsidRPr="005F0AC6">
              <w:rPr>
                <w:sz w:val="22"/>
                <w:szCs w:val="22"/>
              </w:rPr>
              <w:t>StudentLoan</w:t>
            </w:r>
            <w:r w:rsidRPr="005F0AC6">
              <w:rPr>
                <w:sz w:val="22"/>
                <w:szCs w:val="22"/>
              </w:rPr>
              <w:t>-$10,000-Removal</w:t>
            </w:r>
          </w:p>
          <w:p w:rsidR="008D0E50" w:rsidRPr="00132592" w:rsidP="008D0E50" w14:paraId="31C215AE" w14:textId="77777777">
            <w:pPr>
              <w:rPr>
                <w:color w:val="000000"/>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7DC6825C" w14:textId="7F4E1812">
            <w:pPr>
              <w:jc w:val="center"/>
              <w:rPr>
                <w:color w:val="000000"/>
                <w:sz w:val="22"/>
                <w:szCs w:val="22"/>
              </w:rPr>
            </w:pPr>
            <w:r w:rsidRPr="00132592">
              <w:rPr>
                <w:color w:val="000000"/>
                <w:sz w:val="22"/>
                <w:szCs w:val="22"/>
              </w:rPr>
              <w:t>47 USC 227(b); 47 CFR 64.1200(a)</w:t>
            </w:r>
          </w:p>
        </w:tc>
      </w:tr>
      <w:tr w14:paraId="0C55BFA4"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RPr="002C71F5" w:rsidP="008D0E50" w14:paraId="18229FF2" w14:textId="50A5BCB6">
            <w:pPr>
              <w:rPr>
                <w:sz w:val="22"/>
                <w:szCs w:val="22"/>
              </w:rPr>
            </w:pPr>
            <w:r w:rsidRPr="002C71F5">
              <w:rPr>
                <w:sz w:val="22"/>
                <w:szCs w:val="22"/>
              </w:rPr>
              <w:t>Health Now 123</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035EBC1E" w14:textId="01456C8F">
            <w:pPr>
              <w:rPr>
                <w:sz w:val="22"/>
                <w:szCs w:val="22"/>
              </w:rPr>
            </w:pPr>
            <w:r w:rsidRPr="005F0AC6">
              <w:rPr>
                <w:sz w:val="22"/>
                <w:szCs w:val="22"/>
              </w:rPr>
              <w:t>Oct 27, 2022 21:58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64637D06" w14:textId="5F6266A4">
            <w:pPr>
              <w:rPr>
                <w:sz w:val="22"/>
                <w:szCs w:val="22"/>
              </w:rPr>
            </w:pPr>
            <w:r w:rsidRPr="005F0AC6">
              <w:rPr>
                <w:sz w:val="22"/>
                <w:szCs w:val="22"/>
              </w:rPr>
              <w:t>Oct 28, 2022 21:11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57C03CE0" w14:textId="581B5AF8">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04EC3439" w14:textId="0DCD43C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404F8BE2" w14:textId="77777777">
            <w:pPr>
              <w:rPr>
                <w:sz w:val="22"/>
                <w:szCs w:val="22"/>
              </w:rPr>
            </w:pPr>
            <w:r w:rsidRPr="00D76E51">
              <w:rPr>
                <w:sz w:val="22"/>
                <w:szCs w:val="22"/>
              </w:rPr>
              <w:t>StudentLoan</w:t>
            </w:r>
            <w:r w:rsidRPr="00D76E51">
              <w:rPr>
                <w:sz w:val="22"/>
                <w:szCs w:val="22"/>
              </w:rPr>
              <w:t>-$10,000-Removal</w:t>
            </w:r>
          </w:p>
          <w:p w:rsidR="008D0E50" w:rsidRPr="005F0AC6" w:rsidP="008D0E50" w14:paraId="749C0FD3"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2217F66F" w14:textId="46B63358">
            <w:pPr>
              <w:jc w:val="center"/>
              <w:rPr>
                <w:color w:val="000000"/>
                <w:sz w:val="22"/>
                <w:szCs w:val="22"/>
              </w:rPr>
            </w:pPr>
            <w:r w:rsidRPr="00132592">
              <w:rPr>
                <w:color w:val="000000"/>
                <w:sz w:val="22"/>
                <w:szCs w:val="22"/>
              </w:rPr>
              <w:t>47 USC 227(b); 47 CFR 64.1200(a)</w:t>
            </w:r>
          </w:p>
        </w:tc>
      </w:tr>
      <w:tr w14:paraId="46AC0166"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RPr="002C71F5" w:rsidP="008D0E50" w14:paraId="5C5C93B2" w14:textId="4FBE7ED8">
            <w:pPr>
              <w:rPr>
                <w:sz w:val="22"/>
                <w:szCs w:val="22"/>
              </w:rPr>
            </w:pPr>
            <w:r w:rsidRPr="002C71F5">
              <w:rPr>
                <w:sz w:val="22"/>
                <w:szCs w:val="22"/>
              </w:rPr>
              <w:t>Health Me</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669AE988" w14:textId="5A1507AC">
            <w:pPr>
              <w:rPr>
                <w:sz w:val="22"/>
                <w:szCs w:val="22"/>
              </w:rPr>
            </w:pPr>
            <w:r w:rsidRPr="005F0AC6">
              <w:rPr>
                <w:sz w:val="22"/>
                <w:szCs w:val="22"/>
              </w:rPr>
              <w:t>Oct 27, 2022 21:59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5FFDE663" w14:textId="73D43E34">
            <w:pPr>
              <w:rPr>
                <w:sz w:val="22"/>
                <w:szCs w:val="22"/>
              </w:rPr>
            </w:pPr>
            <w:r w:rsidRPr="005F0AC6">
              <w:rPr>
                <w:sz w:val="22"/>
                <w:szCs w:val="22"/>
              </w:rPr>
              <w:t>Oct 28, 2022 16:46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2A7C57F5" w14:textId="2C7DD28F">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7F470C5F" w14:textId="16AD8EEC">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33B89F10" w14:textId="77777777">
            <w:pPr>
              <w:rPr>
                <w:sz w:val="22"/>
                <w:szCs w:val="22"/>
              </w:rPr>
            </w:pPr>
            <w:r w:rsidRPr="00D76E51">
              <w:rPr>
                <w:sz w:val="22"/>
                <w:szCs w:val="22"/>
              </w:rPr>
              <w:t>StudentLoan</w:t>
            </w:r>
            <w:r w:rsidRPr="00D76E51">
              <w:rPr>
                <w:sz w:val="22"/>
                <w:szCs w:val="22"/>
              </w:rPr>
              <w:t>-$10,000-Removal</w:t>
            </w:r>
          </w:p>
          <w:p w:rsidR="008D0E50" w:rsidRPr="00D76E51" w:rsidP="008D0E50" w14:paraId="63B28575"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52B6B78A" w14:textId="4CBAE73A">
            <w:pPr>
              <w:jc w:val="center"/>
              <w:rPr>
                <w:color w:val="000000"/>
                <w:sz w:val="22"/>
                <w:szCs w:val="22"/>
              </w:rPr>
            </w:pPr>
            <w:r w:rsidRPr="00132592">
              <w:rPr>
                <w:color w:val="000000"/>
                <w:sz w:val="22"/>
                <w:szCs w:val="22"/>
              </w:rPr>
              <w:t>47 USC 227(b); 47 CFR 64.1200(a)</w:t>
            </w:r>
          </w:p>
        </w:tc>
      </w:tr>
      <w:tr w14:paraId="75B894B6"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RPr="002C71F5" w:rsidP="008D0E50" w14:paraId="4A25AD51" w14:textId="452E0D65">
            <w:pPr>
              <w:rPr>
                <w:sz w:val="22"/>
                <w:szCs w:val="22"/>
              </w:rPr>
            </w:pPr>
            <w:r w:rsidRPr="002C71F5">
              <w:rPr>
                <w:sz w:val="22"/>
                <w:szCs w:val="22"/>
              </w:rPr>
              <w:t>Health Now 123</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2276DC1D" w14:textId="12C4A68C">
            <w:pPr>
              <w:rPr>
                <w:sz w:val="22"/>
                <w:szCs w:val="22"/>
              </w:rPr>
            </w:pPr>
            <w:r w:rsidRPr="005F0AC6">
              <w:rPr>
                <w:sz w:val="22"/>
                <w:szCs w:val="22"/>
              </w:rPr>
              <w:t>Oct 27, 2022 22:00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44E6F64A" w14:textId="1D360DF2">
            <w:pPr>
              <w:rPr>
                <w:sz w:val="22"/>
                <w:szCs w:val="22"/>
              </w:rPr>
            </w:pPr>
            <w:r w:rsidRPr="005F0AC6">
              <w:rPr>
                <w:sz w:val="22"/>
                <w:szCs w:val="22"/>
              </w:rPr>
              <w:t>Oct 28, 2022 19:42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6B833FBC" w14:textId="72037217">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2530FABF" w14:textId="1B50A99C">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1F4DF8EF" w14:textId="77777777">
            <w:pPr>
              <w:rPr>
                <w:sz w:val="22"/>
                <w:szCs w:val="22"/>
              </w:rPr>
            </w:pPr>
            <w:r w:rsidRPr="00D76E51">
              <w:rPr>
                <w:sz w:val="22"/>
                <w:szCs w:val="22"/>
              </w:rPr>
              <w:t>StudentLoan</w:t>
            </w:r>
            <w:r w:rsidRPr="00D76E51">
              <w:rPr>
                <w:sz w:val="22"/>
                <w:szCs w:val="22"/>
              </w:rPr>
              <w:t>-$10,000-Removal</w:t>
            </w:r>
          </w:p>
          <w:p w:rsidR="008D0E50" w:rsidRPr="00D76E51" w:rsidP="008D0E50" w14:paraId="63103725"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00206468" w14:textId="0D539EA0">
            <w:pPr>
              <w:jc w:val="center"/>
              <w:rPr>
                <w:color w:val="000000"/>
                <w:sz w:val="22"/>
                <w:szCs w:val="22"/>
              </w:rPr>
            </w:pPr>
            <w:r w:rsidRPr="00132592">
              <w:rPr>
                <w:color w:val="000000"/>
                <w:sz w:val="22"/>
                <w:szCs w:val="22"/>
              </w:rPr>
              <w:t>47 USC 227(b); 47 CFR 64.1200(a)</w:t>
            </w:r>
          </w:p>
        </w:tc>
      </w:tr>
      <w:tr w14:paraId="3A9BB730"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RPr="002C71F5" w:rsidP="008D0E50" w14:paraId="7F26B3F3" w14:textId="02CF8E99">
            <w:pPr>
              <w:rPr>
                <w:sz w:val="22"/>
                <w:szCs w:val="22"/>
              </w:rPr>
            </w:pPr>
            <w:r>
              <w:rPr>
                <w:sz w:val="22"/>
                <w:szCs w:val="22"/>
              </w:rPr>
              <w:t>M</w:t>
            </w:r>
            <w:r w:rsidRPr="002C71F5">
              <w:rPr>
                <w:sz w:val="22"/>
                <w:szCs w:val="22"/>
              </w:rPr>
              <w:t>edhealth</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0AD263EC" w14:textId="6F9E351B">
            <w:pPr>
              <w:rPr>
                <w:sz w:val="22"/>
                <w:szCs w:val="22"/>
              </w:rPr>
            </w:pPr>
            <w:r w:rsidRPr="005F0AC6">
              <w:rPr>
                <w:sz w:val="22"/>
                <w:szCs w:val="22"/>
              </w:rPr>
              <w:t>Oct 27, 2022 22:00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445004EA" w14:textId="23684F7D">
            <w:pPr>
              <w:rPr>
                <w:sz w:val="22"/>
                <w:szCs w:val="22"/>
              </w:rPr>
            </w:pPr>
            <w:r w:rsidRPr="005F0AC6">
              <w:rPr>
                <w:sz w:val="22"/>
                <w:szCs w:val="22"/>
              </w:rPr>
              <w:t>Oct 31, 2022 13:45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4CD956FB" w14:textId="093CDAC3">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48EAAA15" w14:textId="00879028">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3A67D1D3" w14:textId="77777777">
            <w:pPr>
              <w:rPr>
                <w:sz w:val="22"/>
                <w:szCs w:val="22"/>
              </w:rPr>
            </w:pPr>
            <w:r w:rsidRPr="00D76E51">
              <w:rPr>
                <w:sz w:val="22"/>
                <w:szCs w:val="22"/>
              </w:rPr>
              <w:t>StudentLoan</w:t>
            </w:r>
            <w:r w:rsidRPr="00D76E51">
              <w:rPr>
                <w:sz w:val="22"/>
                <w:szCs w:val="22"/>
              </w:rPr>
              <w:t>-$10,000-Removal</w:t>
            </w:r>
          </w:p>
          <w:p w:rsidR="008D0E50" w:rsidRPr="00D76E51" w:rsidP="008D0E50" w14:paraId="6D8BCBBB"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2713B88D" w14:textId="3BE96485">
            <w:pPr>
              <w:jc w:val="center"/>
              <w:rPr>
                <w:color w:val="000000"/>
                <w:sz w:val="22"/>
                <w:szCs w:val="22"/>
              </w:rPr>
            </w:pPr>
            <w:r w:rsidRPr="00132592">
              <w:rPr>
                <w:color w:val="000000"/>
                <w:sz w:val="22"/>
                <w:szCs w:val="22"/>
              </w:rPr>
              <w:t xml:space="preserve">47 USC 227(b); 47 </w:t>
            </w:r>
            <w:r w:rsidRPr="00132592">
              <w:rPr>
                <w:color w:val="000000"/>
                <w:sz w:val="22"/>
                <w:szCs w:val="22"/>
              </w:rPr>
              <w:t>CFR 64.1200(a)</w:t>
            </w:r>
          </w:p>
        </w:tc>
      </w:tr>
      <w:tr w14:paraId="648FA115"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P="008D0E50" w14:paraId="578C3D4B" w14:textId="7523823C">
            <w:pPr>
              <w:rPr>
                <w:sz w:val="22"/>
                <w:szCs w:val="22"/>
              </w:rPr>
            </w:pPr>
            <w:r w:rsidRPr="002C71F5">
              <w:rPr>
                <w:sz w:val="22"/>
                <w:szCs w:val="22"/>
              </w:rPr>
              <w:t>GetYourHealth</w:t>
            </w:r>
            <w:r w:rsidRPr="002C71F5">
              <w:rPr>
                <w:sz w:val="22"/>
                <w:szCs w:val="22"/>
              </w:rPr>
              <w:t xml:space="preserve"> NOW</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3A185105" w14:textId="6E482F4E">
            <w:pPr>
              <w:rPr>
                <w:sz w:val="22"/>
                <w:szCs w:val="22"/>
              </w:rPr>
            </w:pPr>
            <w:r w:rsidRPr="005F0AC6">
              <w:rPr>
                <w:sz w:val="22"/>
                <w:szCs w:val="22"/>
              </w:rPr>
              <w:t>Oct 27, 2022 22:04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51E90070" w14:textId="624BB8BF">
            <w:pPr>
              <w:rPr>
                <w:sz w:val="22"/>
                <w:szCs w:val="22"/>
              </w:rPr>
            </w:pPr>
            <w:r w:rsidRPr="005F0AC6">
              <w:rPr>
                <w:sz w:val="22"/>
                <w:szCs w:val="22"/>
              </w:rPr>
              <w:t>Oct 31, 2022 10:43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72C2976F" w14:textId="7EA12ECC">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2E3879DB" w14:textId="6BB1F0C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288329FD" w14:textId="77777777">
            <w:pPr>
              <w:rPr>
                <w:sz w:val="22"/>
                <w:szCs w:val="22"/>
              </w:rPr>
            </w:pPr>
            <w:r w:rsidRPr="00D76E51">
              <w:rPr>
                <w:sz w:val="22"/>
                <w:szCs w:val="22"/>
              </w:rPr>
              <w:t>StudentLoan</w:t>
            </w:r>
            <w:r w:rsidRPr="00D76E51">
              <w:rPr>
                <w:sz w:val="22"/>
                <w:szCs w:val="22"/>
              </w:rPr>
              <w:t>-$10,000-Removal</w:t>
            </w:r>
          </w:p>
          <w:p w:rsidR="008D0E50" w:rsidRPr="00D76E51" w:rsidP="008D0E50" w14:paraId="47A79C34"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042041F9" w14:textId="4AEEA36E">
            <w:pPr>
              <w:jc w:val="center"/>
              <w:rPr>
                <w:color w:val="000000"/>
                <w:sz w:val="22"/>
                <w:szCs w:val="22"/>
              </w:rPr>
            </w:pPr>
            <w:r w:rsidRPr="00132592">
              <w:rPr>
                <w:color w:val="000000"/>
                <w:sz w:val="22"/>
                <w:szCs w:val="22"/>
              </w:rPr>
              <w:t>47 USC 227(b); 47 CFR 64.1200(a)</w:t>
            </w:r>
          </w:p>
        </w:tc>
      </w:tr>
      <w:tr w14:paraId="4A0A3FB0"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RPr="002C71F5" w:rsidP="008D0E50" w14:paraId="1B9290AC" w14:textId="063A1570">
            <w:pPr>
              <w:rPr>
                <w:sz w:val="22"/>
                <w:szCs w:val="22"/>
              </w:rPr>
            </w:pPr>
            <w:r>
              <w:rPr>
                <w:sz w:val="22"/>
                <w:szCs w:val="22"/>
              </w:rPr>
              <w:t>M</w:t>
            </w:r>
            <w:r w:rsidRPr="002C71F5">
              <w:rPr>
                <w:sz w:val="22"/>
                <w:szCs w:val="22"/>
              </w:rPr>
              <w:t>edhealth</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60C4E801" w14:textId="7D551CA3">
            <w:pPr>
              <w:rPr>
                <w:sz w:val="22"/>
                <w:szCs w:val="22"/>
              </w:rPr>
            </w:pPr>
            <w:r w:rsidRPr="005F0AC6">
              <w:rPr>
                <w:sz w:val="22"/>
                <w:szCs w:val="22"/>
              </w:rPr>
              <w:t>Oct 27, 2022 22:05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7D05602D" w14:textId="453886D6">
            <w:pPr>
              <w:rPr>
                <w:sz w:val="22"/>
                <w:szCs w:val="22"/>
              </w:rPr>
            </w:pPr>
            <w:r w:rsidRPr="005F0AC6">
              <w:rPr>
                <w:sz w:val="22"/>
                <w:szCs w:val="22"/>
              </w:rPr>
              <w:t>Oct 31, 2022 14:43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52479B2D" w14:textId="088D3EA6">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2018FEDE" w14:textId="246EB626">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1BAD8A4C" w14:textId="77777777">
            <w:pPr>
              <w:rPr>
                <w:sz w:val="22"/>
                <w:szCs w:val="22"/>
              </w:rPr>
            </w:pPr>
            <w:r w:rsidRPr="00D76E51">
              <w:rPr>
                <w:sz w:val="22"/>
                <w:szCs w:val="22"/>
              </w:rPr>
              <w:t>StudentLoan</w:t>
            </w:r>
            <w:r w:rsidRPr="00D76E51">
              <w:rPr>
                <w:sz w:val="22"/>
                <w:szCs w:val="22"/>
              </w:rPr>
              <w:t>-$10,000-Removal</w:t>
            </w:r>
          </w:p>
          <w:p w:rsidR="008D0E50" w:rsidRPr="00D76E51" w:rsidP="008D0E50" w14:paraId="79F6453D"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77CB3702" w14:textId="6B9F48BE">
            <w:pPr>
              <w:jc w:val="center"/>
              <w:rPr>
                <w:color w:val="000000"/>
                <w:sz w:val="22"/>
                <w:szCs w:val="22"/>
              </w:rPr>
            </w:pPr>
            <w:r w:rsidRPr="00132592">
              <w:rPr>
                <w:color w:val="000000"/>
                <w:sz w:val="22"/>
                <w:szCs w:val="22"/>
              </w:rPr>
              <w:t>47 USC 227(b); 47 CFR 64.1200(a)</w:t>
            </w:r>
          </w:p>
        </w:tc>
      </w:tr>
      <w:tr w14:paraId="5F9A64EB"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P="008D0E50" w14:paraId="642F25C5" w14:textId="411E8428">
            <w:pPr>
              <w:rPr>
                <w:sz w:val="22"/>
                <w:szCs w:val="22"/>
              </w:rPr>
            </w:pPr>
            <w:r>
              <w:rPr>
                <w:sz w:val="22"/>
                <w:szCs w:val="22"/>
              </w:rPr>
              <w:t>H</w:t>
            </w:r>
            <w:r w:rsidRPr="002C71F5">
              <w:rPr>
                <w:sz w:val="22"/>
                <w:szCs w:val="22"/>
              </w:rPr>
              <w:t>ealthhq</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7FC8D067" w14:textId="4AC0C4E1">
            <w:pPr>
              <w:rPr>
                <w:sz w:val="22"/>
                <w:szCs w:val="22"/>
              </w:rPr>
            </w:pPr>
            <w:r w:rsidRPr="005F0AC6">
              <w:rPr>
                <w:sz w:val="22"/>
                <w:szCs w:val="22"/>
              </w:rPr>
              <w:t>Oct 28, 2022 14:13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55EFF774" w14:textId="604DB71D">
            <w:pPr>
              <w:rPr>
                <w:sz w:val="22"/>
                <w:szCs w:val="22"/>
              </w:rPr>
            </w:pPr>
            <w:r w:rsidRPr="005F0AC6">
              <w:rPr>
                <w:sz w:val="22"/>
                <w:szCs w:val="22"/>
              </w:rPr>
              <w:t>Oct 31, 2022 15:28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71F4F6AD" w14:textId="2DA92792">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5DA84D5F" w14:textId="464E8321">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4681405B" w14:textId="77777777">
            <w:pPr>
              <w:rPr>
                <w:sz w:val="22"/>
                <w:szCs w:val="22"/>
              </w:rPr>
            </w:pPr>
            <w:r w:rsidRPr="00D76E51">
              <w:rPr>
                <w:sz w:val="22"/>
                <w:szCs w:val="22"/>
              </w:rPr>
              <w:t>StudentLoan</w:t>
            </w:r>
            <w:r w:rsidRPr="00D76E51">
              <w:rPr>
                <w:sz w:val="22"/>
                <w:szCs w:val="22"/>
              </w:rPr>
              <w:t>-$10,000-Removal</w:t>
            </w:r>
          </w:p>
          <w:p w:rsidR="008D0E50" w:rsidRPr="00D76E51" w:rsidP="008D0E50" w14:paraId="1CAD1F8A"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389FA56F" w14:textId="678ECA4F">
            <w:pPr>
              <w:jc w:val="center"/>
              <w:rPr>
                <w:color w:val="000000"/>
                <w:sz w:val="22"/>
                <w:szCs w:val="22"/>
              </w:rPr>
            </w:pPr>
            <w:r w:rsidRPr="00132592">
              <w:rPr>
                <w:color w:val="000000"/>
                <w:sz w:val="22"/>
                <w:szCs w:val="22"/>
              </w:rPr>
              <w:t>47 USC 227(b); 47 CFR 64.1200(a)</w:t>
            </w:r>
          </w:p>
        </w:tc>
      </w:tr>
      <w:tr w14:paraId="1791CDCE"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P="008D0E50" w14:paraId="0D1C4EE3" w14:textId="4F911EB8">
            <w:pPr>
              <w:rPr>
                <w:sz w:val="22"/>
                <w:szCs w:val="22"/>
              </w:rPr>
            </w:pPr>
            <w:r>
              <w:rPr>
                <w:sz w:val="22"/>
                <w:szCs w:val="22"/>
              </w:rPr>
              <w:t>H</w:t>
            </w:r>
            <w:r w:rsidRPr="002C71F5">
              <w:rPr>
                <w:sz w:val="22"/>
                <w:szCs w:val="22"/>
              </w:rPr>
              <w:t>ealthlabs</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120B1A15" w14:textId="0D544C3E">
            <w:pPr>
              <w:rPr>
                <w:sz w:val="22"/>
                <w:szCs w:val="22"/>
              </w:rPr>
            </w:pPr>
            <w:r w:rsidRPr="005F0AC6">
              <w:rPr>
                <w:sz w:val="22"/>
                <w:szCs w:val="22"/>
              </w:rPr>
              <w:t>Oct 28, 2022 15:32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4EF45345" w14:textId="75FDA05D">
            <w:pPr>
              <w:rPr>
                <w:sz w:val="22"/>
                <w:szCs w:val="22"/>
              </w:rPr>
            </w:pPr>
            <w:r w:rsidRPr="005F0AC6">
              <w:rPr>
                <w:sz w:val="22"/>
                <w:szCs w:val="22"/>
              </w:rPr>
              <w:t>Oct 31, 2022 18:13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0E2B6E63" w14:textId="4D5FC788">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33368A28" w14:textId="4D097316">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4ACABEB5" w14:textId="77777777">
            <w:pPr>
              <w:rPr>
                <w:sz w:val="22"/>
                <w:szCs w:val="22"/>
              </w:rPr>
            </w:pPr>
            <w:r w:rsidRPr="00D76E51">
              <w:rPr>
                <w:sz w:val="22"/>
                <w:szCs w:val="22"/>
              </w:rPr>
              <w:t>StudentLoan</w:t>
            </w:r>
            <w:r w:rsidRPr="00D76E51">
              <w:rPr>
                <w:sz w:val="22"/>
                <w:szCs w:val="22"/>
              </w:rPr>
              <w:t>-$10,000-Removal</w:t>
            </w:r>
          </w:p>
          <w:p w:rsidR="008D0E50" w:rsidRPr="00D76E51" w:rsidP="008D0E50" w14:paraId="4E5EF13A"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2B592FF7" w14:textId="5F02F4F4">
            <w:pPr>
              <w:jc w:val="center"/>
              <w:rPr>
                <w:color w:val="000000"/>
                <w:sz w:val="22"/>
                <w:szCs w:val="22"/>
              </w:rPr>
            </w:pPr>
            <w:r w:rsidRPr="00132592">
              <w:rPr>
                <w:color w:val="000000"/>
                <w:sz w:val="22"/>
                <w:szCs w:val="22"/>
              </w:rPr>
              <w:t>47 USC 227(b); 47 CFR 64.1200(a)</w:t>
            </w:r>
          </w:p>
        </w:tc>
      </w:tr>
      <w:tr w14:paraId="317A603C"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P="008D0E50" w14:paraId="7A329BED" w14:textId="3ECAA760">
            <w:pPr>
              <w:rPr>
                <w:sz w:val="22"/>
                <w:szCs w:val="22"/>
              </w:rPr>
            </w:pPr>
            <w:r>
              <w:rPr>
                <w:sz w:val="22"/>
                <w:szCs w:val="22"/>
              </w:rPr>
              <w:t>Y</w:t>
            </w:r>
            <w:r w:rsidRPr="002C71F5">
              <w:rPr>
                <w:sz w:val="22"/>
                <w:szCs w:val="22"/>
              </w:rPr>
              <w:t>ourhealthmatters</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0294CDC3" w14:textId="7F83F5F2">
            <w:pPr>
              <w:rPr>
                <w:sz w:val="22"/>
                <w:szCs w:val="22"/>
              </w:rPr>
            </w:pPr>
            <w:r w:rsidRPr="005F0AC6">
              <w:rPr>
                <w:sz w:val="22"/>
                <w:szCs w:val="22"/>
              </w:rPr>
              <w:t>Oct 28, 2022 15:40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21A657D5" w14:textId="047F5096">
            <w:pPr>
              <w:rPr>
                <w:sz w:val="22"/>
                <w:szCs w:val="22"/>
              </w:rPr>
            </w:pPr>
            <w:r w:rsidRPr="005F0AC6">
              <w:rPr>
                <w:sz w:val="22"/>
                <w:szCs w:val="22"/>
              </w:rPr>
              <w:t>Oct 31, 2022 15:30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05843D62" w14:textId="6E768EC9">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3D338928" w14:textId="7E90F49F">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32FEF436" w14:textId="77777777">
            <w:pPr>
              <w:rPr>
                <w:sz w:val="22"/>
                <w:szCs w:val="22"/>
              </w:rPr>
            </w:pPr>
            <w:r w:rsidRPr="00D76E51">
              <w:rPr>
                <w:sz w:val="22"/>
                <w:szCs w:val="22"/>
              </w:rPr>
              <w:t>StudentLoan</w:t>
            </w:r>
            <w:r w:rsidRPr="00D76E51">
              <w:rPr>
                <w:sz w:val="22"/>
                <w:szCs w:val="22"/>
              </w:rPr>
              <w:t>-$10,000-Removal</w:t>
            </w:r>
          </w:p>
          <w:p w:rsidR="008D0E50" w:rsidRPr="00D76E51" w:rsidP="008D0E50" w14:paraId="7D2191FA"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0BEA2AD8" w14:textId="79EB85A5">
            <w:pPr>
              <w:jc w:val="center"/>
              <w:rPr>
                <w:color w:val="000000"/>
                <w:sz w:val="22"/>
                <w:szCs w:val="22"/>
              </w:rPr>
            </w:pPr>
            <w:r w:rsidRPr="00132592">
              <w:rPr>
                <w:color w:val="000000"/>
                <w:sz w:val="22"/>
                <w:szCs w:val="22"/>
              </w:rPr>
              <w:t>47 USC 227(b); 47 CFR 64.1200(a)</w:t>
            </w:r>
          </w:p>
        </w:tc>
      </w:tr>
      <w:tr w14:paraId="44A15087"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P="008D0E50" w14:paraId="687ED3F7" w14:textId="7B9B2627">
            <w:pPr>
              <w:rPr>
                <w:sz w:val="22"/>
                <w:szCs w:val="22"/>
              </w:rPr>
            </w:pPr>
            <w:r>
              <w:rPr>
                <w:sz w:val="22"/>
                <w:szCs w:val="22"/>
              </w:rPr>
              <w:t>G</w:t>
            </w:r>
            <w:r w:rsidRPr="002C71F5">
              <w:rPr>
                <w:sz w:val="22"/>
                <w:szCs w:val="22"/>
              </w:rPr>
              <w:t>etyourhealth</w:t>
            </w:r>
            <w:r w:rsidRPr="002C71F5">
              <w:rPr>
                <w:sz w:val="22"/>
                <w:szCs w:val="22"/>
              </w:rPr>
              <w:t>-now</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6496AB3B" w14:textId="0A13A194">
            <w:pPr>
              <w:rPr>
                <w:sz w:val="22"/>
                <w:szCs w:val="22"/>
              </w:rPr>
            </w:pPr>
            <w:r w:rsidRPr="005F0AC6">
              <w:rPr>
                <w:sz w:val="22"/>
                <w:szCs w:val="22"/>
              </w:rPr>
              <w:t>Oct 28, 2022 15:47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0333E3FC" w14:textId="2E2A6489">
            <w:pPr>
              <w:rPr>
                <w:sz w:val="22"/>
                <w:szCs w:val="22"/>
              </w:rPr>
            </w:pPr>
            <w:r w:rsidRPr="005F0AC6">
              <w:rPr>
                <w:sz w:val="22"/>
                <w:szCs w:val="22"/>
              </w:rPr>
              <w:t>Nov 01, 2022 11:55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78BDDD16" w14:textId="5550A1D0">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26D78B15" w14:textId="1A056B9A">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00C5D3D9" w14:textId="77777777">
            <w:pPr>
              <w:rPr>
                <w:sz w:val="22"/>
                <w:szCs w:val="22"/>
              </w:rPr>
            </w:pPr>
            <w:r w:rsidRPr="00D76E51">
              <w:rPr>
                <w:sz w:val="22"/>
                <w:szCs w:val="22"/>
              </w:rPr>
              <w:t>StudentLoan</w:t>
            </w:r>
            <w:r w:rsidRPr="00D76E51">
              <w:rPr>
                <w:sz w:val="22"/>
                <w:szCs w:val="22"/>
              </w:rPr>
              <w:t>-$10,000-Removal</w:t>
            </w:r>
          </w:p>
          <w:p w:rsidR="008D0E50" w:rsidRPr="00D76E51" w:rsidP="008D0E50" w14:paraId="35FF7960"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24E01C10" w14:textId="405CDC50">
            <w:pPr>
              <w:jc w:val="center"/>
              <w:rPr>
                <w:color w:val="000000"/>
                <w:sz w:val="22"/>
                <w:szCs w:val="22"/>
              </w:rPr>
            </w:pPr>
            <w:r w:rsidRPr="00132592">
              <w:rPr>
                <w:color w:val="000000"/>
                <w:sz w:val="22"/>
                <w:szCs w:val="22"/>
              </w:rPr>
              <w:t>47 USC 227(b); 47 CFR 64.1200(a)</w:t>
            </w:r>
          </w:p>
        </w:tc>
      </w:tr>
      <w:tr w14:paraId="39FF19FA" w14:textId="77777777" w:rsidTr="003F609C">
        <w:tblPrEx>
          <w:tblW w:w="13045" w:type="dxa"/>
          <w:tblLook w:val="04A0"/>
        </w:tblPrEx>
        <w:trPr>
          <w:trHeight w:val="24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8D0E50" w:rsidP="008D0E50" w14:paraId="3937CCD4" w14:textId="0A946537">
            <w:pPr>
              <w:rPr>
                <w:sz w:val="22"/>
                <w:szCs w:val="22"/>
              </w:rPr>
            </w:pPr>
            <w:r>
              <w:rPr>
                <w:sz w:val="22"/>
                <w:szCs w:val="22"/>
              </w:rPr>
              <w:t>G</w:t>
            </w:r>
            <w:r w:rsidRPr="002C71F5">
              <w:rPr>
                <w:sz w:val="22"/>
                <w:szCs w:val="22"/>
              </w:rPr>
              <w:t>etyourhealth</w:t>
            </w:r>
            <w:r w:rsidRPr="002C71F5">
              <w:rPr>
                <w:sz w:val="22"/>
                <w:szCs w:val="22"/>
              </w:rPr>
              <w:t>-now</w:t>
            </w:r>
          </w:p>
        </w:tc>
        <w:tc>
          <w:tcPr>
            <w:tcW w:w="1534" w:type="dxa"/>
            <w:tcBorders>
              <w:top w:val="single" w:sz="4" w:space="0" w:color="auto"/>
              <w:left w:val="nil"/>
              <w:bottom w:val="single" w:sz="4" w:space="0" w:color="auto"/>
              <w:right w:val="single" w:sz="4" w:space="0" w:color="auto"/>
            </w:tcBorders>
            <w:shd w:val="clear" w:color="auto" w:fill="auto"/>
          </w:tcPr>
          <w:p w:rsidR="008D0E50" w:rsidRPr="005F0AC6" w:rsidP="008D0E50" w14:paraId="2CB9AC78" w14:textId="79FB96D7">
            <w:pPr>
              <w:rPr>
                <w:sz w:val="22"/>
                <w:szCs w:val="22"/>
              </w:rPr>
            </w:pPr>
            <w:r w:rsidRPr="005F0AC6">
              <w:rPr>
                <w:sz w:val="22"/>
                <w:szCs w:val="22"/>
              </w:rPr>
              <w:t>Oct 28, 2022 16:17 UTC</w:t>
            </w:r>
          </w:p>
        </w:tc>
        <w:tc>
          <w:tcPr>
            <w:tcW w:w="1808" w:type="dxa"/>
            <w:tcBorders>
              <w:top w:val="single" w:sz="4" w:space="0" w:color="auto"/>
              <w:left w:val="nil"/>
              <w:bottom w:val="single" w:sz="4" w:space="0" w:color="auto"/>
              <w:right w:val="single" w:sz="4" w:space="0" w:color="auto"/>
            </w:tcBorders>
            <w:shd w:val="clear" w:color="auto" w:fill="auto"/>
          </w:tcPr>
          <w:p w:rsidR="008D0E50" w:rsidRPr="005F0AC6" w:rsidP="008D0E50" w14:paraId="6A1A4E0F" w14:textId="43D6A839">
            <w:pPr>
              <w:rPr>
                <w:sz w:val="22"/>
                <w:szCs w:val="22"/>
              </w:rPr>
            </w:pPr>
            <w:r w:rsidRPr="005F0AC6">
              <w:rPr>
                <w:sz w:val="22"/>
                <w:szCs w:val="22"/>
              </w:rPr>
              <w:t>Oct 31, 2022 18:11 UTC</w:t>
            </w:r>
          </w:p>
        </w:tc>
        <w:tc>
          <w:tcPr>
            <w:tcW w:w="1819" w:type="dxa"/>
            <w:tcBorders>
              <w:top w:val="single" w:sz="4" w:space="0" w:color="auto"/>
              <w:left w:val="nil"/>
              <w:bottom w:val="single" w:sz="4" w:space="0" w:color="auto"/>
              <w:right w:val="single" w:sz="4" w:space="0" w:color="auto"/>
            </w:tcBorders>
            <w:shd w:val="clear" w:color="auto" w:fill="auto"/>
          </w:tcPr>
          <w:p w:rsidR="008D0E50" w:rsidRPr="005F0AC6" w:rsidP="008D0E50" w14:paraId="0E3186D2" w14:textId="115C9EE1">
            <w:pPr>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8D0E50" w:rsidRPr="005F0AC6" w:rsidP="008D0E50" w14:paraId="1D0DD2F3" w14:textId="5CFDC5E4">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D0E50" w:rsidRPr="00D76E51" w:rsidP="008D0E50" w14:paraId="612506E9" w14:textId="77777777">
            <w:pPr>
              <w:rPr>
                <w:sz w:val="22"/>
                <w:szCs w:val="22"/>
              </w:rPr>
            </w:pPr>
            <w:r w:rsidRPr="00D76E51">
              <w:rPr>
                <w:sz w:val="22"/>
                <w:szCs w:val="22"/>
              </w:rPr>
              <w:t>StudentLoan</w:t>
            </w:r>
            <w:r w:rsidRPr="00D76E51">
              <w:rPr>
                <w:sz w:val="22"/>
                <w:szCs w:val="22"/>
              </w:rPr>
              <w:t>-$10,000-Removal</w:t>
            </w:r>
          </w:p>
          <w:p w:rsidR="008D0E50" w:rsidRPr="00D76E51" w:rsidP="008D0E50" w14:paraId="366271A5" w14:textId="77777777">
            <w:pPr>
              <w:rPr>
                <w:sz w:val="22"/>
                <w:szCs w:val="22"/>
              </w:rPr>
            </w:pPr>
          </w:p>
        </w:tc>
        <w:tc>
          <w:tcPr>
            <w:tcW w:w="1346" w:type="dxa"/>
            <w:tcBorders>
              <w:top w:val="single" w:sz="4" w:space="0" w:color="auto"/>
              <w:left w:val="nil"/>
              <w:bottom w:val="single" w:sz="4" w:space="0" w:color="auto"/>
              <w:right w:val="single" w:sz="4" w:space="0" w:color="auto"/>
            </w:tcBorders>
            <w:shd w:val="clear" w:color="auto" w:fill="auto"/>
          </w:tcPr>
          <w:p w:rsidR="008D0E50" w:rsidRPr="00132592" w:rsidP="008D0E50" w14:paraId="79AE97B6" w14:textId="64871506">
            <w:pPr>
              <w:jc w:val="center"/>
              <w:rPr>
                <w:color w:val="000000"/>
                <w:sz w:val="22"/>
                <w:szCs w:val="22"/>
              </w:rPr>
            </w:pPr>
            <w:r w:rsidRPr="00132592">
              <w:rPr>
                <w:color w:val="000000"/>
                <w:sz w:val="22"/>
                <w:szCs w:val="22"/>
              </w:rPr>
              <w:t>47 USC 227(b); 47 CFR 64.1200(a)</w:t>
            </w:r>
          </w:p>
        </w:tc>
      </w:tr>
    </w:tbl>
    <w:p w:rsidR="00A533BC" w:rsidRPr="00132592" w:rsidP="00A533BC" w14:paraId="74280481" w14:textId="77777777">
      <w:pPr>
        <w:spacing w:after="120"/>
        <w:contextualSpacing/>
        <w:jc w:val="center"/>
        <w:rPr>
          <w:sz w:val="22"/>
          <w:szCs w:val="22"/>
        </w:rPr>
      </w:pPr>
    </w:p>
    <w:sectPr w:rsidSect="003A2AFC">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048" w14:paraId="595581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048" w14:paraId="343E8C51" w14:textId="47608825">
    <w:pPr>
      <w:pStyle w:val="Footer"/>
      <w:jc w:val="center"/>
    </w:pPr>
  </w:p>
  <w:p w:rsidR="00E72048" w14:paraId="768B58A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048" w14:paraId="24E5A3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5438" w:rsidP="00974067" w14:paraId="1F5FF58B" w14:textId="77777777">
      <w:r>
        <w:separator/>
      </w:r>
    </w:p>
  </w:footnote>
  <w:footnote w:type="continuationSeparator" w:id="1">
    <w:p w:rsidR="00BF5438" w:rsidP="00974067" w14:paraId="393D409E" w14:textId="77777777">
      <w:r>
        <w:continuationSeparator/>
      </w:r>
    </w:p>
  </w:footnote>
  <w:footnote w:id="2">
    <w:p w:rsidR="007B0D77" w:rsidRPr="007B0D77" w:rsidP="007B0D77" w14:paraId="5358C2B0" w14:textId="00AB0479">
      <w:pPr>
        <w:pStyle w:val="FootnoteText"/>
        <w:spacing w:after="120"/>
      </w:pPr>
      <w:r>
        <w:rPr>
          <w:rStyle w:val="FootnoteReference"/>
        </w:rPr>
        <w:footnoteRef/>
      </w:r>
      <w:r>
        <w:t xml:space="preserve"> </w:t>
      </w:r>
      <w:r w:rsidRPr="003506A0" w:rsidR="003506A0">
        <w:rPr>
          <w:i/>
          <w:iCs/>
        </w:rPr>
        <w:t xml:space="preserve">See </w:t>
      </w:r>
      <w:r w:rsidRPr="003506A0" w:rsidR="003506A0">
        <w:t>47 CFR § 64.1200(k)(4), (f)(18)</w:t>
      </w:r>
      <w:r w:rsidRPr="003506A0">
        <w:t>.</w:t>
      </w:r>
    </w:p>
  </w:footnote>
  <w:footnote w:id="3">
    <w:p w:rsidR="005621FC" w:rsidRPr="00C82FCB" w:rsidP="005621FC" w14:paraId="6316FA60" w14:textId="77777777">
      <w:pPr>
        <w:pStyle w:val="FootnoteText"/>
        <w:spacing w:after="120"/>
        <w:jc w:val="both"/>
      </w:pPr>
      <w:r>
        <w:rPr>
          <w:rStyle w:val="FootnoteReference"/>
        </w:rPr>
        <w:footnoteRef/>
      </w:r>
      <w:r>
        <w:t xml:space="preserve"> </w:t>
      </w:r>
      <w:r>
        <w:rPr>
          <w:i/>
          <w:iCs/>
        </w:rPr>
        <w:t xml:space="preserve">See </w:t>
      </w:r>
      <w:r>
        <w:t>47 CFR § 64.1200(k)(4).</w:t>
      </w:r>
    </w:p>
  </w:footnote>
  <w:footnote w:id="4">
    <w:p w:rsidR="001428B6" w:rsidRPr="004C50B4" w:rsidP="001428B6" w14:paraId="254E285F" w14:textId="77777777">
      <w:pPr>
        <w:pStyle w:val="FootnoteText"/>
        <w:spacing w:after="120"/>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&amp; 1904, para. 86 (2020); 47 CFR </w:t>
      </w:r>
      <w:r w:rsidRPr="009511C9">
        <w:t>§</w:t>
      </w:r>
      <w:r>
        <w:t xml:space="preserve"> 64.6305.</w:t>
      </w:r>
    </w:p>
  </w:footnote>
  <w:footnote w:id="5">
    <w:p w:rsidR="005621FC" w:rsidP="005621FC" w14:paraId="313BBEE5" w14:textId="769178A1">
      <w:pPr>
        <w:pStyle w:val="FootnoteText"/>
        <w:spacing w:after="120"/>
      </w:pPr>
      <w:r>
        <w:rPr>
          <w:rStyle w:val="FootnoteReference"/>
        </w:rPr>
        <w:footnoteRef/>
      </w:r>
      <w:r>
        <w:t xml:space="preserve"> </w:t>
      </w:r>
      <w:r>
        <w:rPr>
          <w:i/>
          <w:iCs/>
        </w:rPr>
        <w:t>Implementing Section 13(d) of the Pallone-Thune Telephone Robocall Abuse Criminal Enforcement and Deterrence Act (TRACED Act)</w:t>
      </w:r>
      <w:r>
        <w:t xml:space="preserve">, EB </w:t>
      </w:r>
      <w:r w:rsidR="00596264">
        <w:t>Docket</w:t>
      </w:r>
      <w:r>
        <w:t xml:space="preserve"> No. 20-22, Report and Order, DA 21-1047 (EB 2021) (</w:t>
      </w:r>
      <w:r w:rsidRPr="003A6390">
        <w:rPr>
          <w:i/>
          <w:iCs/>
        </w:rPr>
        <w:t>2021 Consortium Selection Order</w:t>
      </w:r>
      <w:r>
        <w:t xml:space="preserve">).  </w:t>
      </w:r>
      <w:r>
        <w:rPr>
          <w:i/>
          <w:iCs/>
        </w:rPr>
        <w:t xml:space="preserve">See also </w:t>
      </w:r>
      <w:r>
        <w:t>Pallone-Thune Telephone Robocall Abuse Criminal Enforcement and Deterrence Act, Pub. L. No. 116-105, 133 Stat. 3274, Sec. 13(d) (2019) (TRACED Act).</w:t>
      </w:r>
    </w:p>
  </w:footnote>
  <w:footnote w:id="6">
    <w:p w:rsidR="005621FC" w:rsidRPr="00254B36" w:rsidP="008D0E50" w14:paraId="5C172737" w14:textId="77777777">
      <w:pPr>
        <w:pStyle w:val="FootnoteText"/>
        <w:spacing w:after="120"/>
      </w:pPr>
      <w:r>
        <w:rPr>
          <w:rStyle w:val="FootnoteReference"/>
        </w:rPr>
        <w:footnoteRef/>
      </w:r>
      <w:r>
        <w:t xml:space="preserve"> </w:t>
      </w:r>
      <w:r>
        <w:rPr>
          <w:i/>
          <w:iCs/>
        </w:rPr>
        <w:t xml:space="preserve">See </w:t>
      </w:r>
      <w:r>
        <w:t>47 U.S.C. § 227(b); 47 CFR § 64.1200(a).</w:t>
      </w:r>
    </w:p>
  </w:footnote>
  <w:footnote w:id="7">
    <w:p w:rsidR="002B06B9" w:rsidP="008D0E50" w14:paraId="4EC19316" w14:textId="77777777">
      <w:pPr>
        <w:pStyle w:val="FootnoteText"/>
        <w:spacing w:after="120"/>
      </w:pPr>
      <w:r>
        <w:rPr>
          <w:rStyle w:val="FootnoteReference"/>
        </w:rPr>
        <w:footnoteRef/>
      </w:r>
      <w:r>
        <w:t xml:space="preserve"> A consent log includes identifying information about a consumer such as name, telephone number, and address that the consumer allegedly entered into an online form consenting to receive robocalls.</w:t>
      </w:r>
    </w:p>
  </w:footnote>
  <w:footnote w:id="8">
    <w:p w:rsidR="002B06B9" w:rsidP="008D0E50" w14:paraId="73348A5B" w14:textId="77777777">
      <w:pPr>
        <w:pStyle w:val="FootnoteText"/>
        <w:spacing w:after="120"/>
      </w:pPr>
      <w:r>
        <w:rPr>
          <w:rStyle w:val="FootnoteReference"/>
        </w:rPr>
        <w:footnoteRef/>
      </w:r>
      <w:r>
        <w:t xml:space="preserve"> The Traceback Consortium notices informed Urth Access that the calls involved student loans.  Traceback Consortium </w:t>
      </w:r>
      <w:r w:rsidRPr="00C57546">
        <w:t>Subpoena Response</w:t>
      </w:r>
      <w:r>
        <w:t xml:space="preserve"> on file at</w:t>
      </w:r>
      <w:r w:rsidRPr="00C57546">
        <w:t xml:space="preserve"> EB-TCD-22-00034232 (</w:t>
      </w:r>
      <w:r>
        <w:t>Oct. 25, 2022</w:t>
      </w:r>
      <w:r w:rsidRPr="00C57546">
        <w:t>)</w:t>
      </w:r>
      <w:r>
        <w:t xml:space="preserve">; Traceback Consortium </w:t>
      </w:r>
      <w:r w:rsidRPr="00C57546">
        <w:t>Subpoena Response</w:t>
      </w:r>
      <w:r>
        <w:t xml:space="preserve"> on file at</w:t>
      </w:r>
      <w:r w:rsidRPr="00C57546">
        <w:t xml:space="preserve"> EB-TCD-22-00034232 (</w:t>
      </w:r>
      <w:r>
        <w:t>Oct. 3, 2022</w:t>
      </w:r>
      <w:r w:rsidRPr="00C57546">
        <w:t>).</w:t>
      </w:r>
      <w:r w:rsidRPr="00AD2128">
        <w:t xml:space="preserve"> </w:t>
      </w:r>
      <w:r>
        <w:t xml:space="preserve"> Furthermore, it appears that Urth Access and its customers are the same entity.  The persons who registered the “customer” websites are individuals who appear to be employees or agents of Nathan Dawood and his companies. These individuals and companies share the same Orange County, California address as Urth Access.  </w:t>
      </w:r>
      <w:r w:rsidRPr="002331C2">
        <w:rPr>
          <w:i/>
          <w:iCs/>
        </w:rPr>
        <w:t xml:space="preserve">See </w:t>
      </w:r>
      <w:r w:rsidRPr="002331C2">
        <w:t xml:space="preserve">Statement of Information, Global </w:t>
      </w:r>
      <w:r w:rsidRPr="002331C2">
        <w:t>Lynks</w:t>
      </w:r>
      <w:r w:rsidRPr="002331C2">
        <w:t xml:space="preserve"> LLC, Cal. Sec’y of State (June 13, 2022); Articles of Incorporation, Urth Access, Wyo. Sec’y of State (Jan. 13, 2022); Statement of Information, Fire Data LLC, Cal. Sec’y of State (Dec. 29, 2021); Statement of Information, Dawood &amp; Company, Cal. Sec’y of State (Oct. 26, 2021); Statement of Information, US Acquisitions LLC, Cal. Sec’y of State (Sept. 8, 2021); Contact Us, Dawood &amp; Dawood, </w:t>
      </w:r>
      <w:hyperlink r:id="rId1" w:history="1">
        <w:r w:rsidRPr="00641ACD">
          <w:rPr>
            <w:rStyle w:val="Hyperlink"/>
          </w:rPr>
          <w:t>http://dawoodanddawood.com/contact/</w:t>
        </w:r>
      </w:hyperlink>
      <w:r>
        <w:t xml:space="preserve"> </w:t>
      </w:r>
      <w:r w:rsidRPr="002331C2">
        <w:t>(last visited Nov. 2, 2022).</w:t>
      </w:r>
      <w:r>
        <w:t xml:space="preserve">  These individuals are also officers or agents of Global </w:t>
      </w:r>
      <w:r>
        <w:t>Lynks</w:t>
      </w:r>
      <w:r>
        <w:t xml:space="preserve"> LLC and Call Pipe, LLC, which were the targets of the Bureau’s auto warranty enforcement actions.  </w:t>
      </w:r>
      <w:r>
        <w:rPr>
          <w:i/>
          <w:iCs/>
        </w:rPr>
        <w:t>See Robocall Enforcement Notice to All U.S.-Based Voice Service Providers</w:t>
      </w:r>
      <w:r>
        <w:t>, Public Notice DA 22-727 at 1-2 (EB 2022)</w:t>
      </w:r>
      <w:r>
        <w:rPr>
          <w:i/>
          <w:iCs/>
        </w:rPr>
        <w:t>; FCC Enforcement Bureau Warns All U.S.-Based Voice Service Providers to Avoid or Cease Carriage of Auto Warranty Robocall Traffic from Cox/Jones/</w:t>
      </w:r>
      <w:r>
        <w:rPr>
          <w:i/>
          <w:iCs/>
        </w:rPr>
        <w:t>Sumco</w:t>
      </w:r>
      <w:r>
        <w:rPr>
          <w:i/>
          <w:iCs/>
        </w:rPr>
        <w:t xml:space="preserve"> Panama Operation</w:t>
      </w:r>
      <w:r>
        <w:t>, Order, DA 22-784 at 1 (EB 2022);</w:t>
      </w:r>
    </w:p>
  </w:footnote>
  <w:footnote w:id="9">
    <w:p w:rsidR="002B06B9" w:rsidP="008D0E50" w14:paraId="41ACBD52" w14:textId="77777777">
      <w:pPr>
        <w:pStyle w:val="FootnoteText"/>
        <w:spacing w:after="120"/>
      </w:pPr>
      <w:r>
        <w:rPr>
          <w:rStyle w:val="FootnoteReference"/>
        </w:rPr>
        <w:footnoteRef/>
      </w:r>
      <w:r>
        <w:t xml:space="preserve"> 47 CFR § 64.1200(f)(9)</w:t>
      </w:r>
      <w:r>
        <w:rPr>
          <w:i/>
          <w:iCs/>
        </w:rPr>
        <w:t xml:space="preserve">; </w:t>
      </w:r>
      <w:bookmarkStart w:id="4" w:name="_Hlk118905450"/>
      <w:r>
        <w:rPr>
          <w:i/>
          <w:iCs/>
        </w:rPr>
        <w:t>Rules and Regulations Implementing the Telephone Consumer Protection Act of 1991</w:t>
      </w:r>
      <w:r>
        <w:t xml:space="preserve">, CG Docket No. 02-278, Report and Order, 27 FCC </w:t>
      </w:r>
      <w:r>
        <w:t>Rcd</w:t>
      </w:r>
      <w:r>
        <w:t xml:space="preserve"> 1830, 1844, para. 33 (2012).</w:t>
      </w:r>
      <w:bookmarkEnd w:id="4"/>
    </w:p>
  </w:footnote>
  <w:footnote w:id="10">
    <w:p w:rsidR="002B06B9" w:rsidRPr="003F45A7" w:rsidP="008D0E50" w14:paraId="1AE7BACC" w14:textId="566D1EAA">
      <w:pPr>
        <w:pStyle w:val="FootnoteText"/>
        <w:spacing w:after="120"/>
      </w:pPr>
      <w:r>
        <w:rPr>
          <w:rStyle w:val="FootnoteReference"/>
        </w:rPr>
        <w:footnoteRef/>
      </w:r>
      <w:r>
        <w:t xml:space="preserve"> Marketing Partners, </w:t>
      </w:r>
      <w:hyperlink r:id="rId2" w:history="1">
        <w:r w:rsidRPr="004A5380" w:rsidR="008D0E50">
          <w:rPr>
            <w:rStyle w:val="Hyperlink"/>
          </w:rPr>
          <w:t>http://marketingpartners.business</w:t>
        </w:r>
      </w:hyperlink>
      <w:r w:rsidR="008D0E50">
        <w:t xml:space="preserve"> </w:t>
      </w:r>
      <w:r>
        <w:t xml:space="preserve">(last visited Oct. 27, 2022). </w:t>
      </w:r>
    </w:p>
  </w:footnote>
  <w:footnote w:id="11">
    <w:p w:rsidR="002B06B9" w:rsidP="008D0E50" w14:paraId="46F5ECF1" w14:textId="77777777">
      <w:pPr>
        <w:pStyle w:val="FootnoteText"/>
        <w:spacing w:after="120"/>
      </w:pPr>
      <w:r>
        <w:rPr>
          <w:rStyle w:val="FootnoteReference"/>
        </w:rPr>
        <w:footnoteRef/>
      </w:r>
      <w:r>
        <w:t xml:space="preserve"> </w:t>
      </w:r>
      <w:r w:rsidRPr="005004BD">
        <w:t>The Commission’s rules provide that, to be “clear and conspicuous,” the disclosure must inform consumers that they will “receive future calls that deliver prerecorded messages by or on behalf of a specific seller</w:t>
      </w:r>
      <w:r w:rsidRPr="00681090">
        <w:rPr>
          <w:i/>
          <w:iCs/>
        </w:rPr>
        <w:t>.”  Rules and Regulations Implementing the Telephone Consumer Protection Act of 1991</w:t>
      </w:r>
      <w:r w:rsidRPr="005004BD">
        <w:t xml:space="preserve">, 27 FCC </w:t>
      </w:r>
      <w:r w:rsidRPr="005004BD">
        <w:t>Rcd</w:t>
      </w:r>
      <w:r>
        <w:t xml:space="preserve"> at </w:t>
      </w:r>
      <w:r w:rsidRPr="005004BD">
        <w:t>1844, para. 33.</w:t>
      </w:r>
    </w:p>
  </w:footnote>
  <w:footnote w:id="12">
    <w:p w:rsidR="00D574C2" w:rsidP="009F576A" w14:paraId="3B15CC82" w14:textId="677F8A82">
      <w:pPr>
        <w:pStyle w:val="FootnoteText"/>
        <w:spacing w:after="120"/>
      </w:pPr>
      <w:r>
        <w:rPr>
          <w:rStyle w:val="FootnoteReference"/>
        </w:rPr>
        <w:footnoteRef/>
      </w:r>
      <w:r>
        <w:t xml:space="preserve"> </w:t>
      </w:r>
      <w:r w:rsidR="00F037CC">
        <w:t>47 CFR § 64.1200(f)(18), (k)(4).</w:t>
      </w:r>
    </w:p>
  </w:footnote>
  <w:footnote w:id="13">
    <w:p w:rsidR="00FB5C64" w:rsidP="009F576A" w14:paraId="0CF55826" w14:textId="1E7A31A1">
      <w:pPr>
        <w:pStyle w:val="FootnoteText"/>
        <w:spacing w:after="120"/>
      </w:pPr>
      <w:r>
        <w:rPr>
          <w:rStyle w:val="FootnoteReference"/>
        </w:rPr>
        <w:footnoteRef/>
      </w:r>
      <w:r>
        <w:t xml:space="preserve"> </w:t>
      </w:r>
      <w:r w:rsidR="00C8379D">
        <w:t>47 CFR § 64.1200(k)(4).</w:t>
      </w:r>
    </w:p>
  </w:footnote>
  <w:footnote w:id="14">
    <w:p w:rsidR="00BB3409" w:rsidP="009F576A" w14:paraId="520045A9" w14:textId="1C3BF052">
      <w:pPr>
        <w:pStyle w:val="FootnoteText"/>
        <w:spacing w:after="120"/>
      </w:pPr>
      <w:r>
        <w:rPr>
          <w:rStyle w:val="FootnoteReference"/>
        </w:rPr>
        <w:footnoteRef/>
      </w:r>
      <w:r>
        <w:t xml:space="preserve"> </w:t>
      </w:r>
      <w:r w:rsidR="00EB0020">
        <w:rPr>
          <w:i/>
          <w:iCs/>
        </w:rPr>
        <w:t>See</w:t>
      </w:r>
      <w:r w:rsidR="00EB0020">
        <w:t xml:space="preserve"> </w:t>
      </w:r>
      <w:r w:rsidR="00EB0020">
        <w:rPr>
          <w:i/>
          <w:iCs/>
        </w:rPr>
        <w:t>Advanced Methods to Target and Eliminate Unlawful Robocalls</w:t>
      </w:r>
      <w:r w:rsidR="00EB0020">
        <w:t xml:space="preserve">, CG Docket No. 17-59, Third Report and Order, Order on Reconsideration, and Fourth Further Notice of Proposed Rulemaking, 35 FCC </w:t>
      </w:r>
      <w:r w:rsidR="00EB0020">
        <w:t>Rcd</w:t>
      </w:r>
      <w:r w:rsidR="00EB0020">
        <w:t xml:space="preserve"> 7614, 7630, para. 42 (2020) (</w:t>
      </w:r>
      <w:r w:rsidRPr="007B65EE" w:rsidR="00EB0020">
        <w:rPr>
          <w:i/>
          <w:iCs/>
        </w:rPr>
        <w:t>Call Blocking Safe Harbor Report and Order</w:t>
      </w:r>
      <w:r w:rsidR="00EB0020">
        <w:t>).</w:t>
      </w:r>
    </w:p>
  </w:footnote>
  <w:footnote w:id="15">
    <w:p w:rsidR="005059A4" w:rsidRPr="00E70C2E" w:rsidP="00142055" w14:paraId="7675846D" w14:textId="25163FF4">
      <w:pPr>
        <w:pStyle w:val="FootnoteText"/>
        <w:spacing w:after="120"/>
        <w:jc w:val="both"/>
      </w:pPr>
      <w:r>
        <w:rPr>
          <w:rStyle w:val="FootnoteReference"/>
        </w:rPr>
        <w:footnoteRef/>
      </w:r>
      <w:r>
        <w:t xml:space="preserve"> </w:t>
      </w:r>
      <w:r>
        <w:rPr>
          <w:i/>
          <w:iCs/>
        </w:rPr>
        <w:t>See</w:t>
      </w:r>
      <w:r>
        <w:t xml:space="preserve"> </w:t>
      </w:r>
      <w:r w:rsidR="00EB0020">
        <w:rPr>
          <w:i/>
          <w:iCs/>
        </w:rPr>
        <w:t>id.</w:t>
      </w:r>
      <w:r w:rsidR="00EB0020">
        <w:t xml:space="preserve"> at </w:t>
      </w:r>
      <w:r>
        <w:t>7630, para. 43 (2020).</w:t>
      </w:r>
    </w:p>
  </w:footnote>
  <w:footnote w:id="16">
    <w:p w:rsidR="005059A4" w:rsidRPr="007D388E" w:rsidP="005059A4" w14:paraId="15663E90" w14:textId="77777777">
      <w:pPr>
        <w:pStyle w:val="FootnoteText"/>
        <w:spacing w:after="120"/>
        <w:jc w:val="both"/>
      </w:pPr>
      <w:r>
        <w:rPr>
          <w:rStyle w:val="FootnoteReference"/>
        </w:rPr>
        <w:footnoteRef/>
      </w:r>
      <w:r>
        <w:t xml:space="preserve"> You are encouraged to reach out to the Commission before the deadline if you anticipate needing more time to execute this step.</w:t>
      </w:r>
    </w:p>
  </w:footnote>
  <w:footnote w:id="17">
    <w:p w:rsidR="005059A4" w:rsidP="005059A4" w14:paraId="12426618" w14:textId="55B7E13C">
      <w:pPr>
        <w:pStyle w:val="FootnoteText"/>
        <w:spacing w:after="120"/>
      </w:pPr>
      <w:r>
        <w:rPr>
          <w:rStyle w:val="FootnoteReference"/>
        </w:rPr>
        <w:footnoteRef/>
      </w:r>
      <w:r>
        <w:t xml:space="preserve"> </w:t>
      </w:r>
      <w:r w:rsidRPr="00F16C21">
        <w:t>In July 2020,</w:t>
      </w:r>
      <w:r w:rsidRPr="00F16C21">
        <w:rPr>
          <w:i/>
          <w:iCs/>
        </w:rPr>
        <w:t xml:space="preserve"> </w:t>
      </w:r>
      <w:r w:rsidRPr="00F16C21">
        <w:t xml:space="preserve">the Commission adopted the </w:t>
      </w:r>
      <w:r w:rsidRPr="00F16C21">
        <w:rPr>
          <w:i/>
          <w:iCs/>
        </w:rPr>
        <w:t>Call Blocking Safe Harbor Report and Order,</w:t>
      </w:r>
      <w:r w:rsidRPr="00F16C21">
        <w:rPr>
          <w:iCs/>
        </w:rPr>
        <w:t xml:space="preserve"> which authorized</w:t>
      </w:r>
      <w:r w:rsidRPr="00F16C21">
        <w:t xml:space="preserve"> voice service providers to block illegal robocalls.</w:t>
      </w:r>
      <w:r>
        <w:t xml:space="preserve">  </w:t>
      </w:r>
      <w:r w:rsidRPr="007B65EE">
        <w:rPr>
          <w:i/>
          <w:iCs/>
        </w:rPr>
        <w:t>Call Blocking Safe Harbor Report and Order</w:t>
      </w:r>
      <w:r>
        <w:t xml:space="preserve">, 35 FCC </w:t>
      </w:r>
      <w:r>
        <w:t>Rcd</w:t>
      </w:r>
      <w:r>
        <w:t xml:space="preserve"> at 7628, para. 37; </w:t>
      </w:r>
      <w:r>
        <w:rPr>
          <w:i/>
          <w:iCs/>
        </w:rPr>
        <w:t xml:space="preserve">see also </w:t>
      </w:r>
      <w:r>
        <w:t>47 CFR § 64.1200(k)(3)-(4).</w:t>
      </w:r>
      <w:r w:rsidRPr="00F16C21">
        <w:t xml:space="preserve">  </w:t>
      </w:r>
      <w:r w:rsidRPr="00F16C21">
        <w:rPr>
          <w:iCs/>
        </w:rPr>
        <w:t>If the</w:t>
      </w:r>
      <w:r w:rsidRPr="00F16C21">
        <w:t xml:space="preserve"> Commission identifies illegal traffic, based on information obtained through traceback such as that provided by the Traceback Consortium, </w:t>
      </w:r>
      <w:r>
        <w:t>the Commission</w:t>
      </w:r>
      <w:r w:rsidRPr="00F16C21">
        <w:t xml:space="preserve"> may notify the voice service provider that it is transmitting identified probable illegal calls (or “bad traffic”) and, upon receipt of notification, the voice service provider </w:t>
      </w:r>
      <w:r>
        <w:t>should</w:t>
      </w:r>
      <w:r w:rsidRPr="00F16C21">
        <w:t xml:space="preserve"> investigate promptly and </w:t>
      </w:r>
      <w:r>
        <w:t>take any steps that may be necessary to</w:t>
      </w:r>
      <w:r w:rsidRPr="00F16C21">
        <w:t xml:space="preserve"> prevent the illegal caller from continuing to use the network to make such calls. </w:t>
      </w:r>
      <w:r>
        <w:t xml:space="preserve"> </w:t>
      </w:r>
      <w:r w:rsidRPr="00F16C21">
        <w:t>Furthermore, if the notified voice service provider fails to take effective mitigation measures within 48 hours, any downstream voice service provider may block the calls from the notified provider.</w:t>
      </w:r>
      <w:r>
        <w:t xml:space="preserve">  </w:t>
      </w:r>
      <w:r w:rsidRPr="007B65EE">
        <w:rPr>
          <w:i/>
          <w:iCs/>
        </w:rPr>
        <w:t>Call Blocking Safe Harbor Report and Order</w:t>
      </w:r>
      <w:r>
        <w:t xml:space="preserve">, 35 FCC </w:t>
      </w:r>
      <w:r>
        <w:t>Rcd</w:t>
      </w:r>
      <w:r w:rsidRPr="00462814">
        <w:t xml:space="preserve"> at 76</w:t>
      </w:r>
      <w:r>
        <w:t>28-29</w:t>
      </w:r>
      <w:r w:rsidRPr="00462814">
        <w:t xml:space="preserve">, para. </w:t>
      </w:r>
      <w:r>
        <w:t xml:space="preserve">39.  </w:t>
      </w:r>
      <w:r w:rsidRPr="00462814">
        <w:t xml:space="preserve">Any </w:t>
      </w:r>
      <w:r>
        <w:t xml:space="preserve">voice </w:t>
      </w:r>
      <w:r w:rsidRPr="00462814">
        <w:t>service provider that decide</w:t>
      </w:r>
      <w:r>
        <w:t>s</w:t>
      </w:r>
      <w:r w:rsidRPr="00462814">
        <w:t xml:space="preserve"> to block traffic from the bad actor provider must notify the Commission of its decision and provide a brief summary of its basis for making such a determination</w:t>
      </w:r>
      <w:r>
        <w:t xml:space="preserve"> prior to initiating blocking</w:t>
      </w:r>
      <w:r w:rsidRPr="00462814">
        <w:t xml:space="preserve">.  </w:t>
      </w:r>
      <w:r>
        <w:rPr>
          <w:i/>
          <w:iCs/>
        </w:rPr>
        <w:t>Id.</w:t>
      </w:r>
      <w:r w:rsidRPr="00462814">
        <w:t xml:space="preserve"> at 7630, para. 42</w:t>
      </w:r>
      <w:r>
        <w:t>; 47 CFR § 64.1200(k)(4).</w:t>
      </w:r>
      <w:r w:rsidRPr="00F16C21">
        <w:t xml:space="preserve">  If the notified voice service provider fails to implement effective measures to prevent new and renewing customers from using its network to originate illegal calls, other downstream voice service providers may block the calls from the notified provider</w:t>
      </w:r>
      <w:r>
        <w:t xml:space="preserve">.  </w:t>
      </w:r>
      <w:r w:rsidRPr="007B65EE">
        <w:rPr>
          <w:i/>
          <w:iCs/>
        </w:rPr>
        <w:t>Call Blocking Safe Harbor Report and Order</w:t>
      </w:r>
      <w:r>
        <w:t xml:space="preserve">, 35 FCC </w:t>
      </w:r>
      <w:r>
        <w:t>Rcd</w:t>
      </w:r>
      <w:r w:rsidRPr="00462814">
        <w:t xml:space="preserve"> at</w:t>
      </w:r>
      <w:r>
        <w:t xml:space="preserve"> 7630</w:t>
      </w:r>
      <w:r w:rsidRPr="00462814">
        <w:t xml:space="preserve"> para. </w:t>
      </w:r>
      <w:r>
        <w:t xml:space="preserve">43; 47 CFR § 64.1200(k)(4).  A voice service provider that </w:t>
      </w:r>
      <w:r w:rsidRPr="00462814">
        <w:t>decide</w:t>
      </w:r>
      <w:r>
        <w:t>s</w:t>
      </w:r>
      <w:r w:rsidRPr="00462814">
        <w:t xml:space="preserve"> to block traffic from the bad actor provider must notify the Commission of its decision and provide a brief summary of its basis for making such a determination</w:t>
      </w:r>
      <w:r>
        <w:t xml:space="preserve"> prior to initiating blocking</w:t>
      </w:r>
      <w:r w:rsidRPr="00462814">
        <w:t>.</w:t>
      </w:r>
      <w:r>
        <w:t xml:space="preserve"> </w:t>
      </w:r>
      <w:r>
        <w:rPr>
          <w:i/>
          <w:iCs/>
        </w:rPr>
        <w:t>Id.</w:t>
      </w:r>
      <w:r w:rsidRPr="00462814">
        <w:t xml:space="preserve"> at 7630, para. 4</w:t>
      </w:r>
      <w:r>
        <w:t>3; 47 CFR § 64.1200(k)(4).</w:t>
      </w:r>
    </w:p>
  </w:footnote>
  <w:footnote w:id="18">
    <w:p w:rsidR="005059A4" w:rsidP="005059A4" w14:paraId="185360B7" w14:textId="67EB62BC">
      <w:pPr>
        <w:pStyle w:val="FootnoteText"/>
        <w:spacing w:after="120"/>
      </w:pPr>
      <w:r>
        <w:rPr>
          <w:rStyle w:val="FootnoteReference"/>
        </w:rPr>
        <w:footnoteRef/>
      </w:r>
      <w:r>
        <w:t xml:space="preserve"> </w:t>
      </w:r>
      <w:r>
        <w:rPr>
          <w:i/>
          <w:iCs/>
        </w:rPr>
        <w:t>See Call Authentication Trust Anchor</w:t>
      </w:r>
      <w:r>
        <w:t xml:space="preserve">, 36 FCC </w:t>
      </w:r>
      <w:r>
        <w:t>Rcd</w:t>
      </w:r>
      <w:r>
        <w:t xml:space="preserve"> at </w:t>
      </w:r>
      <w:r w:rsidRPr="009F576A">
        <w:t>190</w:t>
      </w:r>
      <w:r w:rsidRPr="009F576A" w:rsidR="00D6332C">
        <w:t>3</w:t>
      </w:r>
      <w:r w:rsidRPr="009F576A">
        <w:t>,</w:t>
      </w:r>
      <w:r>
        <w:t xml:space="preserve"> para. </w:t>
      </w:r>
      <w:r w:rsidR="00322848">
        <w:t>83</w:t>
      </w:r>
      <w:r>
        <w:t>.</w:t>
      </w:r>
    </w:p>
  </w:footnote>
  <w:footnote w:id="19">
    <w:p w:rsidR="005059A4" w:rsidRPr="00275CB2" w:rsidP="005059A4" w14:paraId="51B21695" w14:textId="61152334">
      <w:pPr>
        <w:pStyle w:val="FootnoteText"/>
        <w:spacing w:after="120"/>
      </w:pPr>
      <w:r>
        <w:rPr>
          <w:rStyle w:val="FootnoteReference"/>
        </w:rPr>
        <w:footnoteRef/>
      </w:r>
      <w:r>
        <w:t xml:space="preserve"> 47 CFR </w:t>
      </w:r>
      <w:r w:rsidRPr="009511C9">
        <w:t>§</w:t>
      </w:r>
      <w:r>
        <w:t xml:space="preserve"> 64.6305(</w:t>
      </w:r>
      <w:r w:rsidR="004C6F63">
        <w:t>e</w:t>
      </w:r>
      <w:r>
        <w:t xml:space="preserve">).  </w:t>
      </w:r>
      <w:r>
        <w:rPr>
          <w:i/>
          <w:iCs/>
        </w:rPr>
        <w:t>See Call Authentication Trust Anchor</w:t>
      </w:r>
      <w:r>
        <w:t xml:space="preserve">, 36 FCC </w:t>
      </w:r>
      <w:r>
        <w:t>Rcd</w:t>
      </w:r>
      <w:r>
        <w:t xml:space="preserve"> at 1904, para. 86; </w:t>
      </w:r>
      <w:r>
        <w:rPr>
          <w:i/>
          <w:iCs/>
        </w:rPr>
        <w:t xml:space="preserve">Wireline Competition </w:t>
      </w:r>
      <w:r w:rsidRPr="00275CB2">
        <w:rPr>
          <w:i/>
          <w:iCs/>
        </w:rPr>
        <w:t>Bureau Announces Opening of Robocall Mitigation Database and Provides Filing Instructions and Deadlines</w:t>
      </w:r>
      <w:r w:rsidRPr="00275CB2">
        <w:t>, WC Docket No. 17-97, Public Notice, DA 21-454 (WCB Apr. 20, 2021).</w:t>
      </w:r>
    </w:p>
  </w:footnote>
  <w:footnote w:id="20">
    <w:p w:rsidR="005059A4" w:rsidRPr="00275CB2" w:rsidP="005059A4" w14:paraId="3819449F" w14:textId="77EAB665">
      <w:pPr>
        <w:pStyle w:val="FootnoteText"/>
        <w:spacing w:after="120"/>
      </w:pPr>
      <w:r w:rsidRPr="00275CB2">
        <w:rPr>
          <w:rStyle w:val="FootnoteReference"/>
        </w:rPr>
        <w:footnoteRef/>
      </w:r>
      <w:r w:rsidRPr="00275CB2">
        <w:t xml:space="preserve"> </w:t>
      </w:r>
      <w:r w:rsidRPr="00275CB2">
        <w:rPr>
          <w:i/>
          <w:iCs/>
        </w:rPr>
        <w:t>See Call Authentication Trust Anchor</w:t>
      </w:r>
      <w:r w:rsidRPr="00275CB2">
        <w:t xml:space="preserve">, 36 FCC </w:t>
      </w:r>
      <w:r w:rsidRPr="00275CB2">
        <w:t>Rcd</w:t>
      </w:r>
      <w:r w:rsidRPr="00275CB2">
        <w:t xml:space="preserve"> at 1902</w:t>
      </w:r>
      <w:r w:rsidR="009F576A">
        <w:t>-03</w:t>
      </w:r>
      <w:r w:rsidRPr="00275CB2">
        <w:t>, 1905, paras. 81</w:t>
      </w:r>
      <w:r w:rsidR="00787172">
        <w:t>-83,</w:t>
      </w:r>
      <w:r w:rsidRPr="00275CB2">
        <w:t xml:space="preserve"> 88.</w:t>
      </w:r>
    </w:p>
  </w:footnote>
  <w:footnote w:id="21">
    <w:p w:rsidR="005059A4" w:rsidRPr="00F60E79" w:rsidP="005059A4" w14:paraId="3C6A5038" w14:textId="77777777">
      <w:pPr>
        <w:pStyle w:val="FootnoteText"/>
        <w:spacing w:after="120"/>
      </w:pPr>
      <w:r w:rsidRPr="00275CB2">
        <w:rPr>
          <w:rStyle w:val="FootnoteReference"/>
        </w:rPr>
        <w:footnoteRef/>
      </w:r>
      <w:r w:rsidRPr="00275CB2">
        <w:t xml:space="preserve"> </w:t>
      </w:r>
      <w:r w:rsidRPr="00275CB2">
        <w:rPr>
          <w:i/>
          <w:iCs/>
        </w:rPr>
        <w:t>Id.</w:t>
      </w:r>
      <w:r w:rsidRPr="00275CB2">
        <w:t xml:space="preserve"> at 1905, para.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048" w14:paraId="0BCE1CD8" w14:textId="0B4288BF">
    <w:pPr>
      <w:pStyle w:val="Header"/>
    </w:pPr>
  </w:p>
  <w:p w:rsidR="00E72048" w14:paraId="210D14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048" w:rsidP="00E4089F" w14:paraId="7302D2D5" w14:textId="447A77DC">
    <w:pPr>
      <w:pStyle w:val="Header"/>
      <w:spacing w:before="360" w:line="228" w:lineRule="auto"/>
      <w:jc w:val="center"/>
    </w:pPr>
    <w:r>
      <w:rPr>
        <w:rFonts w:ascii="CG Times (W1)" w:hAnsi="CG Times (W1)"/>
        <w:noProof/>
        <w:sz w:val="28"/>
      </w:rPr>
      <w:drawing>
        <wp:anchor distT="0" distB="0" distL="114300" distR="114300" simplePos="0" relativeHeight="251658240" behindDoc="0" locked="0" layoutInCell="1" allowOverlap="1">
          <wp:simplePos x="0" y="0"/>
          <wp:positionH relativeFrom="margin">
            <wp:align>left</wp:align>
          </wp:positionH>
          <wp:positionV relativeFrom="page">
            <wp:posOffset>628650</wp:posOffset>
          </wp:positionV>
          <wp:extent cx="9715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7155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CG Times (W1)" w:hAnsi="CG Times (W1)"/>
        <w:sz w:val="28"/>
      </w:rPr>
      <w:t>Federal Communications Commission</w:t>
    </w:r>
    <w:r>
      <w:rPr>
        <w:rFonts w:ascii="CG Times (W1)" w:hAnsi="CG Times (W1)"/>
        <w:sz w:val="28"/>
      </w:rPr>
      <w:br/>
      <w:t>Enforcement Bureau</w:t>
    </w:r>
    <w:r>
      <w:rPr>
        <w:rFonts w:ascii="CG Times (W1)" w:hAnsi="CG Times (W1)"/>
        <w:sz w:val="28"/>
      </w:rPr>
      <w:br/>
      <w:t xml:space="preserve">45 L Street, NE </w:t>
    </w:r>
    <w:r>
      <w:rPr>
        <w:rFonts w:ascii="CG Times (W1)" w:hAnsi="CG Times (W1)"/>
        <w:sz w:val="28"/>
      </w:rPr>
      <w:br/>
      <w:t>Washington, DC 20554</w:t>
    </w:r>
  </w:p>
  <w:p w:rsidR="00E72048" w14:paraId="553952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048" w14:paraId="41BC5F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1A78"/>
    <w:multiLevelType w:val="hybridMultilevel"/>
    <w:tmpl w:val="5CCA4E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4FC6DBC"/>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
    <w:nsid w:val="157570B2"/>
    <w:multiLevelType w:val="hybridMultilevel"/>
    <w:tmpl w:val="4C303F4E"/>
    <w:lvl w:ilvl="0">
      <w:start w:val="1"/>
      <w:numFmt w:val="decimal"/>
      <w:lvlText w:val="%1."/>
      <w:lvlJc w:val="left"/>
      <w:pPr>
        <w:ind w:left="2640" w:hanging="360"/>
      </w:pPr>
      <w:rPr>
        <w:rFonts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3">
    <w:nsid w:val="23076C70"/>
    <w:multiLevelType w:val="hybridMultilevel"/>
    <w:tmpl w:val="8982D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01764F"/>
    <w:multiLevelType w:val="hybridMultilevel"/>
    <w:tmpl w:val="0A6E7AB2"/>
    <w:lvl w:ilvl="0">
      <w:start w:val="1"/>
      <w:numFmt w:val="bullet"/>
      <w:lvlText w:val=""/>
      <w:lvlJc w:val="left"/>
      <w:pPr>
        <w:ind w:left="2640" w:hanging="360"/>
      </w:pPr>
      <w:rPr>
        <w:rFonts w:ascii="Symbol" w:hAnsi="Symbol"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5">
    <w:nsid w:val="311A6C10"/>
    <w:multiLevelType w:val="hybridMultilevel"/>
    <w:tmpl w:val="E914493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6">
    <w:nsid w:val="39CB5A76"/>
    <w:multiLevelType w:val="multilevel"/>
    <w:tmpl w:val="4618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A86C1F"/>
    <w:multiLevelType w:val="hybridMultilevel"/>
    <w:tmpl w:val="D8804468"/>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5E1928FD"/>
    <w:multiLevelType w:val="hybridMultilevel"/>
    <w:tmpl w:val="5ADADD7C"/>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4"/>
  </w:num>
  <w:num w:numId="3">
    <w:abstractNumId w:val="2"/>
  </w:num>
  <w:num w:numId="4">
    <w:abstractNumId w:val="7"/>
  </w:num>
  <w:num w:numId="5">
    <w:abstractNumId w:val="3"/>
  </w:num>
  <w:num w:numId="6">
    <w:abstractNumId w:val="8"/>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2C"/>
    <w:rsid w:val="000011E0"/>
    <w:rsid w:val="000020BA"/>
    <w:rsid w:val="0000362F"/>
    <w:rsid w:val="0000411C"/>
    <w:rsid w:val="00005A3C"/>
    <w:rsid w:val="00006C53"/>
    <w:rsid w:val="00011CD3"/>
    <w:rsid w:val="000225DF"/>
    <w:rsid w:val="00022959"/>
    <w:rsid w:val="000246BF"/>
    <w:rsid w:val="00024B5D"/>
    <w:rsid w:val="00032110"/>
    <w:rsid w:val="00033400"/>
    <w:rsid w:val="00035D4F"/>
    <w:rsid w:val="00037342"/>
    <w:rsid w:val="000374FE"/>
    <w:rsid w:val="00040B9F"/>
    <w:rsid w:val="0004168B"/>
    <w:rsid w:val="0004707D"/>
    <w:rsid w:val="00047C8F"/>
    <w:rsid w:val="000524B8"/>
    <w:rsid w:val="00061CA6"/>
    <w:rsid w:val="0006347F"/>
    <w:rsid w:val="000638DA"/>
    <w:rsid w:val="0006424E"/>
    <w:rsid w:val="00064580"/>
    <w:rsid w:val="00065EF1"/>
    <w:rsid w:val="00070192"/>
    <w:rsid w:val="00070681"/>
    <w:rsid w:val="00071937"/>
    <w:rsid w:val="00071CAC"/>
    <w:rsid w:val="000741E5"/>
    <w:rsid w:val="0007514E"/>
    <w:rsid w:val="00087219"/>
    <w:rsid w:val="000903A6"/>
    <w:rsid w:val="00091B15"/>
    <w:rsid w:val="000934C9"/>
    <w:rsid w:val="000A5AB8"/>
    <w:rsid w:val="000A609F"/>
    <w:rsid w:val="000A6406"/>
    <w:rsid w:val="000A689F"/>
    <w:rsid w:val="000B174E"/>
    <w:rsid w:val="000B1C4C"/>
    <w:rsid w:val="000B22A9"/>
    <w:rsid w:val="000B2DA9"/>
    <w:rsid w:val="000B4719"/>
    <w:rsid w:val="000B7FEB"/>
    <w:rsid w:val="000C0554"/>
    <w:rsid w:val="000C5777"/>
    <w:rsid w:val="000C6501"/>
    <w:rsid w:val="000D0D9A"/>
    <w:rsid w:val="000D1146"/>
    <w:rsid w:val="000D6A25"/>
    <w:rsid w:val="000E3310"/>
    <w:rsid w:val="000E4A86"/>
    <w:rsid w:val="000E6E25"/>
    <w:rsid w:val="000F03DC"/>
    <w:rsid w:val="0010007B"/>
    <w:rsid w:val="00107789"/>
    <w:rsid w:val="00113243"/>
    <w:rsid w:val="00114FA2"/>
    <w:rsid w:val="00116CFD"/>
    <w:rsid w:val="001277D4"/>
    <w:rsid w:val="00132592"/>
    <w:rsid w:val="0013558A"/>
    <w:rsid w:val="00142055"/>
    <w:rsid w:val="001428B6"/>
    <w:rsid w:val="0014489F"/>
    <w:rsid w:val="00146A96"/>
    <w:rsid w:val="00150F29"/>
    <w:rsid w:val="00152AE0"/>
    <w:rsid w:val="001550FC"/>
    <w:rsid w:val="00157480"/>
    <w:rsid w:val="001617D7"/>
    <w:rsid w:val="001626D4"/>
    <w:rsid w:val="0016565F"/>
    <w:rsid w:val="00165A6A"/>
    <w:rsid w:val="0017078B"/>
    <w:rsid w:val="00170A76"/>
    <w:rsid w:val="00171BDF"/>
    <w:rsid w:val="00172370"/>
    <w:rsid w:val="00174E8E"/>
    <w:rsid w:val="0018170D"/>
    <w:rsid w:val="00182FBF"/>
    <w:rsid w:val="001849B3"/>
    <w:rsid w:val="00185128"/>
    <w:rsid w:val="00190316"/>
    <w:rsid w:val="00190C85"/>
    <w:rsid w:val="001921DE"/>
    <w:rsid w:val="00193926"/>
    <w:rsid w:val="00195576"/>
    <w:rsid w:val="00197CFA"/>
    <w:rsid w:val="001A17AC"/>
    <w:rsid w:val="001A4EC6"/>
    <w:rsid w:val="001A504C"/>
    <w:rsid w:val="001B00FF"/>
    <w:rsid w:val="001B1A17"/>
    <w:rsid w:val="001B1FA8"/>
    <w:rsid w:val="001B2A76"/>
    <w:rsid w:val="001C2215"/>
    <w:rsid w:val="001C27D7"/>
    <w:rsid w:val="001C3041"/>
    <w:rsid w:val="001C6151"/>
    <w:rsid w:val="001D2AE8"/>
    <w:rsid w:val="001D37BB"/>
    <w:rsid w:val="001D434F"/>
    <w:rsid w:val="001E135D"/>
    <w:rsid w:val="001E15F4"/>
    <w:rsid w:val="001E1E9F"/>
    <w:rsid w:val="001E2FAC"/>
    <w:rsid w:val="001E4B05"/>
    <w:rsid w:val="001F480A"/>
    <w:rsid w:val="001F4D80"/>
    <w:rsid w:val="00200CDA"/>
    <w:rsid w:val="00201C5E"/>
    <w:rsid w:val="00204654"/>
    <w:rsid w:val="0020691B"/>
    <w:rsid w:val="00207ECD"/>
    <w:rsid w:val="002101F6"/>
    <w:rsid w:val="002112D0"/>
    <w:rsid w:val="0021151F"/>
    <w:rsid w:val="00212C67"/>
    <w:rsid w:val="00214063"/>
    <w:rsid w:val="002202E4"/>
    <w:rsid w:val="002206F5"/>
    <w:rsid w:val="00220883"/>
    <w:rsid w:val="002236FE"/>
    <w:rsid w:val="002240CB"/>
    <w:rsid w:val="002245D2"/>
    <w:rsid w:val="00225AA8"/>
    <w:rsid w:val="00232EF7"/>
    <w:rsid w:val="002331C2"/>
    <w:rsid w:val="0023404C"/>
    <w:rsid w:val="00235A8A"/>
    <w:rsid w:val="002371B7"/>
    <w:rsid w:val="00242A7C"/>
    <w:rsid w:val="00244477"/>
    <w:rsid w:val="002451DA"/>
    <w:rsid w:val="0024681D"/>
    <w:rsid w:val="00254526"/>
    <w:rsid w:val="002546BB"/>
    <w:rsid w:val="00254B36"/>
    <w:rsid w:val="002550AF"/>
    <w:rsid w:val="00256D35"/>
    <w:rsid w:val="00260AB8"/>
    <w:rsid w:val="00261012"/>
    <w:rsid w:val="00261DAC"/>
    <w:rsid w:val="002647D1"/>
    <w:rsid w:val="00267F41"/>
    <w:rsid w:val="00267F64"/>
    <w:rsid w:val="00275CB2"/>
    <w:rsid w:val="00275F54"/>
    <w:rsid w:val="00276A58"/>
    <w:rsid w:val="00277DAB"/>
    <w:rsid w:val="0028085E"/>
    <w:rsid w:val="00282A51"/>
    <w:rsid w:val="0028367B"/>
    <w:rsid w:val="002844C7"/>
    <w:rsid w:val="00287DCA"/>
    <w:rsid w:val="0029320E"/>
    <w:rsid w:val="00294946"/>
    <w:rsid w:val="00296AB7"/>
    <w:rsid w:val="002A080B"/>
    <w:rsid w:val="002A2C90"/>
    <w:rsid w:val="002A387F"/>
    <w:rsid w:val="002A40FD"/>
    <w:rsid w:val="002A6B32"/>
    <w:rsid w:val="002B034C"/>
    <w:rsid w:val="002B06B9"/>
    <w:rsid w:val="002B3FA5"/>
    <w:rsid w:val="002B77C7"/>
    <w:rsid w:val="002C3C3A"/>
    <w:rsid w:val="002C4DD1"/>
    <w:rsid w:val="002C4E19"/>
    <w:rsid w:val="002C51B5"/>
    <w:rsid w:val="002C6183"/>
    <w:rsid w:val="002C6BD7"/>
    <w:rsid w:val="002C71F5"/>
    <w:rsid w:val="002D0704"/>
    <w:rsid w:val="002D2C0C"/>
    <w:rsid w:val="002D37D1"/>
    <w:rsid w:val="002D446D"/>
    <w:rsid w:val="002D5EE8"/>
    <w:rsid w:val="002D6AE5"/>
    <w:rsid w:val="002E1E4D"/>
    <w:rsid w:val="002E2696"/>
    <w:rsid w:val="002E2C6C"/>
    <w:rsid w:val="002E40F4"/>
    <w:rsid w:val="002E6F32"/>
    <w:rsid w:val="002E75C1"/>
    <w:rsid w:val="002F3E69"/>
    <w:rsid w:val="002F7FD0"/>
    <w:rsid w:val="0030588B"/>
    <w:rsid w:val="00305B22"/>
    <w:rsid w:val="00306B9C"/>
    <w:rsid w:val="00307F62"/>
    <w:rsid w:val="00312B6F"/>
    <w:rsid w:val="00316CEA"/>
    <w:rsid w:val="00320DF0"/>
    <w:rsid w:val="00322848"/>
    <w:rsid w:val="00322895"/>
    <w:rsid w:val="00324566"/>
    <w:rsid w:val="00324FFB"/>
    <w:rsid w:val="00325596"/>
    <w:rsid w:val="00326565"/>
    <w:rsid w:val="00330908"/>
    <w:rsid w:val="00330BF0"/>
    <w:rsid w:val="00332F82"/>
    <w:rsid w:val="0033303A"/>
    <w:rsid w:val="003330CB"/>
    <w:rsid w:val="00333C8A"/>
    <w:rsid w:val="003409D3"/>
    <w:rsid w:val="00340E66"/>
    <w:rsid w:val="00341FDC"/>
    <w:rsid w:val="003444C6"/>
    <w:rsid w:val="00346549"/>
    <w:rsid w:val="003506A0"/>
    <w:rsid w:val="00353839"/>
    <w:rsid w:val="003551E1"/>
    <w:rsid w:val="00355A49"/>
    <w:rsid w:val="00363391"/>
    <w:rsid w:val="00367ACE"/>
    <w:rsid w:val="003729BB"/>
    <w:rsid w:val="00375997"/>
    <w:rsid w:val="00377106"/>
    <w:rsid w:val="00380644"/>
    <w:rsid w:val="00391970"/>
    <w:rsid w:val="00391BAE"/>
    <w:rsid w:val="00393B91"/>
    <w:rsid w:val="00395902"/>
    <w:rsid w:val="003A1A3D"/>
    <w:rsid w:val="003A2AFC"/>
    <w:rsid w:val="003A6390"/>
    <w:rsid w:val="003B045F"/>
    <w:rsid w:val="003B1985"/>
    <w:rsid w:val="003B32F9"/>
    <w:rsid w:val="003B6772"/>
    <w:rsid w:val="003B6C1B"/>
    <w:rsid w:val="003C4392"/>
    <w:rsid w:val="003C4586"/>
    <w:rsid w:val="003C787E"/>
    <w:rsid w:val="003D0E20"/>
    <w:rsid w:val="003D2D36"/>
    <w:rsid w:val="003D5BD3"/>
    <w:rsid w:val="003D6394"/>
    <w:rsid w:val="003E1247"/>
    <w:rsid w:val="003F45A7"/>
    <w:rsid w:val="003F539E"/>
    <w:rsid w:val="003F5750"/>
    <w:rsid w:val="00401820"/>
    <w:rsid w:val="00404C2E"/>
    <w:rsid w:val="004056F3"/>
    <w:rsid w:val="00405786"/>
    <w:rsid w:val="004124E3"/>
    <w:rsid w:val="00413863"/>
    <w:rsid w:val="00416BBD"/>
    <w:rsid w:val="00420999"/>
    <w:rsid w:val="00421C68"/>
    <w:rsid w:val="00422C0A"/>
    <w:rsid w:val="004264AB"/>
    <w:rsid w:val="00436F2A"/>
    <w:rsid w:val="0044085F"/>
    <w:rsid w:val="0044425D"/>
    <w:rsid w:val="0044503D"/>
    <w:rsid w:val="0044536E"/>
    <w:rsid w:val="0044594F"/>
    <w:rsid w:val="00446703"/>
    <w:rsid w:val="00447766"/>
    <w:rsid w:val="00450319"/>
    <w:rsid w:val="00452B37"/>
    <w:rsid w:val="00453182"/>
    <w:rsid w:val="004557AF"/>
    <w:rsid w:val="00456486"/>
    <w:rsid w:val="00457844"/>
    <w:rsid w:val="0046115A"/>
    <w:rsid w:val="00461ED1"/>
    <w:rsid w:val="00462348"/>
    <w:rsid w:val="00462814"/>
    <w:rsid w:val="00467B52"/>
    <w:rsid w:val="00471E7E"/>
    <w:rsid w:val="00475F2B"/>
    <w:rsid w:val="004770FD"/>
    <w:rsid w:val="00483272"/>
    <w:rsid w:val="00485B6B"/>
    <w:rsid w:val="0048792A"/>
    <w:rsid w:val="0049693B"/>
    <w:rsid w:val="004A2C8E"/>
    <w:rsid w:val="004A5380"/>
    <w:rsid w:val="004A756D"/>
    <w:rsid w:val="004B657D"/>
    <w:rsid w:val="004B7BDA"/>
    <w:rsid w:val="004C0257"/>
    <w:rsid w:val="004C02EB"/>
    <w:rsid w:val="004C1393"/>
    <w:rsid w:val="004C50B4"/>
    <w:rsid w:val="004C5FD5"/>
    <w:rsid w:val="004C604F"/>
    <w:rsid w:val="004C6353"/>
    <w:rsid w:val="004C656B"/>
    <w:rsid w:val="004C6A14"/>
    <w:rsid w:val="004C6F63"/>
    <w:rsid w:val="004C70BB"/>
    <w:rsid w:val="004C7ECD"/>
    <w:rsid w:val="004D247B"/>
    <w:rsid w:val="004D520B"/>
    <w:rsid w:val="004D5D54"/>
    <w:rsid w:val="004D6FBC"/>
    <w:rsid w:val="004E3977"/>
    <w:rsid w:val="004F2F27"/>
    <w:rsid w:val="004F45CF"/>
    <w:rsid w:val="004F4AFE"/>
    <w:rsid w:val="004F55D0"/>
    <w:rsid w:val="004F5EA9"/>
    <w:rsid w:val="004F7BC9"/>
    <w:rsid w:val="005004BD"/>
    <w:rsid w:val="005059A4"/>
    <w:rsid w:val="00505FCB"/>
    <w:rsid w:val="00510CE6"/>
    <w:rsid w:val="00511543"/>
    <w:rsid w:val="0051284C"/>
    <w:rsid w:val="0051287A"/>
    <w:rsid w:val="00514934"/>
    <w:rsid w:val="00514C53"/>
    <w:rsid w:val="0051506A"/>
    <w:rsid w:val="00516C91"/>
    <w:rsid w:val="0051746C"/>
    <w:rsid w:val="005204C0"/>
    <w:rsid w:val="0052160D"/>
    <w:rsid w:val="00522C83"/>
    <w:rsid w:val="00524819"/>
    <w:rsid w:val="00525815"/>
    <w:rsid w:val="005273F4"/>
    <w:rsid w:val="00527BC5"/>
    <w:rsid w:val="005306AD"/>
    <w:rsid w:val="00531B4F"/>
    <w:rsid w:val="00534388"/>
    <w:rsid w:val="0053629F"/>
    <w:rsid w:val="005400D3"/>
    <w:rsid w:val="005403D4"/>
    <w:rsid w:val="00541012"/>
    <w:rsid w:val="0054294B"/>
    <w:rsid w:val="00545DDF"/>
    <w:rsid w:val="005461E1"/>
    <w:rsid w:val="005476EC"/>
    <w:rsid w:val="005511F9"/>
    <w:rsid w:val="00554BA1"/>
    <w:rsid w:val="005568E2"/>
    <w:rsid w:val="0055737C"/>
    <w:rsid w:val="0056024A"/>
    <w:rsid w:val="00560DE1"/>
    <w:rsid w:val="005621FC"/>
    <w:rsid w:val="0056484F"/>
    <w:rsid w:val="00566FFB"/>
    <w:rsid w:val="0057417E"/>
    <w:rsid w:val="005773C0"/>
    <w:rsid w:val="00577846"/>
    <w:rsid w:val="005831CE"/>
    <w:rsid w:val="00584E7D"/>
    <w:rsid w:val="00590DE3"/>
    <w:rsid w:val="00591286"/>
    <w:rsid w:val="00592188"/>
    <w:rsid w:val="00592528"/>
    <w:rsid w:val="00595068"/>
    <w:rsid w:val="00596264"/>
    <w:rsid w:val="005A04BB"/>
    <w:rsid w:val="005A4117"/>
    <w:rsid w:val="005A469C"/>
    <w:rsid w:val="005A7140"/>
    <w:rsid w:val="005C734F"/>
    <w:rsid w:val="005C7C40"/>
    <w:rsid w:val="005D3280"/>
    <w:rsid w:val="005D418A"/>
    <w:rsid w:val="005E2BD5"/>
    <w:rsid w:val="005E44C5"/>
    <w:rsid w:val="005E6A5F"/>
    <w:rsid w:val="005F0AC6"/>
    <w:rsid w:val="005F4324"/>
    <w:rsid w:val="005F783D"/>
    <w:rsid w:val="00602A39"/>
    <w:rsid w:val="00603742"/>
    <w:rsid w:val="00603E37"/>
    <w:rsid w:val="006044C5"/>
    <w:rsid w:val="00606AE5"/>
    <w:rsid w:val="00606D4A"/>
    <w:rsid w:val="006075DD"/>
    <w:rsid w:val="00614F51"/>
    <w:rsid w:val="00615D66"/>
    <w:rsid w:val="00615D98"/>
    <w:rsid w:val="0062574C"/>
    <w:rsid w:val="00636EFB"/>
    <w:rsid w:val="00637F3C"/>
    <w:rsid w:val="00641ACD"/>
    <w:rsid w:val="00644FE4"/>
    <w:rsid w:val="006541DE"/>
    <w:rsid w:val="0065622C"/>
    <w:rsid w:val="006562AF"/>
    <w:rsid w:val="00656DB5"/>
    <w:rsid w:val="006601A4"/>
    <w:rsid w:val="00667193"/>
    <w:rsid w:val="006710E7"/>
    <w:rsid w:val="00672548"/>
    <w:rsid w:val="00672C84"/>
    <w:rsid w:val="00673E5B"/>
    <w:rsid w:val="0067575A"/>
    <w:rsid w:val="00677354"/>
    <w:rsid w:val="00677CED"/>
    <w:rsid w:val="00681090"/>
    <w:rsid w:val="0068113E"/>
    <w:rsid w:val="00685125"/>
    <w:rsid w:val="00694429"/>
    <w:rsid w:val="00694A0D"/>
    <w:rsid w:val="0069552F"/>
    <w:rsid w:val="006A4333"/>
    <w:rsid w:val="006A74C3"/>
    <w:rsid w:val="006A7BA6"/>
    <w:rsid w:val="006B192D"/>
    <w:rsid w:val="006B4085"/>
    <w:rsid w:val="006B7E84"/>
    <w:rsid w:val="006D1F78"/>
    <w:rsid w:val="006D1F8A"/>
    <w:rsid w:val="006D4D9B"/>
    <w:rsid w:val="006D5A11"/>
    <w:rsid w:val="006D7EEC"/>
    <w:rsid w:val="006E0FE4"/>
    <w:rsid w:val="006E17D8"/>
    <w:rsid w:val="006E49B2"/>
    <w:rsid w:val="006E6F85"/>
    <w:rsid w:val="006F06A0"/>
    <w:rsid w:val="006F0F64"/>
    <w:rsid w:val="006F1C31"/>
    <w:rsid w:val="006F4179"/>
    <w:rsid w:val="006F4454"/>
    <w:rsid w:val="006F5D08"/>
    <w:rsid w:val="00704305"/>
    <w:rsid w:val="00707363"/>
    <w:rsid w:val="00711DFD"/>
    <w:rsid w:val="00717959"/>
    <w:rsid w:val="00723FB8"/>
    <w:rsid w:val="00724045"/>
    <w:rsid w:val="00725CCA"/>
    <w:rsid w:val="00726300"/>
    <w:rsid w:val="00726402"/>
    <w:rsid w:val="00736EC7"/>
    <w:rsid w:val="0074104A"/>
    <w:rsid w:val="007418FB"/>
    <w:rsid w:val="0074461A"/>
    <w:rsid w:val="007449F3"/>
    <w:rsid w:val="0074618A"/>
    <w:rsid w:val="00750E15"/>
    <w:rsid w:val="007556E0"/>
    <w:rsid w:val="0075571C"/>
    <w:rsid w:val="00764546"/>
    <w:rsid w:val="00764D14"/>
    <w:rsid w:val="00766C72"/>
    <w:rsid w:val="007675C1"/>
    <w:rsid w:val="0076784F"/>
    <w:rsid w:val="007860B0"/>
    <w:rsid w:val="00786696"/>
    <w:rsid w:val="007866AF"/>
    <w:rsid w:val="00787172"/>
    <w:rsid w:val="00793105"/>
    <w:rsid w:val="007939B2"/>
    <w:rsid w:val="007964B1"/>
    <w:rsid w:val="0079714B"/>
    <w:rsid w:val="00797BCA"/>
    <w:rsid w:val="00797DDD"/>
    <w:rsid w:val="007A06F4"/>
    <w:rsid w:val="007A6C78"/>
    <w:rsid w:val="007A6DFB"/>
    <w:rsid w:val="007B01B1"/>
    <w:rsid w:val="007B0D77"/>
    <w:rsid w:val="007B1751"/>
    <w:rsid w:val="007B2313"/>
    <w:rsid w:val="007B2438"/>
    <w:rsid w:val="007B2D03"/>
    <w:rsid w:val="007B456C"/>
    <w:rsid w:val="007B60ED"/>
    <w:rsid w:val="007B65EE"/>
    <w:rsid w:val="007C2EA2"/>
    <w:rsid w:val="007C31EF"/>
    <w:rsid w:val="007C5DCB"/>
    <w:rsid w:val="007C7534"/>
    <w:rsid w:val="007D2D73"/>
    <w:rsid w:val="007D388E"/>
    <w:rsid w:val="007D5628"/>
    <w:rsid w:val="007D58FE"/>
    <w:rsid w:val="007E08A6"/>
    <w:rsid w:val="007E1BA6"/>
    <w:rsid w:val="007E3FAE"/>
    <w:rsid w:val="007E41E2"/>
    <w:rsid w:val="007E575D"/>
    <w:rsid w:val="007F16B4"/>
    <w:rsid w:val="007F432A"/>
    <w:rsid w:val="007F6ECB"/>
    <w:rsid w:val="007F7086"/>
    <w:rsid w:val="008004F5"/>
    <w:rsid w:val="00802664"/>
    <w:rsid w:val="00803163"/>
    <w:rsid w:val="008035BA"/>
    <w:rsid w:val="00810C66"/>
    <w:rsid w:val="00815262"/>
    <w:rsid w:val="00820708"/>
    <w:rsid w:val="00823E42"/>
    <w:rsid w:val="00824D68"/>
    <w:rsid w:val="008325D9"/>
    <w:rsid w:val="00834932"/>
    <w:rsid w:val="00836996"/>
    <w:rsid w:val="0084052C"/>
    <w:rsid w:val="0084185C"/>
    <w:rsid w:val="00844523"/>
    <w:rsid w:val="00847C42"/>
    <w:rsid w:val="00854BDF"/>
    <w:rsid w:val="00857213"/>
    <w:rsid w:val="00857D3B"/>
    <w:rsid w:val="00860633"/>
    <w:rsid w:val="0086113A"/>
    <w:rsid w:val="00862212"/>
    <w:rsid w:val="00863472"/>
    <w:rsid w:val="008644EA"/>
    <w:rsid w:val="008669DC"/>
    <w:rsid w:val="00870344"/>
    <w:rsid w:val="008706A0"/>
    <w:rsid w:val="00871FEE"/>
    <w:rsid w:val="00873E87"/>
    <w:rsid w:val="008743C7"/>
    <w:rsid w:val="00875560"/>
    <w:rsid w:val="008759AC"/>
    <w:rsid w:val="0087698B"/>
    <w:rsid w:val="00877953"/>
    <w:rsid w:val="0088126A"/>
    <w:rsid w:val="0088203A"/>
    <w:rsid w:val="0088242A"/>
    <w:rsid w:val="008828BF"/>
    <w:rsid w:val="0088323E"/>
    <w:rsid w:val="0088498E"/>
    <w:rsid w:val="00884B64"/>
    <w:rsid w:val="00890B0B"/>
    <w:rsid w:val="00890C70"/>
    <w:rsid w:val="00891307"/>
    <w:rsid w:val="00892095"/>
    <w:rsid w:val="008A19C5"/>
    <w:rsid w:val="008B5E9F"/>
    <w:rsid w:val="008B7203"/>
    <w:rsid w:val="008B73EF"/>
    <w:rsid w:val="008B7910"/>
    <w:rsid w:val="008B7A96"/>
    <w:rsid w:val="008B7E12"/>
    <w:rsid w:val="008C4940"/>
    <w:rsid w:val="008D0E50"/>
    <w:rsid w:val="008D4E72"/>
    <w:rsid w:val="008D636A"/>
    <w:rsid w:val="008E3215"/>
    <w:rsid w:val="008E38A2"/>
    <w:rsid w:val="008E3BA2"/>
    <w:rsid w:val="008E411F"/>
    <w:rsid w:val="008E4E26"/>
    <w:rsid w:val="008E527F"/>
    <w:rsid w:val="008E6336"/>
    <w:rsid w:val="008F0B57"/>
    <w:rsid w:val="008F0ED5"/>
    <w:rsid w:val="008F3208"/>
    <w:rsid w:val="008F3DC0"/>
    <w:rsid w:val="008F416E"/>
    <w:rsid w:val="00900DDE"/>
    <w:rsid w:val="009021D0"/>
    <w:rsid w:val="0090231E"/>
    <w:rsid w:val="00906FB9"/>
    <w:rsid w:val="009139D1"/>
    <w:rsid w:val="0092069B"/>
    <w:rsid w:val="00921D2C"/>
    <w:rsid w:val="00927C51"/>
    <w:rsid w:val="0093133A"/>
    <w:rsid w:val="00932374"/>
    <w:rsid w:val="00934F35"/>
    <w:rsid w:val="00935183"/>
    <w:rsid w:val="009423A0"/>
    <w:rsid w:val="00943527"/>
    <w:rsid w:val="00945236"/>
    <w:rsid w:val="009511C9"/>
    <w:rsid w:val="0095144A"/>
    <w:rsid w:val="00952F8B"/>
    <w:rsid w:val="00953CC6"/>
    <w:rsid w:val="009543EA"/>
    <w:rsid w:val="00955AD7"/>
    <w:rsid w:val="00956D94"/>
    <w:rsid w:val="00960400"/>
    <w:rsid w:val="009629B9"/>
    <w:rsid w:val="009679AE"/>
    <w:rsid w:val="00967B52"/>
    <w:rsid w:val="00973680"/>
    <w:rsid w:val="00974067"/>
    <w:rsid w:val="009744C4"/>
    <w:rsid w:val="00976331"/>
    <w:rsid w:val="009838CB"/>
    <w:rsid w:val="009844B0"/>
    <w:rsid w:val="0098610D"/>
    <w:rsid w:val="0098645F"/>
    <w:rsid w:val="00992B01"/>
    <w:rsid w:val="00995B1B"/>
    <w:rsid w:val="00996064"/>
    <w:rsid w:val="00997937"/>
    <w:rsid w:val="009A14CA"/>
    <w:rsid w:val="009A1CBE"/>
    <w:rsid w:val="009A1FED"/>
    <w:rsid w:val="009A640C"/>
    <w:rsid w:val="009A7533"/>
    <w:rsid w:val="009B1BD1"/>
    <w:rsid w:val="009B1CB9"/>
    <w:rsid w:val="009B248C"/>
    <w:rsid w:val="009C6D17"/>
    <w:rsid w:val="009D02D6"/>
    <w:rsid w:val="009D2987"/>
    <w:rsid w:val="009D3221"/>
    <w:rsid w:val="009D3720"/>
    <w:rsid w:val="009D45A5"/>
    <w:rsid w:val="009D74E9"/>
    <w:rsid w:val="009E1326"/>
    <w:rsid w:val="009E1BE0"/>
    <w:rsid w:val="009E43CE"/>
    <w:rsid w:val="009E5442"/>
    <w:rsid w:val="009F2E28"/>
    <w:rsid w:val="009F495F"/>
    <w:rsid w:val="009F576A"/>
    <w:rsid w:val="009F7C20"/>
    <w:rsid w:val="00A02B51"/>
    <w:rsid w:val="00A03358"/>
    <w:rsid w:val="00A05976"/>
    <w:rsid w:val="00A06D28"/>
    <w:rsid w:val="00A1348E"/>
    <w:rsid w:val="00A139D9"/>
    <w:rsid w:val="00A13CCB"/>
    <w:rsid w:val="00A15207"/>
    <w:rsid w:val="00A20798"/>
    <w:rsid w:val="00A22EFB"/>
    <w:rsid w:val="00A230D9"/>
    <w:rsid w:val="00A302E6"/>
    <w:rsid w:val="00A31335"/>
    <w:rsid w:val="00A34DAB"/>
    <w:rsid w:val="00A355BB"/>
    <w:rsid w:val="00A3659A"/>
    <w:rsid w:val="00A43FC8"/>
    <w:rsid w:val="00A447BB"/>
    <w:rsid w:val="00A5181C"/>
    <w:rsid w:val="00A533BC"/>
    <w:rsid w:val="00A54787"/>
    <w:rsid w:val="00A62415"/>
    <w:rsid w:val="00A6323B"/>
    <w:rsid w:val="00A66650"/>
    <w:rsid w:val="00A713AC"/>
    <w:rsid w:val="00A72BEB"/>
    <w:rsid w:val="00A7318C"/>
    <w:rsid w:val="00A770B7"/>
    <w:rsid w:val="00A808FC"/>
    <w:rsid w:val="00A81381"/>
    <w:rsid w:val="00A86D2D"/>
    <w:rsid w:val="00A915D6"/>
    <w:rsid w:val="00A91ABA"/>
    <w:rsid w:val="00A94442"/>
    <w:rsid w:val="00A954B3"/>
    <w:rsid w:val="00A96595"/>
    <w:rsid w:val="00AA0E55"/>
    <w:rsid w:val="00AA27C7"/>
    <w:rsid w:val="00AA2FDC"/>
    <w:rsid w:val="00AA74FC"/>
    <w:rsid w:val="00AA7E7A"/>
    <w:rsid w:val="00AB1BBF"/>
    <w:rsid w:val="00AB3B99"/>
    <w:rsid w:val="00AB42ED"/>
    <w:rsid w:val="00AB4B3B"/>
    <w:rsid w:val="00AB58A7"/>
    <w:rsid w:val="00AC11B7"/>
    <w:rsid w:val="00AC3D06"/>
    <w:rsid w:val="00AC3FE2"/>
    <w:rsid w:val="00AD1493"/>
    <w:rsid w:val="00AD2128"/>
    <w:rsid w:val="00AD2930"/>
    <w:rsid w:val="00AD2FC7"/>
    <w:rsid w:val="00AD4954"/>
    <w:rsid w:val="00AD4B41"/>
    <w:rsid w:val="00AD4BCE"/>
    <w:rsid w:val="00AD7CB6"/>
    <w:rsid w:val="00AE0F65"/>
    <w:rsid w:val="00AE3C8D"/>
    <w:rsid w:val="00AE5241"/>
    <w:rsid w:val="00AF324A"/>
    <w:rsid w:val="00AF4DB3"/>
    <w:rsid w:val="00B0317D"/>
    <w:rsid w:val="00B06A9C"/>
    <w:rsid w:val="00B06FFF"/>
    <w:rsid w:val="00B109F9"/>
    <w:rsid w:val="00B15F9E"/>
    <w:rsid w:val="00B16E59"/>
    <w:rsid w:val="00B217C3"/>
    <w:rsid w:val="00B2588A"/>
    <w:rsid w:val="00B26981"/>
    <w:rsid w:val="00B318F0"/>
    <w:rsid w:val="00B3323E"/>
    <w:rsid w:val="00B43BBA"/>
    <w:rsid w:val="00B44154"/>
    <w:rsid w:val="00B4486F"/>
    <w:rsid w:val="00B50503"/>
    <w:rsid w:val="00B513FB"/>
    <w:rsid w:val="00B53725"/>
    <w:rsid w:val="00B54447"/>
    <w:rsid w:val="00B55E72"/>
    <w:rsid w:val="00B6328B"/>
    <w:rsid w:val="00B661A9"/>
    <w:rsid w:val="00B67E9C"/>
    <w:rsid w:val="00B718E5"/>
    <w:rsid w:val="00B744DD"/>
    <w:rsid w:val="00B7540A"/>
    <w:rsid w:val="00B75D37"/>
    <w:rsid w:val="00B75E4A"/>
    <w:rsid w:val="00B77C01"/>
    <w:rsid w:val="00B8679E"/>
    <w:rsid w:val="00B86C3C"/>
    <w:rsid w:val="00B87F35"/>
    <w:rsid w:val="00B910C1"/>
    <w:rsid w:val="00B9125E"/>
    <w:rsid w:val="00B92C1F"/>
    <w:rsid w:val="00B93F53"/>
    <w:rsid w:val="00B96E6B"/>
    <w:rsid w:val="00BA6EAE"/>
    <w:rsid w:val="00BB041C"/>
    <w:rsid w:val="00BB3409"/>
    <w:rsid w:val="00BB3445"/>
    <w:rsid w:val="00BB58E2"/>
    <w:rsid w:val="00BB7EF1"/>
    <w:rsid w:val="00BC0351"/>
    <w:rsid w:val="00BC0B3B"/>
    <w:rsid w:val="00BC1C37"/>
    <w:rsid w:val="00BC20E2"/>
    <w:rsid w:val="00BC515E"/>
    <w:rsid w:val="00BC583C"/>
    <w:rsid w:val="00BC6A8D"/>
    <w:rsid w:val="00BC7A08"/>
    <w:rsid w:val="00BD1FF2"/>
    <w:rsid w:val="00BD5D21"/>
    <w:rsid w:val="00BE01D8"/>
    <w:rsid w:val="00BE1FCC"/>
    <w:rsid w:val="00BE45AE"/>
    <w:rsid w:val="00BF417B"/>
    <w:rsid w:val="00BF4AF8"/>
    <w:rsid w:val="00BF5438"/>
    <w:rsid w:val="00BF6692"/>
    <w:rsid w:val="00C00241"/>
    <w:rsid w:val="00C016E6"/>
    <w:rsid w:val="00C020BC"/>
    <w:rsid w:val="00C02EBD"/>
    <w:rsid w:val="00C0788F"/>
    <w:rsid w:val="00C10128"/>
    <w:rsid w:val="00C14B05"/>
    <w:rsid w:val="00C156BD"/>
    <w:rsid w:val="00C21BCD"/>
    <w:rsid w:val="00C21C0F"/>
    <w:rsid w:val="00C231E2"/>
    <w:rsid w:val="00C2489F"/>
    <w:rsid w:val="00C251F5"/>
    <w:rsid w:val="00C25303"/>
    <w:rsid w:val="00C25CD5"/>
    <w:rsid w:val="00C27D94"/>
    <w:rsid w:val="00C31C43"/>
    <w:rsid w:val="00C33622"/>
    <w:rsid w:val="00C35D07"/>
    <w:rsid w:val="00C36A02"/>
    <w:rsid w:val="00C43F8E"/>
    <w:rsid w:val="00C454B9"/>
    <w:rsid w:val="00C51881"/>
    <w:rsid w:val="00C51E7B"/>
    <w:rsid w:val="00C54A5A"/>
    <w:rsid w:val="00C57546"/>
    <w:rsid w:val="00C60363"/>
    <w:rsid w:val="00C603AB"/>
    <w:rsid w:val="00C6104A"/>
    <w:rsid w:val="00C62118"/>
    <w:rsid w:val="00C62690"/>
    <w:rsid w:val="00C63652"/>
    <w:rsid w:val="00C65610"/>
    <w:rsid w:val="00C67106"/>
    <w:rsid w:val="00C70DBD"/>
    <w:rsid w:val="00C71C3A"/>
    <w:rsid w:val="00C727A0"/>
    <w:rsid w:val="00C7666A"/>
    <w:rsid w:val="00C8177C"/>
    <w:rsid w:val="00C82FCB"/>
    <w:rsid w:val="00C83138"/>
    <w:rsid w:val="00C8379D"/>
    <w:rsid w:val="00C837ED"/>
    <w:rsid w:val="00C83CE0"/>
    <w:rsid w:val="00C91DE7"/>
    <w:rsid w:val="00C9507E"/>
    <w:rsid w:val="00C95C71"/>
    <w:rsid w:val="00CA438F"/>
    <w:rsid w:val="00CA448F"/>
    <w:rsid w:val="00CB1C5F"/>
    <w:rsid w:val="00CB5B04"/>
    <w:rsid w:val="00CB7592"/>
    <w:rsid w:val="00CC03EE"/>
    <w:rsid w:val="00CC255A"/>
    <w:rsid w:val="00CC37B4"/>
    <w:rsid w:val="00CC3947"/>
    <w:rsid w:val="00CC4015"/>
    <w:rsid w:val="00CC6FF4"/>
    <w:rsid w:val="00CC76AB"/>
    <w:rsid w:val="00CD5140"/>
    <w:rsid w:val="00CD7D3C"/>
    <w:rsid w:val="00CD7F15"/>
    <w:rsid w:val="00CE1AF3"/>
    <w:rsid w:val="00CE21F8"/>
    <w:rsid w:val="00CE6E94"/>
    <w:rsid w:val="00CF0628"/>
    <w:rsid w:val="00CF37F2"/>
    <w:rsid w:val="00CF4B74"/>
    <w:rsid w:val="00D0386D"/>
    <w:rsid w:val="00D057F2"/>
    <w:rsid w:val="00D06DBE"/>
    <w:rsid w:val="00D07939"/>
    <w:rsid w:val="00D100F4"/>
    <w:rsid w:val="00D10BB2"/>
    <w:rsid w:val="00D13B79"/>
    <w:rsid w:val="00D23C2D"/>
    <w:rsid w:val="00D24045"/>
    <w:rsid w:val="00D256DF"/>
    <w:rsid w:val="00D31351"/>
    <w:rsid w:val="00D322BC"/>
    <w:rsid w:val="00D40581"/>
    <w:rsid w:val="00D416E1"/>
    <w:rsid w:val="00D44324"/>
    <w:rsid w:val="00D45CC6"/>
    <w:rsid w:val="00D46269"/>
    <w:rsid w:val="00D4772C"/>
    <w:rsid w:val="00D52819"/>
    <w:rsid w:val="00D5358D"/>
    <w:rsid w:val="00D54E32"/>
    <w:rsid w:val="00D55B04"/>
    <w:rsid w:val="00D566EB"/>
    <w:rsid w:val="00D574C2"/>
    <w:rsid w:val="00D604B0"/>
    <w:rsid w:val="00D60E1E"/>
    <w:rsid w:val="00D62FC9"/>
    <w:rsid w:val="00D6332C"/>
    <w:rsid w:val="00D641D3"/>
    <w:rsid w:val="00D652D5"/>
    <w:rsid w:val="00D66878"/>
    <w:rsid w:val="00D67157"/>
    <w:rsid w:val="00D67C8D"/>
    <w:rsid w:val="00D71247"/>
    <w:rsid w:val="00D71693"/>
    <w:rsid w:val="00D75CD1"/>
    <w:rsid w:val="00D76E51"/>
    <w:rsid w:val="00D77445"/>
    <w:rsid w:val="00D835E4"/>
    <w:rsid w:val="00D84931"/>
    <w:rsid w:val="00D86C9C"/>
    <w:rsid w:val="00D9033C"/>
    <w:rsid w:val="00D90618"/>
    <w:rsid w:val="00D90A01"/>
    <w:rsid w:val="00D95C15"/>
    <w:rsid w:val="00D96991"/>
    <w:rsid w:val="00D97E01"/>
    <w:rsid w:val="00D97F3A"/>
    <w:rsid w:val="00DA1EC5"/>
    <w:rsid w:val="00DA38A1"/>
    <w:rsid w:val="00DA4612"/>
    <w:rsid w:val="00DB29CD"/>
    <w:rsid w:val="00DB450B"/>
    <w:rsid w:val="00DB68A9"/>
    <w:rsid w:val="00DC0312"/>
    <w:rsid w:val="00DC1179"/>
    <w:rsid w:val="00DC30FC"/>
    <w:rsid w:val="00DC36BB"/>
    <w:rsid w:val="00DC3A24"/>
    <w:rsid w:val="00DC6A15"/>
    <w:rsid w:val="00DC75B3"/>
    <w:rsid w:val="00DC7883"/>
    <w:rsid w:val="00DD43B6"/>
    <w:rsid w:val="00DD7F8E"/>
    <w:rsid w:val="00DE3493"/>
    <w:rsid w:val="00DE528E"/>
    <w:rsid w:val="00DE5CCE"/>
    <w:rsid w:val="00DF2AD2"/>
    <w:rsid w:val="00DF7D69"/>
    <w:rsid w:val="00E00835"/>
    <w:rsid w:val="00E01B74"/>
    <w:rsid w:val="00E028A6"/>
    <w:rsid w:val="00E0697D"/>
    <w:rsid w:val="00E139FD"/>
    <w:rsid w:val="00E14AE1"/>
    <w:rsid w:val="00E15AD4"/>
    <w:rsid w:val="00E160EC"/>
    <w:rsid w:val="00E16E7A"/>
    <w:rsid w:val="00E17273"/>
    <w:rsid w:val="00E21C8E"/>
    <w:rsid w:val="00E2256E"/>
    <w:rsid w:val="00E230DE"/>
    <w:rsid w:val="00E30813"/>
    <w:rsid w:val="00E36E84"/>
    <w:rsid w:val="00E4089F"/>
    <w:rsid w:val="00E43090"/>
    <w:rsid w:val="00E43E00"/>
    <w:rsid w:val="00E46522"/>
    <w:rsid w:val="00E46D99"/>
    <w:rsid w:val="00E54D3F"/>
    <w:rsid w:val="00E6096C"/>
    <w:rsid w:val="00E61FBF"/>
    <w:rsid w:val="00E637E4"/>
    <w:rsid w:val="00E63844"/>
    <w:rsid w:val="00E63BFF"/>
    <w:rsid w:val="00E65794"/>
    <w:rsid w:val="00E70C2E"/>
    <w:rsid w:val="00E72048"/>
    <w:rsid w:val="00E72AC7"/>
    <w:rsid w:val="00E7439B"/>
    <w:rsid w:val="00E7499F"/>
    <w:rsid w:val="00E74D12"/>
    <w:rsid w:val="00E75359"/>
    <w:rsid w:val="00E755F5"/>
    <w:rsid w:val="00E80D0C"/>
    <w:rsid w:val="00E905F7"/>
    <w:rsid w:val="00E90F3A"/>
    <w:rsid w:val="00E91DAF"/>
    <w:rsid w:val="00E92871"/>
    <w:rsid w:val="00E928CA"/>
    <w:rsid w:val="00E945A8"/>
    <w:rsid w:val="00E94AD7"/>
    <w:rsid w:val="00E9672D"/>
    <w:rsid w:val="00E9694C"/>
    <w:rsid w:val="00EA7A5E"/>
    <w:rsid w:val="00EB0020"/>
    <w:rsid w:val="00EB02B9"/>
    <w:rsid w:val="00EB1D5F"/>
    <w:rsid w:val="00EB2207"/>
    <w:rsid w:val="00EC53E0"/>
    <w:rsid w:val="00ED1D33"/>
    <w:rsid w:val="00EE3AC2"/>
    <w:rsid w:val="00EE4316"/>
    <w:rsid w:val="00EE439A"/>
    <w:rsid w:val="00EE5310"/>
    <w:rsid w:val="00EE5B11"/>
    <w:rsid w:val="00EE78F1"/>
    <w:rsid w:val="00EE7E38"/>
    <w:rsid w:val="00EF22CF"/>
    <w:rsid w:val="00EF3CF2"/>
    <w:rsid w:val="00EF4D9F"/>
    <w:rsid w:val="00EF68CC"/>
    <w:rsid w:val="00EF745C"/>
    <w:rsid w:val="00F002CD"/>
    <w:rsid w:val="00F037CC"/>
    <w:rsid w:val="00F03B8C"/>
    <w:rsid w:val="00F06D33"/>
    <w:rsid w:val="00F10E25"/>
    <w:rsid w:val="00F11B57"/>
    <w:rsid w:val="00F157B2"/>
    <w:rsid w:val="00F16C21"/>
    <w:rsid w:val="00F1779A"/>
    <w:rsid w:val="00F17E61"/>
    <w:rsid w:val="00F215AB"/>
    <w:rsid w:val="00F230B1"/>
    <w:rsid w:val="00F23BD0"/>
    <w:rsid w:val="00F25E98"/>
    <w:rsid w:val="00F26E6A"/>
    <w:rsid w:val="00F273BE"/>
    <w:rsid w:val="00F27560"/>
    <w:rsid w:val="00F300CF"/>
    <w:rsid w:val="00F409E3"/>
    <w:rsid w:val="00F4469B"/>
    <w:rsid w:val="00F466A2"/>
    <w:rsid w:val="00F50156"/>
    <w:rsid w:val="00F51B16"/>
    <w:rsid w:val="00F5342A"/>
    <w:rsid w:val="00F55A53"/>
    <w:rsid w:val="00F55F06"/>
    <w:rsid w:val="00F560DA"/>
    <w:rsid w:val="00F60360"/>
    <w:rsid w:val="00F607A8"/>
    <w:rsid w:val="00F60E79"/>
    <w:rsid w:val="00F62B15"/>
    <w:rsid w:val="00F64145"/>
    <w:rsid w:val="00F64A93"/>
    <w:rsid w:val="00F6695E"/>
    <w:rsid w:val="00F67D6F"/>
    <w:rsid w:val="00F70DFE"/>
    <w:rsid w:val="00F71A5E"/>
    <w:rsid w:val="00F72914"/>
    <w:rsid w:val="00F73801"/>
    <w:rsid w:val="00F75CEA"/>
    <w:rsid w:val="00F76D1A"/>
    <w:rsid w:val="00F84590"/>
    <w:rsid w:val="00F86ECA"/>
    <w:rsid w:val="00F87552"/>
    <w:rsid w:val="00F8770F"/>
    <w:rsid w:val="00F87B67"/>
    <w:rsid w:val="00F91F6F"/>
    <w:rsid w:val="00F936E1"/>
    <w:rsid w:val="00F94CC7"/>
    <w:rsid w:val="00F96659"/>
    <w:rsid w:val="00F96D7E"/>
    <w:rsid w:val="00FA14D3"/>
    <w:rsid w:val="00FA2CBD"/>
    <w:rsid w:val="00FA31E0"/>
    <w:rsid w:val="00FA7B72"/>
    <w:rsid w:val="00FA7B9B"/>
    <w:rsid w:val="00FB1A9D"/>
    <w:rsid w:val="00FB5C64"/>
    <w:rsid w:val="00FB5D60"/>
    <w:rsid w:val="00FC090E"/>
    <w:rsid w:val="00FC40CE"/>
    <w:rsid w:val="00FC5AB2"/>
    <w:rsid w:val="00FD034F"/>
    <w:rsid w:val="00FD3678"/>
    <w:rsid w:val="00FD580D"/>
    <w:rsid w:val="00FE3F89"/>
    <w:rsid w:val="00FE6014"/>
    <w:rsid w:val="00FE6F6B"/>
    <w:rsid w:val="00FE7440"/>
    <w:rsid w:val="00FE756F"/>
    <w:rsid w:val="00FF0A5B"/>
    <w:rsid w:val="00FF1A14"/>
    <w:rsid w:val="00FF35C5"/>
    <w:rsid w:val="00FF37F3"/>
    <w:rsid w:val="00FF5B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3D7F5"/>
  <w15:docId w15:val="{20C69F51-EB06-4232-ABBE-356A6309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2C"/>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5622C"/>
    <w:rPr>
      <w:rFonts w:ascii="Segoe UI" w:hAnsi="Segoe UI" w:cs="Segoe UI"/>
      <w:sz w:val="18"/>
      <w:szCs w:val="18"/>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unhideWhenUsed/>
    <w:rsid w:val="00974067"/>
    <w:rPr>
      <w:sz w:val="20"/>
      <w:szCs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974067"/>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nhideWhenUsed/>
    <w:rsid w:val="00974067"/>
    <w:rPr>
      <w:vertAlign w:val="superscript"/>
    </w:rPr>
  </w:style>
  <w:style w:type="character" w:styleId="Hyperlink">
    <w:name w:val="Hyperlink"/>
    <w:basedOn w:val="DefaultParagraphFont"/>
    <w:unhideWhenUsed/>
    <w:rsid w:val="002202E4"/>
    <w:rPr>
      <w:color w:val="0000FF"/>
      <w:u w:val="single"/>
    </w:rPr>
  </w:style>
  <w:style w:type="character" w:styleId="CommentReference">
    <w:name w:val="annotation reference"/>
    <w:basedOn w:val="DefaultParagraphFont"/>
    <w:uiPriority w:val="99"/>
    <w:unhideWhenUsed/>
    <w:rsid w:val="00DC3A24"/>
    <w:rPr>
      <w:sz w:val="16"/>
      <w:szCs w:val="16"/>
    </w:rPr>
  </w:style>
  <w:style w:type="paragraph" w:styleId="CommentText">
    <w:name w:val="annotation text"/>
    <w:basedOn w:val="Normal"/>
    <w:link w:val="CommentTextChar"/>
    <w:uiPriority w:val="99"/>
    <w:unhideWhenUsed/>
    <w:rsid w:val="00DC3A2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3A24"/>
    <w:rPr>
      <w:sz w:val="20"/>
      <w:szCs w:val="20"/>
    </w:rPr>
  </w:style>
  <w:style w:type="paragraph" w:styleId="CommentSubject">
    <w:name w:val="annotation subject"/>
    <w:basedOn w:val="CommentText"/>
    <w:next w:val="CommentText"/>
    <w:link w:val="CommentSubjectChar"/>
    <w:uiPriority w:val="99"/>
    <w:semiHidden/>
    <w:unhideWhenUsed/>
    <w:rsid w:val="00DC3A24"/>
    <w:rPr>
      <w:b/>
      <w:bCs/>
    </w:rPr>
  </w:style>
  <w:style w:type="character" w:customStyle="1" w:styleId="CommentSubjectChar">
    <w:name w:val="Comment Subject Char"/>
    <w:basedOn w:val="CommentTextChar"/>
    <w:link w:val="CommentSubject"/>
    <w:uiPriority w:val="99"/>
    <w:semiHidden/>
    <w:rsid w:val="00DC3A24"/>
    <w:rPr>
      <w:b/>
      <w:bCs/>
      <w:sz w:val="20"/>
      <w:szCs w:val="20"/>
    </w:rPr>
  </w:style>
  <w:style w:type="paragraph" w:styleId="ListParagraph">
    <w:name w:val="List Paragraph"/>
    <w:basedOn w:val="Normal"/>
    <w:uiPriority w:val="34"/>
    <w:qFormat/>
    <w:rsid w:val="00391970"/>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B65EE"/>
    <w:pPr>
      <w:spacing w:after="0" w:line="240" w:lineRule="auto"/>
    </w:pPr>
  </w:style>
  <w:style w:type="paragraph" w:styleId="Header">
    <w:name w:val="header"/>
    <w:basedOn w:val="Normal"/>
    <w:link w:val="Head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65EE"/>
  </w:style>
  <w:style w:type="paragraph" w:styleId="Footer">
    <w:name w:val="footer"/>
    <w:basedOn w:val="Normal"/>
    <w:link w:val="Foot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65EE"/>
  </w:style>
  <w:style w:type="character" w:customStyle="1" w:styleId="UnresolvedMention1">
    <w:name w:val="Unresolved Mention1"/>
    <w:basedOn w:val="DefaultParagraphFont"/>
    <w:uiPriority w:val="99"/>
    <w:semiHidden/>
    <w:unhideWhenUsed/>
    <w:rsid w:val="00726300"/>
    <w:rPr>
      <w:color w:val="605E5C"/>
      <w:shd w:val="clear" w:color="auto" w:fill="E1DFDD"/>
    </w:rPr>
  </w:style>
  <w:style w:type="table" w:styleId="TableGrid">
    <w:name w:val="Table Grid"/>
    <w:basedOn w:val="TableNormal"/>
    <w:uiPriority w:val="39"/>
    <w:rsid w:val="00B7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466A2"/>
    <w:rPr>
      <w:color w:val="605E5C"/>
      <w:shd w:val="clear" w:color="auto" w:fill="E1DFDD"/>
    </w:rPr>
  </w:style>
  <w:style w:type="character" w:customStyle="1" w:styleId="UnresolvedMention3">
    <w:name w:val="Unresolved Mention3"/>
    <w:basedOn w:val="DefaultParagraphFont"/>
    <w:uiPriority w:val="99"/>
    <w:semiHidden/>
    <w:unhideWhenUsed/>
    <w:rsid w:val="00A72BEB"/>
    <w:rPr>
      <w:color w:val="605E5C"/>
      <w:shd w:val="clear" w:color="auto" w:fill="E1DFDD"/>
    </w:rPr>
  </w:style>
  <w:style w:type="character" w:styleId="Emphasis">
    <w:name w:val="Emphasis"/>
    <w:basedOn w:val="DefaultParagraphFont"/>
    <w:uiPriority w:val="20"/>
    <w:qFormat/>
    <w:rsid w:val="00A1348E"/>
    <w:rPr>
      <w:i/>
      <w:iCs/>
    </w:rPr>
  </w:style>
  <w:style w:type="paragraph" w:styleId="HTMLPreformatted">
    <w:name w:val="HTML Preformatted"/>
    <w:basedOn w:val="Normal"/>
    <w:link w:val="HTMLPreformattedChar"/>
    <w:uiPriority w:val="99"/>
    <w:semiHidden/>
    <w:unhideWhenUsed/>
    <w:rsid w:val="00201C5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1C5E"/>
    <w:rPr>
      <w:rFonts w:ascii="Consolas" w:eastAsia="Times New Roman" w:hAnsi="Consolas" w:cs="Times New Roman"/>
      <w:sz w:val="20"/>
      <w:szCs w:val="20"/>
    </w:rPr>
  </w:style>
  <w:style w:type="paragraph" w:styleId="NormalWeb">
    <w:name w:val="Normal (Web)"/>
    <w:basedOn w:val="Normal"/>
    <w:uiPriority w:val="99"/>
    <w:semiHidden/>
    <w:unhideWhenUsed/>
    <w:rsid w:val="007D58FE"/>
    <w:pPr>
      <w:spacing w:before="100" w:beforeAutospacing="1" w:after="100" w:afterAutospacing="1"/>
    </w:pPr>
  </w:style>
  <w:style w:type="character" w:customStyle="1" w:styleId="ng-scope">
    <w:name w:val="ng-scope"/>
    <w:basedOn w:val="DefaultParagraphFont"/>
    <w:rsid w:val="001921DE"/>
  </w:style>
  <w:style w:type="character" w:customStyle="1" w:styleId="ng-binding">
    <w:name w:val="ng-binding"/>
    <w:basedOn w:val="DefaultParagraphFont"/>
    <w:rsid w:val="001921DE"/>
  </w:style>
  <w:style w:type="paragraph" w:customStyle="1" w:styleId="ParaNum">
    <w:name w:val="ParaNum"/>
    <w:basedOn w:val="Normal"/>
    <w:rsid w:val="002B06B9"/>
    <w:pPr>
      <w:widowControl w:val="0"/>
      <w:numPr>
        <w:numId w:val="10"/>
      </w:numPr>
      <w:tabs>
        <w:tab w:val="clear" w:pos="1080"/>
        <w:tab w:val="num" w:pos="1440"/>
      </w:tabs>
      <w:spacing w:after="120"/>
    </w:pPr>
    <w:rPr>
      <w:snapToGrid w:val="0"/>
      <w:kern w:val="28"/>
      <w:sz w:val="22"/>
      <w:szCs w:val="20"/>
    </w:rPr>
  </w:style>
  <w:style w:type="character" w:styleId="UnresolvedMention">
    <w:name w:val="Unresolved Mention"/>
    <w:basedOn w:val="DefaultParagraphFont"/>
    <w:uiPriority w:val="99"/>
    <w:semiHidden/>
    <w:unhideWhenUsed/>
    <w:rsid w:val="008D0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saleem@urthaccess.com" TargetMode="External" /><Relationship Id="rId6" Type="http://schemas.openxmlformats.org/officeDocument/2006/relationships/hyperlink" Target="mailto:daniel.stepanicich@fcc.gov" TargetMode="External" /><Relationship Id="rId7" Type="http://schemas.openxmlformats.org/officeDocument/2006/relationships/hyperlink" Target="mailto:kristi.thomp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dawoodanddawood.com/contact/" TargetMode="External" /><Relationship Id="rId2" Type="http://schemas.openxmlformats.org/officeDocument/2006/relationships/hyperlink" Target="http://marketingpartners.busines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