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5060C5D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B91F975" w14:textId="77777777">
      <w:pPr>
        <w:pStyle w:val="StyleBoldCentered"/>
      </w:pPr>
      <w:r>
        <w:t>F</w:t>
      </w:r>
      <w:r>
        <w:rPr>
          <w:caps w:val="0"/>
        </w:rPr>
        <w:t>ederal Communications Commission</w:t>
      </w:r>
    </w:p>
    <w:p w:rsidR="004C2EE3" w:rsidP="00096D8C" w14:paraId="1A1BD420" w14:textId="77777777">
      <w:pPr>
        <w:pStyle w:val="StyleBoldCentered"/>
      </w:pPr>
      <w:r>
        <w:rPr>
          <w:caps w:val="0"/>
        </w:rPr>
        <w:t>Washington, D.C. 20554</w:t>
      </w:r>
    </w:p>
    <w:p w:rsidR="004C2EE3" w:rsidP="0070224F" w14:paraId="38A58234" w14:textId="77777777"/>
    <w:p w:rsidR="004C2EE3" w:rsidP="0070224F" w14:paraId="4080CFAB" w14:textId="77777777"/>
    <w:tbl>
      <w:tblPr>
        <w:tblW w:w="0" w:type="auto"/>
        <w:tblLayout w:type="fixed"/>
        <w:tblLook w:val="0000"/>
      </w:tblPr>
      <w:tblGrid>
        <w:gridCol w:w="4698"/>
        <w:gridCol w:w="630"/>
        <w:gridCol w:w="4248"/>
      </w:tblGrid>
      <w:tr w14:paraId="292D7A95" w14:textId="77777777">
        <w:tblPrEx>
          <w:tblW w:w="0" w:type="auto"/>
          <w:tblLayout w:type="fixed"/>
          <w:tblLook w:val="0000"/>
        </w:tblPrEx>
        <w:tc>
          <w:tcPr>
            <w:tcW w:w="4698" w:type="dxa"/>
          </w:tcPr>
          <w:p w:rsidR="004C2EE3" w14:paraId="28ABB79A" w14:textId="77777777">
            <w:pPr>
              <w:tabs>
                <w:tab w:val="center" w:pos="4680"/>
              </w:tabs>
              <w:suppressAutoHyphens/>
              <w:rPr>
                <w:spacing w:val="-2"/>
              </w:rPr>
            </w:pPr>
            <w:r>
              <w:rPr>
                <w:spacing w:val="-2"/>
              </w:rPr>
              <w:t>In the Matter of</w:t>
            </w:r>
          </w:p>
          <w:p w:rsidR="004C2EE3" w14:paraId="5EAF58AC" w14:textId="77777777">
            <w:pPr>
              <w:tabs>
                <w:tab w:val="center" w:pos="4680"/>
              </w:tabs>
              <w:suppressAutoHyphens/>
              <w:rPr>
                <w:spacing w:val="-2"/>
              </w:rPr>
            </w:pPr>
          </w:p>
          <w:p w:rsidR="004C2EE3" w:rsidP="007115F7" w14:paraId="241E166B" w14:textId="15C36100">
            <w:pPr>
              <w:tabs>
                <w:tab w:val="center" w:pos="4680"/>
              </w:tabs>
              <w:suppressAutoHyphens/>
              <w:rPr>
                <w:spacing w:val="-2"/>
              </w:rPr>
            </w:pPr>
            <w:r>
              <w:rPr>
                <w:spacing w:val="-2"/>
              </w:rPr>
              <w:t>David Dean</w:t>
            </w:r>
          </w:p>
          <w:p w:rsidR="00AD2A9B" w:rsidP="007115F7" w14:paraId="0FF0DD5B" w14:textId="1BAFEF4D">
            <w:pPr>
              <w:tabs>
                <w:tab w:val="center" w:pos="4680"/>
              </w:tabs>
              <w:suppressAutoHyphens/>
              <w:rPr>
                <w:spacing w:val="-2"/>
              </w:rPr>
            </w:pPr>
            <w:r>
              <w:rPr>
                <w:spacing w:val="-2"/>
              </w:rPr>
              <w:t xml:space="preserve">Licensee of Station </w:t>
            </w:r>
            <w:r w:rsidR="00E77F50">
              <w:rPr>
                <w:spacing w:val="-2"/>
              </w:rPr>
              <w:t>K0PWO</w:t>
            </w:r>
          </w:p>
          <w:p w:rsidR="00AD2A9B" w:rsidP="007115F7" w14:paraId="198BBC1D" w14:textId="77777777">
            <w:pPr>
              <w:tabs>
                <w:tab w:val="center" w:pos="4680"/>
              </w:tabs>
              <w:suppressAutoHyphens/>
              <w:rPr>
                <w:spacing w:val="-2"/>
              </w:rPr>
            </w:pPr>
          </w:p>
          <w:p w:rsidR="00AD2A9B" w:rsidRPr="00AD2A9B" w:rsidP="000D0048" w14:paraId="07E9B480" w14:textId="3F5619DD">
            <w:pPr>
              <w:tabs>
                <w:tab w:val="center" w:pos="4680"/>
              </w:tabs>
              <w:suppressAutoHyphens/>
              <w:rPr>
                <w:spacing w:val="-2"/>
              </w:rPr>
            </w:pPr>
            <w:r>
              <w:rPr>
                <w:spacing w:val="-2"/>
              </w:rPr>
              <w:t>Centennial, CO</w:t>
            </w:r>
          </w:p>
        </w:tc>
        <w:tc>
          <w:tcPr>
            <w:tcW w:w="630" w:type="dxa"/>
          </w:tcPr>
          <w:p w:rsidR="004C2EE3" w14:paraId="2BBE4933" w14:textId="77777777">
            <w:pPr>
              <w:tabs>
                <w:tab w:val="center" w:pos="4680"/>
              </w:tabs>
              <w:suppressAutoHyphens/>
              <w:rPr>
                <w:b/>
                <w:spacing w:val="-2"/>
              </w:rPr>
            </w:pPr>
            <w:r>
              <w:rPr>
                <w:b/>
                <w:spacing w:val="-2"/>
              </w:rPr>
              <w:t>)</w:t>
            </w:r>
          </w:p>
          <w:p w:rsidR="004C2EE3" w14:paraId="3E0AF3EE" w14:textId="77777777">
            <w:pPr>
              <w:tabs>
                <w:tab w:val="center" w:pos="4680"/>
              </w:tabs>
              <w:suppressAutoHyphens/>
              <w:rPr>
                <w:b/>
                <w:spacing w:val="-2"/>
              </w:rPr>
            </w:pPr>
            <w:r>
              <w:rPr>
                <w:b/>
                <w:spacing w:val="-2"/>
              </w:rPr>
              <w:t>)</w:t>
            </w:r>
          </w:p>
          <w:p w:rsidR="004C2EE3" w14:paraId="453CD976" w14:textId="77777777">
            <w:pPr>
              <w:tabs>
                <w:tab w:val="center" w:pos="4680"/>
              </w:tabs>
              <w:suppressAutoHyphens/>
              <w:rPr>
                <w:b/>
                <w:spacing w:val="-2"/>
              </w:rPr>
            </w:pPr>
            <w:r>
              <w:rPr>
                <w:b/>
                <w:spacing w:val="-2"/>
              </w:rPr>
              <w:t>)</w:t>
            </w:r>
          </w:p>
          <w:p w:rsidR="004C2EE3" w14:paraId="4A6F6234" w14:textId="77777777">
            <w:pPr>
              <w:tabs>
                <w:tab w:val="center" w:pos="4680"/>
              </w:tabs>
              <w:suppressAutoHyphens/>
              <w:rPr>
                <w:b/>
                <w:spacing w:val="-2"/>
              </w:rPr>
            </w:pPr>
            <w:r>
              <w:rPr>
                <w:b/>
                <w:spacing w:val="-2"/>
              </w:rPr>
              <w:t>)</w:t>
            </w:r>
          </w:p>
          <w:p w:rsidR="004C2EE3" w14:paraId="2E1732AB" w14:textId="77777777">
            <w:pPr>
              <w:tabs>
                <w:tab w:val="center" w:pos="4680"/>
              </w:tabs>
              <w:suppressAutoHyphens/>
              <w:rPr>
                <w:b/>
                <w:spacing w:val="-2"/>
              </w:rPr>
            </w:pPr>
            <w:r>
              <w:rPr>
                <w:b/>
                <w:spacing w:val="-2"/>
              </w:rPr>
              <w:t>)</w:t>
            </w:r>
          </w:p>
          <w:p w:rsidR="004C2EE3" w14:paraId="4AFF926D" w14:textId="77777777">
            <w:pPr>
              <w:tabs>
                <w:tab w:val="center" w:pos="4680"/>
              </w:tabs>
              <w:suppressAutoHyphens/>
              <w:rPr>
                <w:b/>
                <w:spacing w:val="-2"/>
              </w:rPr>
            </w:pPr>
            <w:r>
              <w:rPr>
                <w:b/>
                <w:spacing w:val="-2"/>
              </w:rPr>
              <w:t>)</w:t>
            </w:r>
          </w:p>
          <w:p w:rsidR="004C2EE3" w14:paraId="49A1444D" w14:textId="77777777">
            <w:pPr>
              <w:tabs>
                <w:tab w:val="center" w:pos="4680"/>
              </w:tabs>
              <w:suppressAutoHyphens/>
              <w:rPr>
                <w:b/>
                <w:spacing w:val="-2"/>
              </w:rPr>
            </w:pPr>
            <w:r>
              <w:rPr>
                <w:b/>
                <w:spacing w:val="-2"/>
              </w:rPr>
              <w:t>)</w:t>
            </w:r>
          </w:p>
          <w:p w:rsidR="004C2EE3" w14:paraId="4AC61C9B" w14:textId="77777777">
            <w:pPr>
              <w:tabs>
                <w:tab w:val="center" w:pos="4680"/>
              </w:tabs>
              <w:suppressAutoHyphens/>
              <w:rPr>
                <w:b/>
                <w:spacing w:val="-2"/>
              </w:rPr>
            </w:pPr>
            <w:r>
              <w:rPr>
                <w:b/>
                <w:spacing w:val="-2"/>
              </w:rPr>
              <w:t>)</w:t>
            </w:r>
          </w:p>
          <w:p w:rsidR="004C2EE3" w14:paraId="2D444FF5" w14:textId="77777777">
            <w:pPr>
              <w:tabs>
                <w:tab w:val="center" w:pos="4680"/>
              </w:tabs>
              <w:suppressAutoHyphens/>
              <w:rPr>
                <w:spacing w:val="-2"/>
              </w:rPr>
            </w:pPr>
            <w:r>
              <w:rPr>
                <w:b/>
                <w:spacing w:val="-2"/>
              </w:rPr>
              <w:t>)</w:t>
            </w:r>
          </w:p>
        </w:tc>
        <w:tc>
          <w:tcPr>
            <w:tcW w:w="4248" w:type="dxa"/>
          </w:tcPr>
          <w:p w:rsidR="004C2EE3" w14:paraId="30BC4831" w14:textId="77777777">
            <w:pPr>
              <w:tabs>
                <w:tab w:val="center" w:pos="4680"/>
              </w:tabs>
              <w:suppressAutoHyphens/>
              <w:rPr>
                <w:spacing w:val="-2"/>
              </w:rPr>
            </w:pPr>
          </w:p>
          <w:p w:rsidR="004C2EE3" w14:paraId="422A3FA4" w14:textId="77777777">
            <w:pPr>
              <w:pStyle w:val="TOAHeading"/>
              <w:tabs>
                <w:tab w:val="center" w:pos="4680"/>
                <w:tab w:val="clear" w:pos="9360"/>
              </w:tabs>
              <w:rPr>
                <w:spacing w:val="-2"/>
              </w:rPr>
            </w:pPr>
          </w:p>
          <w:p w:rsidR="004C2EE3" w:rsidRPr="008D79C2" w14:paraId="6FF97899" w14:textId="7D7481A4">
            <w:pPr>
              <w:tabs>
                <w:tab w:val="center" w:pos="4680"/>
              </w:tabs>
              <w:suppressAutoHyphens/>
              <w:rPr>
                <w:spacing w:val="-2"/>
                <w:szCs w:val="22"/>
              </w:rPr>
            </w:pPr>
            <w:r w:rsidRPr="008D79C2">
              <w:rPr>
                <w:spacing w:val="-2"/>
                <w:szCs w:val="22"/>
              </w:rPr>
              <w:t>File No.</w:t>
            </w:r>
            <w:r w:rsidRPr="008D79C2" w:rsidR="008D79C2">
              <w:rPr>
                <w:color w:val="222222"/>
                <w:szCs w:val="22"/>
                <w:shd w:val="clear" w:color="auto" w:fill="FFFFFF"/>
              </w:rPr>
              <w:t xml:space="preserve"> EB-FIELDWR-22-00034110</w:t>
            </w:r>
          </w:p>
          <w:p w:rsidR="00D55FBC" w:rsidRPr="00D55FBC" w14:paraId="69D84720" w14:textId="5A295F6A">
            <w:pPr>
              <w:tabs>
                <w:tab w:val="center" w:pos="4680"/>
              </w:tabs>
              <w:suppressAutoHyphens/>
              <w:rPr>
                <w:spacing w:val="-2"/>
              </w:rPr>
            </w:pPr>
            <w:r w:rsidRPr="008D79C2">
              <w:rPr>
                <w:spacing w:val="-2"/>
                <w:szCs w:val="22"/>
              </w:rPr>
              <w:t xml:space="preserve">FRN: </w:t>
            </w:r>
            <w:r w:rsidRPr="008D79C2" w:rsidR="00E77F50">
              <w:rPr>
                <w:spacing w:val="-2"/>
                <w:szCs w:val="22"/>
              </w:rPr>
              <w:t>0002147031</w:t>
            </w:r>
          </w:p>
        </w:tc>
      </w:tr>
    </w:tbl>
    <w:p w:rsidR="004C2EE3" w:rsidP="0070224F" w14:paraId="50C46571" w14:textId="77777777"/>
    <w:p w:rsidR="00841AB1" w:rsidP="00F021FA" w14:paraId="19748C8D" w14:textId="50CFA8F7">
      <w:pPr>
        <w:pStyle w:val="StyleBoldCentered"/>
      </w:pPr>
      <w:r>
        <w:t>Notice of violation</w:t>
      </w:r>
    </w:p>
    <w:p w:rsidR="004C2EE3" w14:paraId="2740B14D" w14:textId="77777777">
      <w:pPr>
        <w:tabs>
          <w:tab w:val="left" w:pos="-720"/>
        </w:tabs>
        <w:suppressAutoHyphens/>
        <w:spacing w:line="227" w:lineRule="auto"/>
        <w:rPr>
          <w:spacing w:val="-2"/>
        </w:rPr>
      </w:pPr>
    </w:p>
    <w:p w:rsidR="004C2EE3" w:rsidRPr="00AD2A9B" w:rsidP="00133F79" w14:paraId="77DE93A9" w14:textId="4BD49F76">
      <w:pPr>
        <w:tabs>
          <w:tab w:val="left" w:pos="720"/>
          <w:tab w:val="right" w:pos="9360"/>
        </w:tabs>
        <w:suppressAutoHyphens/>
        <w:spacing w:line="227" w:lineRule="auto"/>
        <w:rPr>
          <w:spacing w:val="-2"/>
        </w:rPr>
      </w:pPr>
      <w:r>
        <w:rPr>
          <w:b/>
          <w:spacing w:val="-2"/>
        </w:rPr>
        <w:tab/>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D79C2">
        <w:rPr>
          <w:b/>
          <w:spacing w:val="-2"/>
        </w:rPr>
        <w:t>November</w:t>
      </w:r>
      <w:r w:rsidR="00F117BD">
        <w:rPr>
          <w:b/>
          <w:spacing w:val="-2"/>
        </w:rPr>
        <w:t xml:space="preserve"> </w:t>
      </w:r>
      <w:r w:rsidR="00837D76">
        <w:rPr>
          <w:b/>
          <w:spacing w:val="-2"/>
        </w:rPr>
        <w:t>16</w:t>
      </w:r>
      <w:r w:rsidR="00E77F50">
        <w:rPr>
          <w:b/>
          <w:spacing w:val="-2"/>
        </w:rPr>
        <w:t>, 2022</w:t>
      </w:r>
    </w:p>
    <w:p w:rsidR="00822CE0" w14:paraId="30D3BF8B" w14:textId="77777777"/>
    <w:p w:rsidR="00412FC5" w:rsidP="002D0E4A" w14:paraId="74257FDC" w14:textId="37FCB0E8">
      <w:r>
        <w:t xml:space="preserve">By </w:t>
      </w:r>
      <w:r w:rsidR="004E4A22">
        <w:t>the</w:t>
      </w:r>
      <w:r w:rsidR="002A2D2E">
        <w:t xml:space="preserve"> </w:t>
      </w:r>
      <w:r w:rsidR="00AD2A9B">
        <w:rPr>
          <w:spacing w:val="-2"/>
        </w:rPr>
        <w:t xml:space="preserve">Regional Director, Region </w:t>
      </w:r>
      <w:r w:rsidR="00E77F50">
        <w:rPr>
          <w:spacing w:val="-2"/>
        </w:rPr>
        <w:t>Three</w:t>
      </w:r>
      <w:r w:rsidR="00AD2A9B">
        <w:rPr>
          <w:spacing w:val="-2"/>
        </w:rPr>
        <w:t>, Enforcement Bureau</w:t>
      </w:r>
      <w:r>
        <w:rPr>
          <w:spacing w:val="-2"/>
        </w:rPr>
        <w:t>:</w:t>
      </w:r>
      <w:r w:rsidR="00E15CE6">
        <w:rPr>
          <w:spacing w:val="-2"/>
        </w:rPr>
        <w:br/>
      </w:r>
    </w:p>
    <w:p w:rsidR="002D0E4A" w:rsidP="00623360" w14:paraId="0A123901" w14:textId="5B936100">
      <w:pPr>
        <w:pStyle w:val="ParaNum"/>
        <w:spacing w:after="0"/>
      </w:pPr>
      <w:r w:rsidRPr="00AD2A9B">
        <w:t xml:space="preserve">This is a Notice of Violation (Notice) issued pursuant to </w:t>
      </w:r>
      <w:r w:rsidR="009E31AD">
        <w:t>s</w:t>
      </w:r>
      <w:r w:rsidRPr="00AD2A9B">
        <w:t>ection 1.89 of the Commission’s rules</w:t>
      </w:r>
      <w:r>
        <w:rPr>
          <w:rStyle w:val="FootnoteReference"/>
        </w:rPr>
        <w:footnoteReference w:id="3"/>
      </w:r>
      <w:r w:rsidRPr="00AD2A9B">
        <w:t xml:space="preserve"> to</w:t>
      </w:r>
      <w:r w:rsidR="0042398A">
        <w:t xml:space="preserve"> David Dean</w:t>
      </w:r>
      <w:r w:rsidR="00115615">
        <w:t xml:space="preserve"> (Dean)</w:t>
      </w:r>
      <w:r w:rsidRPr="00AD2A9B">
        <w:t xml:space="preserve">, licensee of radio station </w:t>
      </w:r>
      <w:r w:rsidR="0042398A">
        <w:t xml:space="preserve">K0PWO </w:t>
      </w:r>
      <w:r w:rsidRPr="00AD2A9B">
        <w:t xml:space="preserve">in </w:t>
      </w:r>
      <w:r w:rsidR="0042398A">
        <w:t>Centennial, Colorado</w:t>
      </w:r>
      <w:r w:rsidRPr="00AD2A9B">
        <w:t xml:space="preserve">.  Pursuant to </w:t>
      </w:r>
      <w:r w:rsidR="009E31AD">
        <w:t>s</w:t>
      </w:r>
      <w:r w:rsidRPr="00AD2A9B">
        <w:t xml:space="preserve">ection 1.89(a) of the </w:t>
      </w:r>
      <w:r w:rsidR="008F05EC">
        <w:t>Commission’s r</w:t>
      </w:r>
      <w:r w:rsidRPr="00AD2A9B">
        <w:t>ules, issuance of this Notice does not preclude the Enforcement Bureau from further action if warranted, including issuing a Notice of Apparent Liability for Forfeiture for the violations noted herein.</w:t>
      </w:r>
      <w:r>
        <w:rPr>
          <w:rStyle w:val="FootnoteReference"/>
        </w:rPr>
        <w:footnoteReference w:id="4"/>
      </w:r>
      <w:r w:rsidR="00E15CE6">
        <w:br/>
      </w:r>
    </w:p>
    <w:p w:rsidR="008D79C2" w:rsidP="000D0048" w14:paraId="388DB88F" w14:textId="2AF96793">
      <w:pPr>
        <w:pStyle w:val="ParaNum"/>
        <w:spacing w:after="0"/>
      </w:pPr>
      <w:r>
        <w:t>On August 1, 2022, the Commission received a complaint from the State of Colorado alleging that someone had illegally cloned a radio ID that was transmitting on the State’s digital trunked radio system (DTRS) without authorization.</w:t>
      </w:r>
      <w:r>
        <w:rPr>
          <w:rStyle w:val="FootnoteReference"/>
        </w:rPr>
        <w:footnoteReference w:id="5"/>
      </w:r>
      <w:r>
        <w:t xml:space="preserve">  The complaint was referred to the Enforcement Bureau’s Denver </w:t>
      </w:r>
      <w:r w:rsidR="00F132C1">
        <w:t>O</w:t>
      </w:r>
      <w:r>
        <w:t xml:space="preserve">ffice for investigation. </w:t>
      </w:r>
      <w:r w:rsidR="00340182">
        <w:t xml:space="preserve"> On August 3, 2022, </w:t>
      </w:r>
      <w:r>
        <w:t xml:space="preserve">agents from the Commission’s Denver </w:t>
      </w:r>
      <w:r w:rsidR="00F132C1">
        <w:t>O</w:t>
      </w:r>
      <w:r>
        <w:t xml:space="preserve">ffice </w:t>
      </w:r>
      <w:r w:rsidR="00340182">
        <w:t xml:space="preserve">determined through direction-finding techniques, a signal was being transmitted from </w:t>
      </w:r>
      <w:r w:rsidR="00115615">
        <w:t>Dean’s</w:t>
      </w:r>
      <w:r w:rsidR="00340182">
        <w:t xml:space="preserve"> residence.  During the investigation, </w:t>
      </w:r>
      <w:r w:rsidR="00115615">
        <w:t>Dean</w:t>
      </w:r>
      <w:r w:rsidR="00340182">
        <w:t xml:space="preserve"> provided a </w:t>
      </w:r>
      <w:r>
        <w:t xml:space="preserve">handheld radio, a Motorola XTS2500, that when pinged by a representative of the State of Colorado, responded to the ping indicating that the radio in </w:t>
      </w:r>
      <w:r w:rsidR="00115615">
        <w:t>Dean’s</w:t>
      </w:r>
      <w:r>
        <w:t xml:space="preserve"> possession was the cloned radio.</w:t>
      </w:r>
      <w:r>
        <w:rPr>
          <w:rStyle w:val="FootnoteReference"/>
        </w:rPr>
        <w:footnoteReference w:id="6"/>
      </w:r>
      <w:r>
        <w:t xml:space="preserve">  </w:t>
      </w:r>
      <w:r w:rsidR="00985F5B">
        <w:t xml:space="preserve">The agents </w:t>
      </w:r>
      <w:r w:rsidRPr="008F05EC" w:rsidR="00985F5B">
        <w:t>observed the following violation:</w:t>
      </w:r>
    </w:p>
    <w:p w:rsidR="000D0048" w:rsidP="000D0048" w14:paraId="5875DD39" w14:textId="77777777">
      <w:pPr>
        <w:pStyle w:val="ParaNum"/>
        <w:numPr>
          <w:ilvl w:val="0"/>
          <w:numId w:val="0"/>
        </w:numPr>
        <w:spacing w:after="0"/>
        <w:ind w:left="720"/>
      </w:pPr>
    </w:p>
    <w:p w:rsidR="008F05EC" w:rsidP="002D0E4A" w14:paraId="5568C3CE" w14:textId="46514BB3">
      <w:pPr>
        <w:numPr>
          <w:ilvl w:val="0"/>
          <w:numId w:val="7"/>
        </w:numPr>
        <w:spacing w:after="120"/>
      </w:pPr>
      <w:r>
        <w:t>47 CFR §</w:t>
      </w:r>
      <w:r w:rsidR="00013698">
        <w:t xml:space="preserve"> </w:t>
      </w:r>
      <w:r w:rsidRPr="00E7169D" w:rsidR="00013698">
        <w:t>1.903(a)</w:t>
      </w:r>
      <w:r w:rsidR="00013698">
        <w:t>:</w:t>
      </w:r>
      <w:r w:rsidRPr="00E7169D" w:rsidR="00013698">
        <w:t xml:space="preserve"> “</w:t>
      </w:r>
      <w:r w:rsidRPr="00932E09" w:rsidR="0030310E">
        <w:rPr>
          <w:i/>
          <w:iCs/>
        </w:rPr>
        <w:t>General Rule</w:t>
      </w:r>
      <w:r w:rsidR="0030310E">
        <w:rPr>
          <w:i/>
          <w:iCs/>
        </w:rPr>
        <w:t xml:space="preserve">. </w:t>
      </w:r>
      <w:r w:rsidRPr="00E7169D" w:rsidR="0030310E">
        <w:t xml:space="preserve"> </w:t>
      </w:r>
      <w:r w:rsidRPr="00E7169D" w:rsidR="00013698">
        <w:t>Stations in the Wireless Radio Services must be used and operated only in accordance with the rules applicable to their particular service as set forth in this title and with a valid authorization granted by the Commission . . .”</w:t>
      </w:r>
      <w:r>
        <w:t xml:space="preserve">: </w:t>
      </w:r>
      <w:r w:rsidR="0045722B">
        <w:t xml:space="preserve"> </w:t>
      </w:r>
      <w:r w:rsidR="0054314B">
        <w:t xml:space="preserve">Dean was observed with a radio that operated in public safety bands even though his amateur radio license did not authorize him to operate on those frequencies.  </w:t>
      </w:r>
      <w:r w:rsidR="00340182">
        <w:t xml:space="preserve">Additionally, Dean was not able to provide any authorization </w:t>
      </w:r>
      <w:r w:rsidR="008F753D">
        <w:t xml:space="preserve">to operate on the Colorado DTRS </w:t>
      </w:r>
      <w:r w:rsidR="00340182">
        <w:t>from Jefferson County, Colorado, the State of Colorado</w:t>
      </w:r>
      <w:r w:rsidR="00623360">
        <w:t>,</w:t>
      </w:r>
      <w:r w:rsidR="00340182">
        <w:t xml:space="preserve"> nor any entity associated with the </w:t>
      </w:r>
      <w:r w:rsidR="003F37B2">
        <w:t>State of Colorado’s DTRS</w:t>
      </w:r>
      <w:r w:rsidR="008F753D">
        <w:t xml:space="preserve">. </w:t>
      </w:r>
      <w:r w:rsidR="00340182">
        <w:t xml:space="preserve"> </w:t>
      </w:r>
      <w:r w:rsidR="0045722B">
        <w:t>As indicated above, by simply turning the Motorola XTS2500 radio on, it ping</w:t>
      </w:r>
      <w:r w:rsidR="003F37B2">
        <w:t>ed</w:t>
      </w:r>
      <w:r w:rsidR="0045722B">
        <w:t xml:space="preserve"> the State of Colorado’s DTRS</w:t>
      </w:r>
      <w:r w:rsidR="00340182">
        <w:t xml:space="preserve"> to establish access,</w:t>
      </w:r>
      <w:r w:rsidR="0045722B">
        <w:t xml:space="preserve"> resulting in Dean </w:t>
      </w:r>
      <w:r w:rsidRPr="00041BFF" w:rsidR="0045722B">
        <w:t xml:space="preserve">operating </w:t>
      </w:r>
      <w:r w:rsidR="0045722B">
        <w:t>o</w:t>
      </w:r>
      <w:r w:rsidRPr="00041BFF" w:rsidR="0045722B">
        <w:t xml:space="preserve">n </w:t>
      </w:r>
      <w:r w:rsidR="0045722B">
        <w:t>public safety</w:t>
      </w:r>
      <w:r w:rsidRPr="00041BFF" w:rsidR="0045722B">
        <w:t xml:space="preserve"> frequencies</w:t>
      </w:r>
      <w:r w:rsidR="0045722B">
        <w:t xml:space="preserve">.  </w:t>
      </w:r>
    </w:p>
    <w:p w:rsidR="008F05EC" w:rsidP="00623360" w14:paraId="32E2E4CC" w14:textId="48553D5F">
      <w:pPr>
        <w:pStyle w:val="ParaNum"/>
        <w:spacing w:after="0"/>
      </w:pPr>
      <w:r w:rsidRPr="008F05EC">
        <w:t xml:space="preserve">Pursuant to </w:t>
      </w:r>
      <w:r w:rsidR="009E31AD">
        <w:t>s</w:t>
      </w:r>
      <w:r w:rsidRPr="008F05EC">
        <w:t>ection 308(b) of the Communications Act of 1934, as amended</w:t>
      </w:r>
      <w:r>
        <w:t xml:space="preserve"> (Act)</w:t>
      </w:r>
      <w:r w:rsidRPr="008F05EC">
        <w:t xml:space="preserve">, and </w:t>
      </w:r>
      <w:r w:rsidR="009E31AD">
        <w:t>s</w:t>
      </w:r>
      <w:r w:rsidRPr="008F05EC">
        <w:t xml:space="preserve">ection 1.89 of the </w:t>
      </w:r>
      <w:r>
        <w:t>Commission’s r</w:t>
      </w:r>
      <w:r w:rsidRPr="008F05EC">
        <w:t>ules, we seek additional information concerning the violations and any remedial actions taken.</w:t>
      </w:r>
      <w:r>
        <w:rPr>
          <w:rStyle w:val="FootnoteReference"/>
        </w:rPr>
        <w:footnoteReference w:id="7"/>
      </w:r>
      <w:r w:rsidRPr="008F05EC">
        <w:t xml:space="preserve">  Therefore, </w:t>
      </w:r>
      <w:r w:rsidR="005260B0">
        <w:t>David Dean</w:t>
      </w:r>
      <w:r w:rsidRPr="008F05EC">
        <w:t xml:space="preserve"> must submit a written statement concerning this matter within twenty (20) days of release of this Notice.  The response (i)</w:t>
      </w:r>
      <w:r>
        <w:t> </w:t>
      </w:r>
      <w:r w:rsidRPr="008F05EC">
        <w:t>must fully explain each violation, including all relevant surrounding facts and circumstances, (ii)</w:t>
      </w:r>
      <w:r>
        <w:t> </w:t>
      </w:r>
      <w:r w:rsidRPr="008F05EC">
        <w:t>must contain a statement of the specific action(s) taken to correct each violation and preclude recurrence, and (iii)</w:t>
      </w:r>
      <w:r>
        <w:t> </w:t>
      </w:r>
      <w:r w:rsidRPr="008F05EC">
        <w:t>must include a timeline for completion of any pending corrective action(s).  The response must be complete in itself and must not be abbreviated by reference to other communications or answers to other notices.</w:t>
      </w:r>
      <w:r>
        <w:rPr>
          <w:rStyle w:val="FootnoteReference"/>
        </w:rPr>
        <w:footnoteReference w:id="8"/>
      </w:r>
      <w:r w:rsidR="00E15CE6">
        <w:br/>
      </w:r>
    </w:p>
    <w:p w:rsidR="002D0E4A" w:rsidP="00623360" w14:paraId="3BF74CB4" w14:textId="77777777">
      <w:pPr>
        <w:pStyle w:val="ParaNum"/>
        <w:spacing w:after="0"/>
      </w:pPr>
      <w:r w:rsidRPr="00D55FBC">
        <w:t xml:space="preserve">In accordance with </w:t>
      </w:r>
      <w:r w:rsidR="009E31AD">
        <w:t>s</w:t>
      </w:r>
      <w:r w:rsidRPr="00D55FBC" w:rsidR="009E31AD">
        <w:t xml:space="preserve">ection </w:t>
      </w:r>
      <w:r w:rsidRPr="00D55FBC">
        <w:t xml:space="preserve">1.16 of the </w:t>
      </w:r>
      <w:r>
        <w:t>Commission’s r</w:t>
      </w:r>
      <w:r w:rsidRPr="00D55FBC">
        <w:t xml:space="preserve">ules, we direct </w:t>
      </w:r>
      <w:r w:rsidR="00D01DB1">
        <w:t>Mr. Dean</w:t>
      </w:r>
      <w:r w:rsidRPr="00D55FBC">
        <w:t xml:space="preserve"> to support </w:t>
      </w:r>
      <w:r w:rsidR="002C1283">
        <w:t xml:space="preserve"> his </w:t>
      </w:r>
      <w:r w:rsidRPr="00D55FBC">
        <w:t xml:space="preserve">response to this Notice with an affidavit or declaration under penalty of perjury, signed and dated by </w:t>
      </w:r>
      <w:r w:rsidR="00D01DB1">
        <w:t>him</w:t>
      </w:r>
      <w:r w:rsidRPr="00D55FBC">
        <w:t>, verifying the truth and accuracy of the information therein, and confirming that all of the information requested by this Notice which is in the licensee’s</w:t>
      </w:r>
      <w:r w:rsidR="00D01DB1">
        <w:t xml:space="preserve"> </w:t>
      </w:r>
      <w:r w:rsidRPr="00D55FBC">
        <w:t>possession, custody, control, or knowledge has been produced.</w:t>
      </w:r>
      <w:r>
        <w:rPr>
          <w:rStyle w:val="FootnoteReference"/>
        </w:rPr>
        <w:footnoteReference w:id="9"/>
      </w:r>
      <w:r w:rsidRPr="00D55FBC">
        <w:t xml:space="preserve">  To knowingly and willfully make any false statement or conceal any material fact in reply to this Notice is punishable by fine or imprisonment under </w:t>
      </w:r>
      <w:r w:rsidR="009E31AD">
        <w:t>t</w:t>
      </w:r>
      <w:r w:rsidRPr="00D55FBC" w:rsidR="009E31AD">
        <w:t xml:space="preserve">itle </w:t>
      </w:r>
      <w:r w:rsidRPr="00D55FBC">
        <w:t>18 of the U.S. Code.</w:t>
      </w:r>
      <w:r>
        <w:rPr>
          <w:rStyle w:val="FootnoteReference"/>
        </w:rPr>
        <w:footnoteReference w:id="10"/>
      </w:r>
      <w:r w:rsidR="00E15CE6">
        <w:br/>
      </w:r>
    </w:p>
    <w:p w:rsidR="00D55FBC" w:rsidP="00623360" w14:paraId="54687F56" w14:textId="7DC9A621">
      <w:pPr>
        <w:pStyle w:val="ParaNum"/>
      </w:pPr>
      <w:r w:rsidRPr="00D55FBC">
        <w:t xml:space="preserve">All replies and documentation sent in response to this Notice should be marked with the File </w:t>
      </w:r>
      <w:r w:rsidRPr="00D55FBC" w:rsidR="00051DB5">
        <w:t>N</w:t>
      </w:r>
      <w:r w:rsidR="00051DB5">
        <w:t>umber</w:t>
      </w:r>
      <w:r w:rsidR="009E31AD">
        <w:t>,</w:t>
      </w:r>
      <w:r w:rsidRPr="00D55FBC">
        <w:t xml:space="preserve"> specified above, and mailed to the following address:</w:t>
      </w:r>
    </w:p>
    <w:p w:rsidR="00D55FBC" w:rsidP="00623360" w14:paraId="4CA45B79" w14:textId="7C3FC165">
      <w:pPr>
        <w:ind w:left="2160"/>
      </w:pPr>
      <w:r>
        <w:t>Federal Communications Commission</w:t>
      </w:r>
    </w:p>
    <w:p w:rsidR="00D55FBC" w:rsidP="00623360" w14:paraId="34EB3B79" w14:textId="456F30DE">
      <w:pPr>
        <w:ind w:left="2160"/>
      </w:pPr>
      <w:r>
        <w:t>Los Angeles Regional Office</w:t>
      </w:r>
    </w:p>
    <w:p w:rsidR="00D55FBC" w:rsidP="00623360" w14:paraId="5C405781" w14:textId="4D07130C">
      <w:pPr>
        <w:ind w:left="2160"/>
      </w:pPr>
      <w:r>
        <w:t>11331 183</w:t>
      </w:r>
      <w:r w:rsidRPr="0042398A">
        <w:rPr>
          <w:vertAlign w:val="superscript"/>
        </w:rPr>
        <w:t>rd</w:t>
      </w:r>
      <w:r>
        <w:t xml:space="preserve"> Street, PMB #365</w:t>
      </w:r>
    </w:p>
    <w:p w:rsidR="00D55FBC" w:rsidRPr="00D55FBC" w:rsidP="000D0048" w14:paraId="6F6D52AF" w14:textId="3DC3A2FF">
      <w:pPr>
        <w:ind w:left="2160"/>
      </w:pPr>
      <w:r>
        <w:t>Cerritos, CA 90703</w:t>
      </w:r>
      <w:r w:rsidR="00E15CE6">
        <w:br/>
      </w:r>
    </w:p>
    <w:p w:rsidR="00E15CE6" w:rsidP="00623360" w14:paraId="4FE79663" w14:textId="37D1DCE2">
      <w:pPr>
        <w:pStyle w:val="ParaNum"/>
      </w:pPr>
      <w:r w:rsidRPr="00D55FBC">
        <w:t xml:space="preserve">This Notice shall be sent to </w:t>
      </w:r>
      <w:r w:rsidR="00C97C37">
        <w:t>David Dean</w:t>
      </w:r>
      <w:r>
        <w:t xml:space="preserve"> at </w:t>
      </w:r>
      <w:r w:rsidR="00C97C37">
        <w:t>his</w:t>
      </w:r>
      <w:r>
        <w:t xml:space="preserve"> </w:t>
      </w:r>
      <w:r w:rsidRPr="00D55FBC">
        <w:t>address of record.</w:t>
      </w:r>
    </w:p>
    <w:p w:rsidR="00115615" w14:paraId="09138F30" w14:textId="4152E32A">
      <w:pPr>
        <w:widowControl/>
      </w:pPr>
    </w:p>
    <w:p w:rsidR="00D55FBC" w:rsidP="000D0048" w14:paraId="23DFCC19" w14:textId="23E1A863">
      <w:pPr>
        <w:pStyle w:val="ParaNum"/>
        <w:keepNext/>
        <w:spacing w:after="0"/>
      </w:pPr>
      <w:r w:rsidRPr="00D55FBC">
        <w:t>The Privacy Act of 1974</w:t>
      </w:r>
      <w:r>
        <w:rPr>
          <w:rStyle w:val="FootnoteReference"/>
        </w:rPr>
        <w:footnoteReference w:id="11"/>
      </w:r>
      <w:r w:rsidRPr="00D55FBC">
        <w:t xml:space="preserve"> requires that we advise you that the Commission will use all relevant material information before it, including any information disclosed in your reply, to determine what, if any, enforcement action is required to ensure compliance.  </w:t>
      </w:r>
      <w:r w:rsidR="00E15CE6">
        <w:br/>
      </w:r>
    </w:p>
    <w:p w:rsidR="00D55FBC" w:rsidP="00ED4640" w14:paraId="167DDF59" w14:textId="77777777">
      <w:pPr>
        <w:keepNext/>
      </w:pPr>
      <w:r>
        <w:tab/>
      </w:r>
      <w:r>
        <w:tab/>
      </w:r>
      <w:r>
        <w:tab/>
      </w:r>
      <w:r>
        <w:tab/>
      </w:r>
      <w:r>
        <w:tab/>
      </w:r>
      <w:r>
        <w:tab/>
        <w:t>FEDERAL COMMUNICATIONS COMMISSION</w:t>
      </w:r>
    </w:p>
    <w:p w:rsidR="00D55FBC" w:rsidP="00ED4640" w14:paraId="75EE0756" w14:textId="77777777">
      <w:pPr>
        <w:keepNext/>
      </w:pPr>
    </w:p>
    <w:p w:rsidR="00D55FBC" w:rsidP="00ED4640" w14:paraId="479C5C50" w14:textId="77777777">
      <w:pPr>
        <w:keepNext/>
      </w:pPr>
    </w:p>
    <w:p w:rsidR="00D55FBC" w:rsidP="00623360" w14:paraId="548E3C75" w14:textId="77777777">
      <w:pPr>
        <w:keepNext/>
      </w:pPr>
    </w:p>
    <w:p w:rsidR="00D55FBC" w:rsidP="00ED4640" w14:paraId="6FB234B6" w14:textId="77777777">
      <w:pPr>
        <w:keepNext/>
      </w:pPr>
    </w:p>
    <w:p w:rsidR="00D55FBC" w:rsidRPr="00D55FBC" w:rsidP="00ED4640" w14:paraId="229D0CA6" w14:textId="7EE0F495">
      <w:pPr>
        <w:keepNext/>
      </w:pPr>
      <w:r>
        <w:tab/>
      </w:r>
      <w:r>
        <w:tab/>
      </w:r>
      <w:r>
        <w:tab/>
      </w:r>
      <w:r>
        <w:tab/>
      </w:r>
      <w:r>
        <w:tab/>
      </w:r>
      <w:r>
        <w:tab/>
      </w:r>
      <w:r w:rsidR="006802BB">
        <w:t>Lark Hadley</w:t>
      </w:r>
    </w:p>
    <w:p w:rsidR="00D55FBC" w:rsidP="00ED4640" w14:paraId="7DFB10BF" w14:textId="44D968DF">
      <w:pPr>
        <w:keepNext/>
      </w:pPr>
      <w:r>
        <w:tab/>
      </w:r>
      <w:r>
        <w:tab/>
      </w:r>
      <w:r>
        <w:tab/>
      </w:r>
      <w:r>
        <w:tab/>
      </w:r>
      <w:r>
        <w:tab/>
      </w:r>
      <w:r>
        <w:tab/>
        <w:t xml:space="preserve">Regional Director, Region </w:t>
      </w:r>
      <w:r w:rsidR="006802BB">
        <w:t>Three</w:t>
      </w:r>
    </w:p>
    <w:p w:rsidR="00D55FBC" w:rsidRPr="00D55FBC" w:rsidP="00ED4640" w14:paraId="625594D4" w14:textId="24FA788A">
      <w:pPr>
        <w:keepNext/>
      </w:pPr>
      <w:r>
        <w:tab/>
      </w:r>
      <w:r>
        <w:tab/>
      </w:r>
      <w:r>
        <w:tab/>
      </w:r>
      <w:r>
        <w:tab/>
      </w:r>
      <w:r>
        <w:tab/>
      </w:r>
      <w:r>
        <w:tab/>
        <w:t>Enforcement Bureau</w:t>
      </w:r>
    </w:p>
    <w:p w:rsidR="00D55FBC" w:rsidRPr="00AD2A9B" w:rsidP="00D55FBC" w14:paraId="0F94A91D" w14:textId="77777777"/>
    <w:sectPr w:rsidSect="00F132C1">
      <w:headerReference w:type="default" r:id="rId5"/>
      <w:footerReference w:type="even" r:id="rId6"/>
      <w:footerReference w:type="default" r:id="rId7"/>
      <w:headerReference w:type="first" r:id="rId8"/>
      <w:footerReference w:type="first" r:id="rId9"/>
      <w:endnotePr>
        <w:numFmt w:val="decimal"/>
      </w:endnotePr>
      <w:pgSz w:w="12240" w:h="15840"/>
      <w:pgMar w:top="1296" w:right="1008" w:bottom="720" w:left="1296"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C5D07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DB20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EEB5AF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0CC3C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479F73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7138" w14:paraId="49C40FEF" w14:textId="77777777">
      <w:r>
        <w:separator/>
      </w:r>
    </w:p>
  </w:footnote>
  <w:footnote w:type="continuationSeparator" w:id="1">
    <w:p w:rsidR="00FD7138" w:rsidP="00C721AC" w14:paraId="11210847" w14:textId="77777777">
      <w:pPr>
        <w:spacing w:before="120"/>
        <w:rPr>
          <w:sz w:val="20"/>
        </w:rPr>
      </w:pPr>
      <w:r>
        <w:rPr>
          <w:sz w:val="20"/>
        </w:rPr>
        <w:t xml:space="preserve">(Continued from previous page)  </w:t>
      </w:r>
      <w:r>
        <w:rPr>
          <w:sz w:val="20"/>
        </w:rPr>
        <w:separator/>
      </w:r>
    </w:p>
  </w:footnote>
  <w:footnote w:type="continuationNotice" w:id="2">
    <w:p w:rsidR="00FD7138" w:rsidP="00C721AC" w14:paraId="36B21E7C" w14:textId="77777777">
      <w:pPr>
        <w:jc w:val="right"/>
        <w:rPr>
          <w:sz w:val="20"/>
        </w:rPr>
      </w:pPr>
      <w:r>
        <w:rPr>
          <w:sz w:val="20"/>
        </w:rPr>
        <w:t>(continued….)</w:t>
      </w:r>
    </w:p>
  </w:footnote>
  <w:footnote w:id="3">
    <w:p w:rsidR="00AD2A9B" w14:paraId="1FD3986F" w14:textId="4AE72D2A">
      <w:pPr>
        <w:pStyle w:val="FootnoteText"/>
      </w:pPr>
      <w:r>
        <w:rPr>
          <w:rStyle w:val="FootnoteReference"/>
        </w:rPr>
        <w:footnoteRef/>
      </w:r>
      <w:r>
        <w:t xml:space="preserve"> 47 CFR § 1.89.</w:t>
      </w:r>
    </w:p>
  </w:footnote>
  <w:footnote w:id="4">
    <w:p w:rsidR="008F05EC" w14:paraId="75AC50CE" w14:textId="241B9196">
      <w:pPr>
        <w:pStyle w:val="FootnoteText"/>
      </w:pPr>
      <w:r>
        <w:rPr>
          <w:rStyle w:val="FootnoteReference"/>
        </w:rPr>
        <w:footnoteRef/>
      </w:r>
      <w:r>
        <w:t xml:space="preserve"> 47 CFR § 1.89(a).</w:t>
      </w:r>
    </w:p>
  </w:footnote>
  <w:footnote w:id="5">
    <w:p w:rsidR="00115615" w14:paraId="28E7A7C4" w14:textId="34A0ACAE">
      <w:pPr>
        <w:pStyle w:val="FootnoteText"/>
      </w:pPr>
      <w:r>
        <w:rPr>
          <w:rStyle w:val="FootnoteReference"/>
        </w:rPr>
        <w:footnoteRef/>
      </w:r>
      <w:r>
        <w:t xml:space="preserve"> The licensee of WPMI204 is Jefferson County, Colorado.  The system, however, is operated by the State of Colorado as part of the state’s </w:t>
      </w:r>
      <w:r w:rsidR="00160EB2">
        <w:t>digital trunked radio</w:t>
      </w:r>
      <w:r>
        <w:t xml:space="preserve"> system.</w:t>
      </w:r>
    </w:p>
  </w:footnote>
  <w:footnote w:id="6">
    <w:p w:rsidR="00837D76" w14:paraId="21F12E5C" w14:textId="292415ED">
      <w:pPr>
        <w:pStyle w:val="FootnoteText"/>
      </w:pPr>
      <w:r>
        <w:rPr>
          <w:rStyle w:val="FootnoteReference"/>
        </w:rPr>
        <w:footnoteRef/>
      </w:r>
      <w:r>
        <w:t xml:space="preserve"> A “ping” is an over-the-air digital data signal used to establish a service connection with the radio and the system.</w:t>
      </w:r>
    </w:p>
  </w:footnote>
  <w:footnote w:id="7">
    <w:p w:rsidR="008F05EC" w:rsidRPr="008F05EC" w14:paraId="38A560B6" w14:textId="21F7FC32">
      <w:pPr>
        <w:pStyle w:val="FootnoteText"/>
      </w:pPr>
      <w:r>
        <w:rPr>
          <w:rStyle w:val="FootnoteReference"/>
        </w:rPr>
        <w:footnoteRef/>
      </w:r>
      <w:r>
        <w:t xml:space="preserve"> 47 U.S.C. </w:t>
      </w:r>
      <w:r w:rsidR="009E31AD">
        <w:t xml:space="preserve">§ </w:t>
      </w:r>
      <w:r>
        <w:t>308(b)</w:t>
      </w:r>
      <w:r w:rsidR="002263FF">
        <w:t xml:space="preserve">; </w:t>
      </w:r>
      <w:r>
        <w:t>47 CFR § 1.89.</w:t>
      </w:r>
    </w:p>
  </w:footnote>
  <w:footnote w:id="8">
    <w:p w:rsidR="00D55FBC" w14:paraId="26AEBABE" w14:textId="75A21E36">
      <w:pPr>
        <w:pStyle w:val="FootnoteText"/>
      </w:pPr>
      <w:r>
        <w:rPr>
          <w:rStyle w:val="FootnoteReference"/>
        </w:rPr>
        <w:footnoteRef/>
      </w:r>
      <w:r>
        <w:t xml:space="preserve"> 47 CFR § 1.89(c).</w:t>
      </w:r>
    </w:p>
  </w:footnote>
  <w:footnote w:id="9">
    <w:p w:rsidR="00D55FBC" w14:paraId="0A081617" w14:textId="26BC59B5">
      <w:pPr>
        <w:pStyle w:val="FootnoteText"/>
      </w:pPr>
      <w:r>
        <w:rPr>
          <w:rStyle w:val="FootnoteReference"/>
        </w:rPr>
        <w:footnoteRef/>
      </w:r>
      <w:r>
        <w:t xml:space="preserve"> </w:t>
      </w:r>
      <w:r w:rsidRPr="00D55FBC">
        <w:t xml:space="preserve">Section 1.16 of the </w:t>
      </w:r>
      <w:r>
        <w:t>Commission’s r</w:t>
      </w:r>
      <w:r w:rsidRPr="00D55FBC">
        <w:t>ules provides that “[a]</w:t>
      </w:r>
      <w:r w:rsidRPr="00D55FBC">
        <w:t>ny</w:t>
      </w:r>
      <w:r w:rsidRPr="00D55FBC">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10">
    <w:p w:rsidR="00D55FBC" w:rsidRPr="00D55FBC" w14:paraId="00C93D63" w14:textId="367D66E6">
      <w:pPr>
        <w:pStyle w:val="FootnoteText"/>
      </w:pPr>
      <w:r>
        <w:rPr>
          <w:rStyle w:val="FootnoteReference"/>
        </w:rPr>
        <w:footnoteRef/>
      </w:r>
      <w:r>
        <w:t xml:space="preserve"> 18 U.S.C. §§ 1001, </w:t>
      </w:r>
      <w:r w:rsidRPr="00D55FBC">
        <w:rPr>
          <w:i/>
        </w:rPr>
        <w:t>et seq</w:t>
      </w:r>
      <w:r>
        <w:t xml:space="preserve">.; </w:t>
      </w:r>
      <w:r>
        <w:rPr>
          <w:i/>
        </w:rPr>
        <w:t xml:space="preserve">see also </w:t>
      </w:r>
      <w:r>
        <w:t>47 CFR § 1.17.</w:t>
      </w:r>
    </w:p>
  </w:footnote>
  <w:footnote w:id="11">
    <w:p w:rsidR="00D55FBC" w14:paraId="7FF56E3F" w14:textId="0EC124FE">
      <w:pPr>
        <w:pStyle w:val="FootnoteText"/>
      </w:pPr>
      <w:r>
        <w:rPr>
          <w:rStyle w:val="FootnoteReference"/>
        </w:rPr>
        <w:footnoteRef/>
      </w:r>
      <w:r>
        <w:t xml:space="preserve"> </w:t>
      </w:r>
      <w:r w:rsidRPr="00D55FBC">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7872BD" w14:textId="7010B0D8">
    <w:pPr>
      <w:pStyle w:val="Header"/>
      <w:rPr>
        <w:b w:val="0"/>
      </w:rPr>
    </w:pPr>
    <w:r>
      <w:tab/>
      <w:t>Federal Communications Commission</w:t>
    </w:r>
    <w:r>
      <w:tab/>
    </w:r>
  </w:p>
  <w:p w:rsidR="00D25FB5" w14:paraId="56D6C3C1" w14:textId="7D4B0D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820B02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41F9E7" w14:textId="7DEADB4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7C11CA"/>
    <w:multiLevelType w:val="hybridMultilevel"/>
    <w:tmpl w:val="38129D86"/>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C51"/>
    <w:rsid w:val="00013698"/>
    <w:rsid w:val="00036039"/>
    <w:rsid w:val="00037F90"/>
    <w:rsid w:val="00041BFF"/>
    <w:rsid w:val="00047C90"/>
    <w:rsid w:val="00051DB5"/>
    <w:rsid w:val="000875BF"/>
    <w:rsid w:val="00096D8C"/>
    <w:rsid w:val="000C0B65"/>
    <w:rsid w:val="000D0048"/>
    <w:rsid w:val="000E05FE"/>
    <w:rsid w:val="000E3D42"/>
    <w:rsid w:val="000E4428"/>
    <w:rsid w:val="00115615"/>
    <w:rsid w:val="00122BD5"/>
    <w:rsid w:val="00133F79"/>
    <w:rsid w:val="00160EB2"/>
    <w:rsid w:val="00194A66"/>
    <w:rsid w:val="001D6BCF"/>
    <w:rsid w:val="001E01CA"/>
    <w:rsid w:val="002263FF"/>
    <w:rsid w:val="00275CF5"/>
    <w:rsid w:val="0028301F"/>
    <w:rsid w:val="00285017"/>
    <w:rsid w:val="002A2D2E"/>
    <w:rsid w:val="002C00E8"/>
    <w:rsid w:val="002C1283"/>
    <w:rsid w:val="002D0E4A"/>
    <w:rsid w:val="002E708A"/>
    <w:rsid w:val="00301504"/>
    <w:rsid w:val="0030310E"/>
    <w:rsid w:val="00340182"/>
    <w:rsid w:val="00343749"/>
    <w:rsid w:val="003660ED"/>
    <w:rsid w:val="0037636E"/>
    <w:rsid w:val="003B0550"/>
    <w:rsid w:val="003B694F"/>
    <w:rsid w:val="003F171C"/>
    <w:rsid w:val="003F37B2"/>
    <w:rsid w:val="00412FC5"/>
    <w:rsid w:val="00422276"/>
    <w:rsid w:val="0042398A"/>
    <w:rsid w:val="004242F1"/>
    <w:rsid w:val="00445A00"/>
    <w:rsid w:val="00451B0F"/>
    <w:rsid w:val="0045722B"/>
    <w:rsid w:val="004625A8"/>
    <w:rsid w:val="00466C14"/>
    <w:rsid w:val="004C2EE3"/>
    <w:rsid w:val="004E4A22"/>
    <w:rsid w:val="00511968"/>
    <w:rsid w:val="005260B0"/>
    <w:rsid w:val="0054314B"/>
    <w:rsid w:val="0055614C"/>
    <w:rsid w:val="005E14C2"/>
    <w:rsid w:val="005E61C5"/>
    <w:rsid w:val="00607BA5"/>
    <w:rsid w:val="0061180A"/>
    <w:rsid w:val="00623360"/>
    <w:rsid w:val="00626EB6"/>
    <w:rsid w:val="00655D03"/>
    <w:rsid w:val="006802BB"/>
    <w:rsid w:val="00683388"/>
    <w:rsid w:val="00683F84"/>
    <w:rsid w:val="006A6A81"/>
    <w:rsid w:val="006E4FF6"/>
    <w:rsid w:val="006F7393"/>
    <w:rsid w:val="0070224F"/>
    <w:rsid w:val="007115F7"/>
    <w:rsid w:val="00761805"/>
    <w:rsid w:val="00785689"/>
    <w:rsid w:val="0079754B"/>
    <w:rsid w:val="007A12C9"/>
    <w:rsid w:val="007A1E6D"/>
    <w:rsid w:val="007B0EB2"/>
    <w:rsid w:val="007E4CF1"/>
    <w:rsid w:val="00810B6F"/>
    <w:rsid w:val="00822C51"/>
    <w:rsid w:val="00822CE0"/>
    <w:rsid w:val="00837D76"/>
    <w:rsid w:val="00841AB1"/>
    <w:rsid w:val="008C68F1"/>
    <w:rsid w:val="008D79C2"/>
    <w:rsid w:val="008D7E2A"/>
    <w:rsid w:val="008F05EC"/>
    <w:rsid w:val="008F753D"/>
    <w:rsid w:val="00921803"/>
    <w:rsid w:val="00926503"/>
    <w:rsid w:val="00932E09"/>
    <w:rsid w:val="009726D8"/>
    <w:rsid w:val="00985F5B"/>
    <w:rsid w:val="009962E5"/>
    <w:rsid w:val="009D0EF1"/>
    <w:rsid w:val="009E2FFB"/>
    <w:rsid w:val="009E31AD"/>
    <w:rsid w:val="009F76DB"/>
    <w:rsid w:val="00A32C3B"/>
    <w:rsid w:val="00A45F4F"/>
    <w:rsid w:val="00A600A9"/>
    <w:rsid w:val="00AA55B7"/>
    <w:rsid w:val="00AA5B9E"/>
    <w:rsid w:val="00AB2407"/>
    <w:rsid w:val="00AB53DF"/>
    <w:rsid w:val="00AD2A9B"/>
    <w:rsid w:val="00AD6DFD"/>
    <w:rsid w:val="00B07E5C"/>
    <w:rsid w:val="00B30603"/>
    <w:rsid w:val="00B472B9"/>
    <w:rsid w:val="00B811F7"/>
    <w:rsid w:val="00BA5DC6"/>
    <w:rsid w:val="00BA6196"/>
    <w:rsid w:val="00BB116C"/>
    <w:rsid w:val="00BC6D8C"/>
    <w:rsid w:val="00BF32E8"/>
    <w:rsid w:val="00C34006"/>
    <w:rsid w:val="00C426B1"/>
    <w:rsid w:val="00C66160"/>
    <w:rsid w:val="00C721AC"/>
    <w:rsid w:val="00C90D6A"/>
    <w:rsid w:val="00C97C37"/>
    <w:rsid w:val="00CA247E"/>
    <w:rsid w:val="00CC72B6"/>
    <w:rsid w:val="00D01DB1"/>
    <w:rsid w:val="00D0218D"/>
    <w:rsid w:val="00D25E0E"/>
    <w:rsid w:val="00D25FB5"/>
    <w:rsid w:val="00D44223"/>
    <w:rsid w:val="00D55FBC"/>
    <w:rsid w:val="00DA2529"/>
    <w:rsid w:val="00DB130A"/>
    <w:rsid w:val="00DB2EBB"/>
    <w:rsid w:val="00DC10A1"/>
    <w:rsid w:val="00DC655F"/>
    <w:rsid w:val="00DD0B59"/>
    <w:rsid w:val="00DD7EBD"/>
    <w:rsid w:val="00DF62B6"/>
    <w:rsid w:val="00DF680E"/>
    <w:rsid w:val="00E02168"/>
    <w:rsid w:val="00E07225"/>
    <w:rsid w:val="00E15CE6"/>
    <w:rsid w:val="00E5409F"/>
    <w:rsid w:val="00E61706"/>
    <w:rsid w:val="00E7169D"/>
    <w:rsid w:val="00E77F50"/>
    <w:rsid w:val="00ED4640"/>
    <w:rsid w:val="00EE6488"/>
    <w:rsid w:val="00EF370C"/>
    <w:rsid w:val="00F021FA"/>
    <w:rsid w:val="00F117BD"/>
    <w:rsid w:val="00F132C1"/>
    <w:rsid w:val="00F62E97"/>
    <w:rsid w:val="00F64209"/>
    <w:rsid w:val="00F93BF5"/>
    <w:rsid w:val="00FB5C08"/>
    <w:rsid w:val="00FB7992"/>
    <w:rsid w:val="00FD71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299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Revision">
    <w:name w:val="Revision"/>
    <w:hidden/>
    <w:uiPriority w:val="99"/>
    <w:semiHidden/>
    <w:rsid w:val="002C1283"/>
    <w:rPr>
      <w:snapToGrid w:val="0"/>
      <w:kern w:val="28"/>
      <w:sz w:val="22"/>
    </w:rPr>
  </w:style>
  <w:style w:type="character" w:styleId="CommentReference">
    <w:name w:val="annotation reference"/>
    <w:basedOn w:val="DefaultParagraphFont"/>
    <w:rsid w:val="00340182"/>
    <w:rPr>
      <w:sz w:val="16"/>
      <w:szCs w:val="16"/>
    </w:rPr>
  </w:style>
  <w:style w:type="paragraph" w:styleId="CommentText">
    <w:name w:val="annotation text"/>
    <w:basedOn w:val="Normal"/>
    <w:link w:val="CommentTextChar"/>
    <w:rsid w:val="00340182"/>
    <w:rPr>
      <w:sz w:val="20"/>
    </w:rPr>
  </w:style>
  <w:style w:type="character" w:customStyle="1" w:styleId="CommentTextChar">
    <w:name w:val="Comment Text Char"/>
    <w:basedOn w:val="DefaultParagraphFont"/>
    <w:link w:val="CommentText"/>
    <w:rsid w:val="00340182"/>
    <w:rPr>
      <w:snapToGrid w:val="0"/>
      <w:kern w:val="28"/>
    </w:rPr>
  </w:style>
  <w:style w:type="paragraph" w:styleId="CommentSubject">
    <w:name w:val="annotation subject"/>
    <w:basedOn w:val="CommentText"/>
    <w:next w:val="CommentText"/>
    <w:link w:val="CommentSubjectChar"/>
    <w:rsid w:val="00340182"/>
    <w:rPr>
      <w:b/>
      <w:bCs/>
    </w:rPr>
  </w:style>
  <w:style w:type="character" w:customStyle="1" w:styleId="CommentSubjectChar">
    <w:name w:val="Comment Subject Char"/>
    <w:basedOn w:val="CommentTextChar"/>
    <w:link w:val="CommentSubject"/>
    <w:rsid w:val="0034018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