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55CDA" w:rsidRPr="00AB5E4A" w:rsidP="00955CDA" w14:paraId="22A5A54C" w14:textId="77777777">
      <w:pPr>
        <w:jc w:val="center"/>
        <w:rPr>
          <w:b/>
          <w:szCs w:val="22"/>
        </w:rPr>
      </w:pPr>
      <w:r w:rsidRPr="00AB5E4A">
        <w:rPr>
          <w:b/>
          <w:szCs w:val="22"/>
        </w:rPr>
        <w:t>Before the</w:t>
      </w:r>
    </w:p>
    <w:p w:rsidR="00955CDA" w:rsidRPr="00AB5E4A" w:rsidP="00955CDA" w14:paraId="47C30A42" w14:textId="77777777">
      <w:pPr>
        <w:pStyle w:val="StyleBoldCentered"/>
        <w:rPr>
          <w:rFonts w:ascii="Times New Roman" w:hAnsi="Times New Roman"/>
        </w:rPr>
      </w:pPr>
      <w:r w:rsidRPr="00AB5E4A">
        <w:rPr>
          <w:rFonts w:ascii="Times New Roman" w:hAnsi="Times New Roman"/>
        </w:rPr>
        <w:t>F</w:t>
      </w:r>
      <w:r w:rsidRPr="00AB5E4A">
        <w:rPr>
          <w:rFonts w:ascii="Times New Roman" w:hAnsi="Times New Roman"/>
          <w:caps w:val="0"/>
        </w:rPr>
        <w:t>ederal Communications Commission</w:t>
      </w:r>
    </w:p>
    <w:p w:rsidR="00955CDA" w:rsidRPr="00AB5E4A" w:rsidP="00955CDA" w14:paraId="206D61EA" w14:textId="77777777">
      <w:pPr>
        <w:pStyle w:val="StyleBoldCentered"/>
        <w:rPr>
          <w:rFonts w:ascii="Times New Roman" w:hAnsi="Times New Roman"/>
        </w:rPr>
      </w:pPr>
      <w:r w:rsidRPr="00AB5E4A">
        <w:rPr>
          <w:rFonts w:ascii="Times New Roman" w:hAnsi="Times New Roman"/>
          <w:caps w:val="0"/>
        </w:rPr>
        <w:t>Washington, D.C. 20554</w:t>
      </w:r>
    </w:p>
    <w:p w:rsidR="00955CDA" w:rsidRPr="00AB5E4A" w:rsidP="00955CDA" w14:paraId="1F5222FB" w14:textId="77777777">
      <w:pPr>
        <w:rPr>
          <w:szCs w:val="22"/>
        </w:rPr>
      </w:pPr>
    </w:p>
    <w:p w:rsidR="00955CDA" w:rsidRPr="00AB5E4A" w:rsidP="00955CDA" w14:paraId="2D14A9E9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876ED11" w14:textId="77777777" w:rsidTr="00002FAC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955CDA" w:rsidRPr="00AB5E4A" w:rsidP="00002FAC" w14:paraId="0CC7285D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In the Matter of</w:t>
            </w:r>
          </w:p>
          <w:p w:rsidR="00955CDA" w:rsidRPr="00AB5E4A" w:rsidP="00002FAC" w14:paraId="4F642DA8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513876DF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Space Exploration Holdings, LLC</w:t>
            </w:r>
          </w:p>
          <w:p w:rsidR="00955CDA" w:rsidRPr="00AB5E4A" w:rsidP="00002FAC" w14:paraId="7E3537FA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5AB17265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bookmarkStart w:id="0" w:name="_Hlk1749175"/>
            <w:r w:rsidRPr="00AB5E4A">
              <w:rPr>
                <w:spacing w:val="-2"/>
                <w:szCs w:val="22"/>
              </w:rPr>
              <w:t>Request for Orbital Deployment and Operating Authority for the SpaceX Gen2 NGSO Satellite System</w:t>
            </w:r>
            <w:bookmarkEnd w:id="0"/>
          </w:p>
          <w:p w:rsidR="00955CDA" w:rsidRPr="00AB5E4A" w:rsidP="00002FAC" w14:paraId="647E8134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:rsidR="00955CDA" w:rsidRPr="00AB5E4A" w:rsidP="00002FAC" w14:paraId="642F9309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1028B6BC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04F70472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13723B18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2051CB9B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7CFCC283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07BF0731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  <w:r w:rsidRPr="00AB5E4A">
              <w:rPr>
                <w:b/>
                <w:spacing w:val="-2"/>
                <w:szCs w:val="22"/>
              </w:rPr>
              <w:t>)</w:t>
            </w:r>
          </w:p>
          <w:p w:rsidR="00955CDA" w:rsidRPr="00AB5E4A" w:rsidP="00002FAC" w14:paraId="46838FFC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</w:p>
          <w:p w:rsidR="00955CDA" w:rsidRPr="00AB5E4A" w:rsidP="00002FAC" w14:paraId="40377E54" w14:textId="77777777">
            <w:pPr>
              <w:tabs>
                <w:tab w:val="center" w:pos="4680"/>
              </w:tabs>
              <w:rPr>
                <w:b/>
                <w:spacing w:val="-2"/>
                <w:szCs w:val="22"/>
              </w:rPr>
            </w:pPr>
          </w:p>
        </w:tc>
        <w:tc>
          <w:tcPr>
            <w:tcW w:w="4248" w:type="dxa"/>
          </w:tcPr>
          <w:p w:rsidR="00955CDA" w:rsidRPr="00AB5E4A" w:rsidP="00002FAC" w14:paraId="2BF636CE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1FA151F5" w14:textId="77777777">
            <w:pPr>
              <w:pStyle w:val="TOAHeading"/>
              <w:tabs>
                <w:tab w:val="center" w:pos="4680"/>
                <w:tab w:val="clear" w:pos="9360"/>
              </w:tabs>
              <w:suppressAutoHyphens w:val="0"/>
              <w:rPr>
                <w:spacing w:val="-2"/>
                <w:szCs w:val="22"/>
              </w:rPr>
            </w:pPr>
          </w:p>
          <w:p w:rsidR="00955CDA" w:rsidRPr="00AB5E4A" w:rsidP="00002FAC" w14:paraId="0AD1E4AC" w14:textId="77777777">
            <w:pPr>
              <w:tabs>
                <w:tab w:val="center" w:pos="4680"/>
              </w:tabs>
              <w:rPr>
                <w:szCs w:val="22"/>
              </w:rPr>
            </w:pPr>
            <w:bookmarkStart w:id="1" w:name="_Hlk1749266"/>
            <w:r w:rsidRPr="00AB5E4A">
              <w:rPr>
                <w:spacing w:val="-2"/>
                <w:szCs w:val="22"/>
              </w:rPr>
              <w:t xml:space="preserve">IBFS File Nos. </w:t>
            </w:r>
            <w:bookmarkEnd w:id="1"/>
          </w:p>
          <w:p w:rsidR="00955CDA" w:rsidRPr="00AB5E4A" w:rsidP="00002FAC" w14:paraId="313E4498" w14:textId="77777777">
            <w:pPr>
              <w:tabs>
                <w:tab w:val="center" w:pos="4680"/>
              </w:tabs>
              <w:rPr>
                <w:szCs w:val="22"/>
              </w:rPr>
            </w:pPr>
            <w:r w:rsidRPr="00AB5E4A">
              <w:rPr>
                <w:spacing w:val="-2"/>
                <w:szCs w:val="22"/>
              </w:rPr>
              <w:t xml:space="preserve">SAT-LOA-20200526-00055 and </w:t>
            </w:r>
          </w:p>
          <w:p w:rsidR="00955CDA" w:rsidRPr="00AB5E4A" w:rsidP="00002FAC" w14:paraId="3CDA5835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SAT-AMD-20210818-00105</w:t>
            </w:r>
          </w:p>
          <w:p w:rsidR="00955CDA" w:rsidRPr="00AB5E4A" w:rsidP="00002FAC" w14:paraId="1F76ACB1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 xml:space="preserve"> </w:t>
            </w:r>
          </w:p>
          <w:p w:rsidR="00955CDA" w:rsidRPr="00AB5E4A" w:rsidP="00002FAC" w14:paraId="26CBC810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  <w:r w:rsidRPr="00AB5E4A">
              <w:rPr>
                <w:spacing w:val="-2"/>
                <w:szCs w:val="22"/>
              </w:rPr>
              <w:t>Call Sign S3069</w:t>
            </w:r>
          </w:p>
          <w:p w:rsidR="00955CDA" w:rsidRPr="00AB5E4A" w:rsidP="00002FAC" w14:paraId="72C6C568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4E901E71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  <w:p w:rsidR="00955CDA" w:rsidRPr="00AB5E4A" w:rsidP="00002FAC" w14:paraId="09ECB20A" w14:textId="77777777">
            <w:pPr>
              <w:tabs>
                <w:tab w:val="center" w:pos="4680"/>
              </w:tabs>
              <w:rPr>
                <w:spacing w:val="-2"/>
                <w:szCs w:val="22"/>
              </w:rPr>
            </w:pPr>
          </w:p>
        </w:tc>
      </w:tr>
    </w:tbl>
    <w:p w:rsidR="0060228B" w:rsidRPr="00AB5E4A" w14:paraId="6571914C" w14:textId="77777777">
      <w:pPr>
        <w:rPr>
          <w:szCs w:val="22"/>
        </w:rPr>
      </w:pPr>
    </w:p>
    <w:p w:rsidR="0060228B" w:rsidRPr="00AB5E4A" w:rsidP="002A4E36" w14:paraId="50DFEE92" w14:textId="77777777">
      <w:pPr>
        <w:spacing w:before="120"/>
        <w:jc w:val="center"/>
        <w:rPr>
          <w:b/>
          <w:spacing w:val="-2"/>
          <w:szCs w:val="22"/>
        </w:rPr>
      </w:pPr>
      <w:r w:rsidRPr="00AB5E4A">
        <w:rPr>
          <w:b/>
          <w:spacing w:val="-2"/>
          <w:szCs w:val="22"/>
        </w:rPr>
        <w:t>ERRATUM</w:t>
      </w:r>
    </w:p>
    <w:p w:rsidR="00E00E22" w:rsidRPr="00AB5E4A" w14:paraId="39D02856" w14:textId="77777777">
      <w:pPr>
        <w:tabs>
          <w:tab w:val="left" w:pos="5760"/>
        </w:tabs>
        <w:rPr>
          <w:b/>
          <w:szCs w:val="22"/>
        </w:rPr>
      </w:pPr>
    </w:p>
    <w:p w:rsidR="0060228B" w:rsidRPr="00AB5E4A" w:rsidP="002A29D2" w14:paraId="01A84828" w14:textId="5B795C15">
      <w:pPr>
        <w:jc w:val="right"/>
        <w:rPr>
          <w:b/>
          <w:szCs w:val="22"/>
        </w:rPr>
      </w:pPr>
      <w:r w:rsidRPr="00AB5E4A">
        <w:rPr>
          <w:b/>
          <w:szCs w:val="22"/>
        </w:rPr>
        <w:t>Released:</w:t>
      </w:r>
      <w:r w:rsidRPr="00AB5E4A" w:rsidR="00710F7E">
        <w:rPr>
          <w:b/>
          <w:szCs w:val="22"/>
        </w:rPr>
        <w:t xml:space="preserve"> </w:t>
      </w:r>
      <w:r>
        <w:rPr>
          <w:b/>
          <w:szCs w:val="22"/>
        </w:rPr>
        <w:t>February</w:t>
      </w:r>
      <w:r w:rsidRPr="00AB5E4A" w:rsidR="006B46DB">
        <w:rPr>
          <w:b/>
          <w:szCs w:val="22"/>
        </w:rPr>
        <w:t xml:space="preserve"> 3, 2023</w:t>
      </w:r>
    </w:p>
    <w:p w:rsidR="0060228B" w:rsidRPr="00AB5E4A" w14:paraId="2FE4E300" w14:textId="77777777">
      <w:pPr>
        <w:tabs>
          <w:tab w:val="left" w:pos="5760"/>
        </w:tabs>
        <w:rPr>
          <w:b/>
          <w:szCs w:val="22"/>
        </w:rPr>
      </w:pPr>
    </w:p>
    <w:p w:rsidR="0060228B" w:rsidRPr="00AB5E4A" w14:paraId="7AE540E1" w14:textId="77777777">
      <w:pPr>
        <w:tabs>
          <w:tab w:val="left" w:pos="5760"/>
        </w:tabs>
        <w:rPr>
          <w:szCs w:val="22"/>
        </w:rPr>
      </w:pPr>
      <w:r w:rsidRPr="00AB5E4A">
        <w:rPr>
          <w:szCs w:val="22"/>
        </w:rPr>
        <w:t>By the</w:t>
      </w:r>
      <w:r w:rsidRPr="00AB5E4A" w:rsidR="00FD7386">
        <w:rPr>
          <w:szCs w:val="22"/>
        </w:rPr>
        <w:t xml:space="preserve"> </w:t>
      </w:r>
      <w:r w:rsidRPr="00AB5E4A" w:rsidR="00E75E2D">
        <w:rPr>
          <w:szCs w:val="22"/>
        </w:rPr>
        <w:t>Chief International Bureau</w:t>
      </w:r>
      <w:r w:rsidRPr="00AB5E4A">
        <w:rPr>
          <w:spacing w:val="-2"/>
          <w:szCs w:val="22"/>
        </w:rPr>
        <w:t>:</w:t>
      </w:r>
    </w:p>
    <w:p w:rsidR="0060228B" w:rsidRPr="00AB5E4A" w14:paraId="47F6E0D3" w14:textId="77777777">
      <w:pPr>
        <w:rPr>
          <w:szCs w:val="22"/>
        </w:rPr>
      </w:pPr>
    </w:p>
    <w:p w:rsidR="00B07300" w:rsidRPr="00AB5E4A" w:rsidP="00B0201D" w14:paraId="651BE23B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AB5E4A">
        <w:rPr>
          <w:szCs w:val="22"/>
        </w:rPr>
        <w:t>On</w:t>
      </w:r>
      <w:r w:rsidRPr="00AB5E4A" w:rsidR="00101496">
        <w:rPr>
          <w:szCs w:val="22"/>
        </w:rPr>
        <w:t xml:space="preserve"> December 1, 2022</w:t>
      </w:r>
      <w:r w:rsidRPr="00AB5E4A">
        <w:rPr>
          <w:szCs w:val="22"/>
        </w:rPr>
        <w:t xml:space="preserve">, the </w:t>
      </w:r>
      <w:r w:rsidRPr="00AB5E4A" w:rsidR="000F09CF">
        <w:rPr>
          <w:szCs w:val="22"/>
        </w:rPr>
        <w:t>Commission</w:t>
      </w:r>
      <w:r w:rsidRPr="00AB5E4A">
        <w:rPr>
          <w:szCs w:val="22"/>
        </w:rPr>
        <w:t xml:space="preserve"> released a</w:t>
      </w:r>
      <w:r w:rsidRPr="00AB5E4A" w:rsidR="003255B4">
        <w:rPr>
          <w:szCs w:val="22"/>
        </w:rPr>
        <w:t xml:space="preserve">n </w:t>
      </w:r>
      <w:r w:rsidRPr="00AB5E4A" w:rsidR="000F09CF">
        <w:rPr>
          <w:i/>
          <w:iCs/>
          <w:szCs w:val="22"/>
        </w:rPr>
        <w:t xml:space="preserve">Order and </w:t>
      </w:r>
      <w:r w:rsidRPr="00AB5E4A" w:rsidR="00F209C3">
        <w:rPr>
          <w:i/>
          <w:iCs/>
          <w:szCs w:val="22"/>
        </w:rPr>
        <w:t>Authorization</w:t>
      </w:r>
      <w:r w:rsidRPr="00AB5E4A" w:rsidR="000F09CF">
        <w:rPr>
          <w:szCs w:val="22"/>
        </w:rPr>
        <w:t>, FCC 2</w:t>
      </w:r>
      <w:r w:rsidRPr="00AB5E4A" w:rsidR="00101496">
        <w:rPr>
          <w:szCs w:val="22"/>
        </w:rPr>
        <w:t>2</w:t>
      </w:r>
      <w:r w:rsidRPr="00AB5E4A" w:rsidR="000F09CF">
        <w:rPr>
          <w:szCs w:val="22"/>
        </w:rPr>
        <w:t>-</w:t>
      </w:r>
      <w:r w:rsidRPr="00AB5E4A" w:rsidR="006F22D9">
        <w:rPr>
          <w:szCs w:val="22"/>
        </w:rPr>
        <w:t>91</w:t>
      </w:r>
      <w:r w:rsidRPr="00AB5E4A" w:rsidR="000F09CF">
        <w:rPr>
          <w:szCs w:val="22"/>
        </w:rPr>
        <w:t>,</w:t>
      </w:r>
      <w:r w:rsidRPr="00AB5E4A">
        <w:rPr>
          <w:szCs w:val="22"/>
        </w:rPr>
        <w:t xml:space="preserve"> in the above captioned proceeding.</w:t>
      </w:r>
      <w:r w:rsidRPr="00AB5E4A">
        <w:rPr>
          <w:szCs w:val="22"/>
        </w:rPr>
        <w:t xml:space="preserve">  This Erratum </w:t>
      </w:r>
      <w:r w:rsidRPr="00AB5E4A" w:rsidR="00154F2A">
        <w:rPr>
          <w:szCs w:val="22"/>
        </w:rPr>
        <w:t xml:space="preserve">amends the </w:t>
      </w:r>
      <w:r w:rsidRPr="00AB5E4A" w:rsidR="00154F2A">
        <w:rPr>
          <w:i/>
          <w:iCs/>
          <w:szCs w:val="22"/>
        </w:rPr>
        <w:t xml:space="preserve">Order and </w:t>
      </w:r>
      <w:r w:rsidRPr="00AB5E4A" w:rsidR="008A4994">
        <w:rPr>
          <w:i/>
          <w:iCs/>
          <w:szCs w:val="22"/>
        </w:rPr>
        <w:t>Authorization</w:t>
      </w:r>
      <w:r w:rsidRPr="00AB5E4A" w:rsidR="00154F2A">
        <w:rPr>
          <w:szCs w:val="22"/>
        </w:rPr>
        <w:t xml:space="preserve"> as indicated below:</w:t>
      </w:r>
    </w:p>
    <w:p w:rsidR="00154F2A" w:rsidRPr="00AB5E4A" w:rsidP="00710F7E" w14:paraId="79C2DAA1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AB5E4A">
        <w:rPr>
          <w:szCs w:val="22"/>
        </w:rPr>
        <w:t xml:space="preserve">In </w:t>
      </w:r>
      <w:r w:rsidRPr="00AB5E4A">
        <w:rPr>
          <w:szCs w:val="22"/>
        </w:rPr>
        <w:t>parag</w:t>
      </w:r>
      <w:r w:rsidRPr="00AB5E4A" w:rsidR="004C6A1A">
        <w:rPr>
          <w:szCs w:val="22"/>
        </w:rPr>
        <w:t>r</w:t>
      </w:r>
      <w:r w:rsidRPr="00AB5E4A">
        <w:rPr>
          <w:szCs w:val="22"/>
        </w:rPr>
        <w:t>a</w:t>
      </w:r>
      <w:r w:rsidRPr="00AB5E4A" w:rsidR="004C6A1A">
        <w:rPr>
          <w:szCs w:val="22"/>
        </w:rPr>
        <w:t>p</w:t>
      </w:r>
      <w:r w:rsidRPr="00AB5E4A">
        <w:rPr>
          <w:szCs w:val="22"/>
        </w:rPr>
        <w:t>h</w:t>
      </w:r>
      <w:r w:rsidRPr="00AB5E4A" w:rsidR="00AC7AB0">
        <w:rPr>
          <w:szCs w:val="22"/>
        </w:rPr>
        <w:t xml:space="preserve"> 7</w:t>
      </w:r>
      <w:r w:rsidRPr="00AB5E4A">
        <w:rPr>
          <w:szCs w:val="22"/>
        </w:rPr>
        <w:t xml:space="preserve">, </w:t>
      </w:r>
      <w:r w:rsidRPr="00AB5E4A" w:rsidR="00555438">
        <w:rPr>
          <w:szCs w:val="22"/>
        </w:rPr>
        <w:t>the table is corrected to read as follows</w:t>
      </w:r>
      <w:r w:rsidRPr="00AB5E4A" w:rsidR="00351D82">
        <w:rPr>
          <w:szCs w:val="22"/>
        </w:rPr>
        <w:t>:</w:t>
      </w:r>
    </w:p>
    <w:tbl>
      <w:tblPr>
        <w:tblW w:w="5144" w:type="dxa"/>
        <w:tblInd w:w="612" w:type="dxa"/>
        <w:tblLook w:val="04A0"/>
      </w:tblPr>
      <w:tblGrid>
        <w:gridCol w:w="960"/>
        <w:gridCol w:w="1170"/>
        <w:gridCol w:w="960"/>
        <w:gridCol w:w="1027"/>
        <w:gridCol w:w="1027"/>
      </w:tblGrid>
      <w:tr w14:paraId="4E9E791D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434A5397" w14:textId="77777777">
            <w:pPr>
              <w:rPr>
                <w:szCs w:val="22"/>
              </w:rPr>
            </w:pPr>
            <w:r w:rsidRPr="00AB5E4A">
              <w:rPr>
                <w:szCs w:val="22"/>
              </w:rPr>
              <w:t>Altitude (km)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575A080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Inclination (degrees)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5C9AFD67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Orbital Planes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40F84D62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Satellites Per Plane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0BD70D6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 xml:space="preserve">Total </w:t>
            </w:r>
            <w:r w:rsidRPr="00AB5E4A">
              <w:rPr>
                <w:color w:val="000000"/>
                <w:szCs w:val="22"/>
              </w:rPr>
              <w:t>Satellites</w:t>
            </w:r>
          </w:p>
        </w:tc>
      </w:tr>
      <w:tr w14:paraId="1ED902E6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3099304B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7FDE7027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381903E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C87489A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CF930FC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5280</w:t>
            </w:r>
          </w:p>
        </w:tc>
      </w:tr>
      <w:tr w14:paraId="12FBB14B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0650F2BF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A7D3DE9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1BCFA25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29D549DD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767F76C1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5280</w:t>
            </w:r>
          </w:p>
        </w:tc>
      </w:tr>
      <w:tr w14:paraId="76342978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5CCD425E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4977EBDC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8A03D5A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565E64C9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7E4D4A9B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5280</w:t>
            </w:r>
          </w:p>
        </w:tc>
      </w:tr>
      <w:tr w14:paraId="5256C6E9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4A27E8E3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781E35E3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96.9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3A06351C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B303F87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2501D50B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3600</w:t>
            </w:r>
          </w:p>
        </w:tc>
      </w:tr>
      <w:tr w14:paraId="4D91A013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619B029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0287F4BB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34C469A0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E14E1BC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3224EC7F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3360</w:t>
            </w:r>
          </w:p>
        </w:tc>
      </w:tr>
      <w:tr w14:paraId="508D9A22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6B6CDDE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0E04BD1B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6D76729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2</w:t>
            </w:r>
            <w:r w:rsidRPr="00AB5E4A">
              <w:rPr>
                <w:color w:val="000000"/>
                <w:szCs w:val="22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709D6C21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</w:t>
            </w:r>
            <w:r w:rsidRPr="00AB5E4A">
              <w:rPr>
                <w:color w:val="000000"/>
                <w:szCs w:val="22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24A1ED4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3360</w:t>
            </w:r>
          </w:p>
        </w:tc>
      </w:tr>
      <w:tr w14:paraId="1A631D80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35EF280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535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4C8A04C5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5E5E576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3FA0CF49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73D012F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3360</w:t>
            </w:r>
          </w:p>
        </w:tc>
      </w:tr>
      <w:tr w14:paraId="7242ACE6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76F7E88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3B5608BD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6E9A12A0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27C96768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7490CE2E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144</w:t>
            </w:r>
          </w:p>
        </w:tc>
      </w:tr>
      <w:tr w14:paraId="7CB0E003" w14:textId="77777777" w:rsidTr="006B32CC">
        <w:tblPrEx>
          <w:tblW w:w="5144" w:type="dxa"/>
          <w:tblInd w:w="612" w:type="dxa"/>
          <w:tblLook w:val="04A0"/>
        </w:tblPrEx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02EFECDE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495EB71F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51A3FC20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1B0C3CA2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D2" w:rsidRPr="00AB5E4A" w:rsidP="00002FAC" w14:paraId="3F7EC0A2" w14:textId="77777777">
            <w:pPr>
              <w:rPr>
                <w:color w:val="000000"/>
                <w:szCs w:val="22"/>
              </w:rPr>
            </w:pPr>
            <w:r w:rsidRPr="00AB5E4A">
              <w:rPr>
                <w:color w:val="000000"/>
                <w:szCs w:val="22"/>
              </w:rPr>
              <w:t>324</w:t>
            </w:r>
          </w:p>
        </w:tc>
      </w:tr>
    </w:tbl>
    <w:p w:rsidR="009D3BD2" w:rsidRPr="00AB5E4A" w:rsidP="00710F7E" w14:paraId="288ED923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</w:p>
    <w:p w:rsidR="00555438" w:rsidRPr="00AB5E4A" w:rsidP="00710F7E" w14:paraId="0B2CEBE9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AB5E4A">
        <w:rPr>
          <w:szCs w:val="22"/>
        </w:rPr>
        <w:t>In paragraph 135, subparagraph</w:t>
      </w:r>
      <w:r w:rsidRPr="00AB5E4A" w:rsidR="00597981">
        <w:rPr>
          <w:szCs w:val="22"/>
        </w:rPr>
        <w:t xml:space="preserve"> (v) is removed</w:t>
      </w:r>
      <w:r w:rsidRPr="00AB5E4A" w:rsidR="00FD7386">
        <w:rPr>
          <w:szCs w:val="22"/>
        </w:rPr>
        <w:t xml:space="preserve"> </w:t>
      </w:r>
      <w:r w:rsidRPr="00AB5E4A" w:rsidR="003844DF">
        <w:rPr>
          <w:szCs w:val="22"/>
        </w:rPr>
        <w:t xml:space="preserve">and </w:t>
      </w:r>
      <w:r w:rsidRPr="00AB5E4A" w:rsidR="005239C2">
        <w:rPr>
          <w:szCs w:val="22"/>
        </w:rPr>
        <w:t>sub</w:t>
      </w:r>
      <w:r w:rsidRPr="00AB5E4A" w:rsidR="003844DF">
        <w:rPr>
          <w:szCs w:val="22"/>
        </w:rPr>
        <w:t xml:space="preserve">paragraphs </w:t>
      </w:r>
      <w:r w:rsidRPr="00AB5E4A" w:rsidR="005239C2">
        <w:rPr>
          <w:szCs w:val="22"/>
        </w:rPr>
        <w:t>(w)-(ii) are renumbere</w:t>
      </w:r>
      <w:r w:rsidRPr="00AB5E4A" w:rsidR="00B1195B">
        <w:rPr>
          <w:szCs w:val="22"/>
        </w:rPr>
        <w:t>d as subparagraphs (v)-(hh)</w:t>
      </w:r>
      <w:r w:rsidRPr="00AB5E4A" w:rsidR="00597981">
        <w:rPr>
          <w:szCs w:val="22"/>
        </w:rPr>
        <w:t xml:space="preserve">. </w:t>
      </w:r>
    </w:p>
    <w:p w:rsidR="00710F7E" w:rsidRPr="00AB5E4A" w:rsidP="00710F7E" w14:paraId="5562F51A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</w:p>
    <w:p w:rsidR="00B07300" w:rsidRPr="00AB5E4A" w:rsidP="00B0201D" w14:paraId="5061CDC5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AB5E4A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AB5E4A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AB5E4A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AB5E4A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AB5E4A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AB5E4A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AB5E4A">
        <w:rPr>
          <w:rFonts w:ascii="Times New Roman" w:hAnsi="Times New Roman"/>
          <w:b w:val="0"/>
          <w:caps w:val="0"/>
          <w:spacing w:val="-2"/>
          <w:szCs w:val="22"/>
        </w:rPr>
        <w:t>FEDERAL COMMUNICATIONS COMMISSION</w:t>
      </w:r>
    </w:p>
    <w:p w:rsidR="002A29D2" w:rsidRPr="00AB5E4A" w:rsidP="002A29D2" w14:paraId="531FEAE9" w14:textId="77777777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p w:rsidR="002A29D2" w:rsidRPr="00AB5E4A" w:rsidP="002A29D2" w14:paraId="0A83DF83" w14:textId="77777777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p w:rsidR="002A29D2" w:rsidRPr="00AB5E4A" w:rsidP="002A29D2" w14:paraId="00226987" w14:textId="77777777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p w:rsidR="009A7778" w:rsidRPr="00AB5E4A" w:rsidP="002A29D2" w14:paraId="433717B7" w14:textId="77777777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p w:rsidR="009A7778" w:rsidRPr="00AB5E4A" w:rsidP="009A7778" w14:paraId="33959FC0" w14:textId="77777777">
      <w:pPr>
        <w:ind w:left="3600" w:firstLine="720"/>
        <w:rPr>
          <w:szCs w:val="22"/>
        </w:rPr>
      </w:pPr>
      <w:r w:rsidRPr="00AB5E4A">
        <w:rPr>
          <w:szCs w:val="22"/>
        </w:rPr>
        <w:t>Thomas P. Sullivan</w:t>
      </w:r>
    </w:p>
    <w:p w:rsidR="002E484C" w:rsidRPr="00AB5E4A" w:rsidP="009A7778" w14:paraId="0E1E4991" w14:textId="77777777">
      <w:pPr>
        <w:rPr>
          <w:szCs w:val="22"/>
        </w:rPr>
      </w:pP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 w:rsidR="00E75E2D">
        <w:rPr>
          <w:szCs w:val="22"/>
        </w:rPr>
        <w:t xml:space="preserve">Chief </w:t>
      </w:r>
    </w:p>
    <w:p w:rsidR="00E75E2D" w:rsidRPr="00AB5E4A" w:rsidP="009A7778" w14:paraId="3AF8F7B9" w14:textId="77777777">
      <w:pPr>
        <w:rPr>
          <w:szCs w:val="22"/>
        </w:rPr>
      </w:pP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</w:r>
      <w:r w:rsidRPr="00AB5E4A">
        <w:rPr>
          <w:szCs w:val="22"/>
        </w:rPr>
        <w:tab/>
        <w:t>International Bureau</w:t>
      </w: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53DDA981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04C8D6F6" w14:textId="77777777">
    <w:pPr>
      <w:pStyle w:val="Header"/>
    </w:pPr>
    <w:r>
      <w:tab/>
      <w:t>Federal Communications Commission</w:t>
    </w:r>
    <w:r>
      <w:tab/>
      <w:t xml:space="preserve"> </w:t>
    </w:r>
  </w:p>
  <w:p w:rsidR="0060228B" w:rsidP="002A29D2" w14:paraId="27EB5C08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0B366F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55389282" w14:textId="77777777">
    <w:pPr>
      <w:pStyle w:val="Header"/>
    </w:pPr>
    <w:r>
      <w:tab/>
    </w:r>
    <w:r w:rsidRPr="002A29D2">
      <w:t xml:space="preserve">Federal </w:t>
    </w:r>
    <w:r w:rsidRPr="002A29D2">
      <w:t>Communications Commission</w:t>
    </w:r>
    <w:r w:rsidRPr="002A29D2">
      <w:tab/>
      <w:t xml:space="preserve"> </w:t>
    </w:r>
  </w:p>
  <w:p w:rsidR="0060228B" w:rsidP="002A29D2" w14:paraId="765956AC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9DA0936"/>
    <w:multiLevelType w:val="hybridMultilevel"/>
    <w:tmpl w:val="6A3280FE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C4D431D"/>
    <w:multiLevelType w:val="hybridMultilevel"/>
    <w:tmpl w:val="5A7EE5A8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25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6"/>
  </w:num>
  <w:num w:numId="24">
    <w:abstractNumId w:val="8"/>
  </w:num>
  <w:num w:numId="25">
    <w:abstractNumId w:val="19"/>
  </w:num>
  <w:num w:numId="26">
    <w:abstractNumId w:val="7"/>
  </w:num>
  <w:num w:numId="27">
    <w:abstractNumId w:val="0"/>
  </w:num>
  <w:num w:numId="28">
    <w:abstractNumId w:val="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9"/>
    <w:rsid w:val="00002FAC"/>
    <w:rsid w:val="00006758"/>
    <w:rsid w:val="00031CAF"/>
    <w:rsid w:val="000F09CF"/>
    <w:rsid w:val="00101496"/>
    <w:rsid w:val="00154F2A"/>
    <w:rsid w:val="001C0FBA"/>
    <w:rsid w:val="001D5938"/>
    <w:rsid w:val="00236269"/>
    <w:rsid w:val="0029344F"/>
    <w:rsid w:val="002A29D2"/>
    <w:rsid w:val="002A4E36"/>
    <w:rsid w:val="002D036C"/>
    <w:rsid w:val="002E484C"/>
    <w:rsid w:val="002E69A4"/>
    <w:rsid w:val="00313D6A"/>
    <w:rsid w:val="0032010B"/>
    <w:rsid w:val="003255B4"/>
    <w:rsid w:val="00335CA5"/>
    <w:rsid w:val="00335F09"/>
    <w:rsid w:val="00351D82"/>
    <w:rsid w:val="003844DF"/>
    <w:rsid w:val="003B1167"/>
    <w:rsid w:val="003B1655"/>
    <w:rsid w:val="003F66B5"/>
    <w:rsid w:val="00456E40"/>
    <w:rsid w:val="00475957"/>
    <w:rsid w:val="004C6A1A"/>
    <w:rsid w:val="005044D3"/>
    <w:rsid w:val="00522CDD"/>
    <w:rsid w:val="005239C2"/>
    <w:rsid w:val="005373DA"/>
    <w:rsid w:val="00555438"/>
    <w:rsid w:val="00571354"/>
    <w:rsid w:val="00597981"/>
    <w:rsid w:val="005A09E4"/>
    <w:rsid w:val="005D3465"/>
    <w:rsid w:val="005E4D20"/>
    <w:rsid w:val="0060228B"/>
    <w:rsid w:val="00606BD0"/>
    <w:rsid w:val="00682481"/>
    <w:rsid w:val="006B32CC"/>
    <w:rsid w:val="006B46DB"/>
    <w:rsid w:val="006C287F"/>
    <w:rsid w:val="006F22D9"/>
    <w:rsid w:val="00710F7E"/>
    <w:rsid w:val="007C35A6"/>
    <w:rsid w:val="00821129"/>
    <w:rsid w:val="00880AC7"/>
    <w:rsid w:val="00891ADC"/>
    <w:rsid w:val="008A2612"/>
    <w:rsid w:val="008A4994"/>
    <w:rsid w:val="008A5EB6"/>
    <w:rsid w:val="008D51D1"/>
    <w:rsid w:val="00955CDA"/>
    <w:rsid w:val="00967D8B"/>
    <w:rsid w:val="00971FF9"/>
    <w:rsid w:val="009A7778"/>
    <w:rsid w:val="009D3BD2"/>
    <w:rsid w:val="00A30EEF"/>
    <w:rsid w:val="00A717EE"/>
    <w:rsid w:val="00A724D4"/>
    <w:rsid w:val="00AB5E4A"/>
    <w:rsid w:val="00AC7AB0"/>
    <w:rsid w:val="00AE4E46"/>
    <w:rsid w:val="00B0201D"/>
    <w:rsid w:val="00B07300"/>
    <w:rsid w:val="00B1195B"/>
    <w:rsid w:val="00B6753D"/>
    <w:rsid w:val="00BC35E8"/>
    <w:rsid w:val="00BD7D41"/>
    <w:rsid w:val="00D842B0"/>
    <w:rsid w:val="00DA2DD3"/>
    <w:rsid w:val="00DE2D5C"/>
    <w:rsid w:val="00DE3A87"/>
    <w:rsid w:val="00E00E22"/>
    <w:rsid w:val="00E14490"/>
    <w:rsid w:val="00E60467"/>
    <w:rsid w:val="00E6507C"/>
    <w:rsid w:val="00E75E2D"/>
    <w:rsid w:val="00EB1A95"/>
    <w:rsid w:val="00EC58E3"/>
    <w:rsid w:val="00ED2EA8"/>
    <w:rsid w:val="00EF3BE8"/>
    <w:rsid w:val="00F209C3"/>
    <w:rsid w:val="00F25801"/>
    <w:rsid w:val="00F84DFC"/>
    <w:rsid w:val="00FD6CEA"/>
    <w:rsid w:val="00FD7386"/>
    <w:rsid w:val="00FF67DE"/>
    <w:rsid w:val="7CDDDC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E3DD38"/>
  <w15:docId w15:val="{24D44C9B-23E7-42C0-961A-A03408E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5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71354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71354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71354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71354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71354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71354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71354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71354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71354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71354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571354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571354"/>
    <w:pPr>
      <w:spacing w:after="120"/>
    </w:pPr>
  </w:style>
  <w:style w:type="paragraph" w:customStyle="1" w:styleId="Bullet">
    <w:name w:val="Bullet"/>
    <w:basedOn w:val="Normal"/>
    <w:rsid w:val="00571354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571354"/>
    <w:pPr>
      <w:spacing w:after="240"/>
      <w:ind w:left="1440" w:right="1440"/>
    </w:pPr>
  </w:style>
  <w:style w:type="paragraph" w:customStyle="1" w:styleId="TableFormat">
    <w:name w:val="TableFormat"/>
    <w:basedOn w:val="Bullet"/>
    <w:rsid w:val="00571354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571354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57135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571354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57135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571354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57135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57135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7135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7135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7135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7135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7135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7135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571354"/>
  </w:style>
  <w:style w:type="paragraph" w:styleId="Title">
    <w:name w:val="Title"/>
    <w:basedOn w:val="Normal"/>
    <w:qFormat/>
    <w:rsid w:val="00571354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57135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71354"/>
    <w:rPr>
      <w:snapToGrid w:val="0"/>
      <w:kern w:val="28"/>
    </w:rPr>
  </w:style>
  <w:style w:type="character" w:styleId="EndnoteReference">
    <w:name w:val="endnote reference"/>
    <w:rsid w:val="00571354"/>
    <w:rPr>
      <w:vertAlign w:val="superscript"/>
    </w:rPr>
  </w:style>
  <w:style w:type="paragraph" w:styleId="TOAHeading">
    <w:name w:val="toa heading"/>
    <w:basedOn w:val="Normal"/>
    <w:next w:val="Normal"/>
    <w:rsid w:val="0057135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71354"/>
  </w:style>
  <w:style w:type="paragraph" w:customStyle="1" w:styleId="Paratitle">
    <w:name w:val="Para title"/>
    <w:basedOn w:val="Normal"/>
    <w:rsid w:val="00571354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57135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7135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713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55B4"/>
    <w:rPr>
      <w:rFonts w:ascii="Segoe U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55B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unhideWhenUsed/>
    <w:rsid w:val="009D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B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BD2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Nese.Guendelsberger\AppData\Local\Microsoft\Windows\INetCache\Content.Outlook\GAHREQR1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