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25225330"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30DE0E50" w14:textId="77777777">
      <w:pPr>
        <w:pStyle w:val="Title"/>
        <w:rPr>
          <w:szCs w:val="22"/>
        </w:rPr>
      </w:pPr>
      <w:r>
        <w:rPr>
          <w:szCs w:val="22"/>
        </w:rPr>
        <w:t xml:space="preserve">D/B/A AT&amp;T </w:t>
      </w:r>
      <w:r w:rsidR="009050E9">
        <w:rPr>
          <w:szCs w:val="22"/>
        </w:rPr>
        <w:t>FLORIDA</w:t>
      </w:r>
    </w:p>
    <w:p w:rsidR="00AC191A" w:rsidP="00AC191A" w14:paraId="51D7DD8A" w14:textId="77777777">
      <w:pPr>
        <w:pStyle w:val="Title"/>
        <w:jc w:val="left"/>
        <w:rPr>
          <w:szCs w:val="22"/>
        </w:rPr>
      </w:pPr>
    </w:p>
    <w:p w:rsidR="00BB6E7C" w:rsidP="00585588" w14:paraId="615AE61A" w14:textId="6540B096">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A3133D">
        <w:rPr>
          <w:szCs w:val="22"/>
        </w:rPr>
        <w:t>63</w:t>
      </w:r>
      <w:r w:rsidR="00E700CA">
        <w:rPr>
          <w:szCs w:val="22"/>
        </w:rPr>
        <w:tab/>
      </w:r>
      <w:r w:rsidR="00E700CA">
        <w:rPr>
          <w:szCs w:val="22"/>
        </w:rPr>
        <w:tab/>
      </w:r>
      <w:r w:rsidR="00E700CA">
        <w:rPr>
          <w:szCs w:val="22"/>
        </w:rPr>
        <w:tab/>
      </w:r>
      <w:r w:rsidR="00E700CA">
        <w:rPr>
          <w:szCs w:val="22"/>
        </w:rPr>
        <w:tab/>
      </w:r>
      <w:r w:rsidR="00E700CA">
        <w:rPr>
          <w:szCs w:val="22"/>
        </w:rPr>
        <w:tab/>
        <w:t xml:space="preserve">      </w:t>
      </w:r>
      <w:r w:rsidR="00F37C9D">
        <w:rPr>
          <w:szCs w:val="22"/>
        </w:rPr>
        <w:t xml:space="preserve">  </w:t>
      </w:r>
      <w:r w:rsidR="00806AC6">
        <w:rPr>
          <w:szCs w:val="22"/>
        </w:rPr>
        <w:t xml:space="preserve">February </w:t>
      </w:r>
      <w:r w:rsidR="00F37C9D">
        <w:rPr>
          <w:szCs w:val="22"/>
        </w:rPr>
        <w:t>22</w:t>
      </w:r>
      <w:r w:rsidR="005D43B7">
        <w:rPr>
          <w:szCs w:val="22"/>
        </w:rPr>
        <w:t>, 202</w:t>
      </w:r>
      <w:r w:rsidR="00806AC6">
        <w:rPr>
          <w:szCs w:val="22"/>
        </w:rPr>
        <w:t>3</w:t>
      </w:r>
    </w:p>
    <w:p w:rsidR="008961DF" w:rsidP="00585588" w14:paraId="773A4DA8" w14:textId="3D415A66">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387795">
        <w:rPr>
          <w:szCs w:val="22"/>
        </w:rPr>
        <w:t>2</w:t>
      </w:r>
      <w:r w:rsidR="00F37C9D">
        <w:rPr>
          <w:szCs w:val="22"/>
        </w:rPr>
        <w:t>3</w:t>
      </w:r>
    </w:p>
    <w:p w:rsidR="008961DF" w:rsidRPr="00F046EC" w:rsidP="00AC191A" w14:paraId="12C21A8C" w14:textId="77777777">
      <w:pPr>
        <w:pStyle w:val="Title"/>
        <w:jc w:val="left"/>
        <w:rPr>
          <w:szCs w:val="22"/>
        </w:rPr>
      </w:pPr>
    </w:p>
    <w:p w:rsidR="00877F45" w:rsidP="00877F45" w14:paraId="3B8131B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65D36E9" w14:textId="77777777">
      <w:pPr>
        <w:tabs>
          <w:tab w:val="left" w:pos="-720"/>
        </w:tabs>
        <w:suppressAutoHyphens/>
        <w:rPr>
          <w:szCs w:val="22"/>
        </w:rPr>
      </w:pPr>
    </w:p>
    <w:p w:rsidR="00646DE9" w:rsidRPr="00646DE9" w:rsidP="00E25608" w14:paraId="21106509"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050E9">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0D00BC53" w14:textId="77777777">
      <w:pPr>
        <w:tabs>
          <w:tab w:val="left" w:pos="-720"/>
        </w:tabs>
        <w:suppressAutoHyphens/>
        <w:rPr>
          <w:b/>
          <w:szCs w:val="22"/>
          <w:u w:val="single"/>
        </w:rPr>
      </w:pPr>
    </w:p>
    <w:p w:rsidR="007D649D" w:rsidP="006472D0" w14:paraId="70457C83" w14:textId="77777777">
      <w:pPr>
        <w:tabs>
          <w:tab w:val="left" w:pos="-720"/>
        </w:tabs>
        <w:suppressAutoHyphens/>
        <w:rPr>
          <w:szCs w:val="22"/>
        </w:rPr>
      </w:pPr>
      <w:r w:rsidRPr="00E25608">
        <w:rPr>
          <w:szCs w:val="22"/>
        </w:rPr>
        <w:t>The incumbent LEC's certification(s) refer(s) to the change(s) identified below:</w:t>
      </w:r>
    </w:p>
    <w:p w:rsidR="00652616" w:rsidP="006472D0" w14:paraId="34C6AEE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17258847" w14:textId="77777777" w:rsidTr="00FC633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53134A1"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0BBCD45E"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662BBF63"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75A1D5F" w14:textId="77777777">
            <w:pPr>
              <w:tabs>
                <w:tab w:val="left" w:pos="0"/>
              </w:tabs>
              <w:suppressAutoHyphens/>
              <w:rPr>
                <w:b/>
                <w:szCs w:val="22"/>
              </w:rPr>
            </w:pPr>
            <w:r>
              <w:rPr>
                <w:b/>
                <w:szCs w:val="22"/>
              </w:rPr>
              <w:t xml:space="preserve">Planned </w:t>
            </w:r>
            <w:r w:rsidRPr="007E723C">
              <w:rPr>
                <w:b/>
                <w:szCs w:val="22"/>
              </w:rPr>
              <w:t>Implementation Date(s)</w:t>
            </w:r>
          </w:p>
        </w:tc>
      </w:tr>
      <w:tr w14:paraId="6CC38876" w14:textId="77777777" w:rsidTr="00FC633E">
        <w:tblPrEx>
          <w:tblW w:w="9360" w:type="dxa"/>
          <w:tblInd w:w="-5" w:type="dxa"/>
          <w:tblLayout w:type="fixed"/>
          <w:tblLook w:val="01E0"/>
        </w:tblPrEx>
        <w:trPr>
          <w:trHeight w:val="3131"/>
        </w:trPr>
        <w:tc>
          <w:tcPr>
            <w:tcW w:w="1890" w:type="dxa"/>
          </w:tcPr>
          <w:p w:rsidR="006472D0" w:rsidRPr="00E13AE3" w:rsidP="00091A8F" w14:paraId="15E9B934" w14:textId="1DB9B7F0">
            <w:pPr>
              <w:autoSpaceDE w:val="0"/>
              <w:autoSpaceDN w:val="0"/>
              <w:adjustRightInd w:val="0"/>
              <w:rPr>
                <w:bCs/>
                <w:szCs w:val="22"/>
              </w:rPr>
            </w:pPr>
            <w:r>
              <w:rPr>
                <w:bCs/>
                <w:szCs w:val="22"/>
              </w:rPr>
              <w:t>ATT20</w:t>
            </w:r>
            <w:r w:rsidR="00321A3A">
              <w:rPr>
                <w:bCs/>
                <w:szCs w:val="22"/>
              </w:rPr>
              <w:t>2</w:t>
            </w:r>
            <w:r w:rsidR="0098552C">
              <w:rPr>
                <w:bCs/>
                <w:szCs w:val="22"/>
              </w:rPr>
              <w:t>300</w:t>
            </w:r>
            <w:r w:rsidR="00387795">
              <w:rPr>
                <w:bCs/>
                <w:szCs w:val="22"/>
              </w:rPr>
              <w:t>1</w:t>
            </w:r>
            <w:r w:rsidR="00F37C9D">
              <w:rPr>
                <w:bCs/>
                <w:szCs w:val="22"/>
              </w:rPr>
              <w:t>3</w:t>
            </w:r>
            <w:r>
              <w:rPr>
                <w:bCs/>
                <w:szCs w:val="22"/>
              </w:rPr>
              <w:t>C.1</w:t>
            </w:r>
          </w:p>
        </w:tc>
        <w:tc>
          <w:tcPr>
            <w:tcW w:w="3870" w:type="dxa"/>
            <w:shd w:val="clear" w:color="auto" w:fill="auto"/>
          </w:tcPr>
          <w:p w:rsidR="006472D0" w:rsidRPr="00C74C63" w:rsidP="00ED39DE" w14:paraId="4272B637" w14:textId="0EBA96F6">
            <w:pPr>
              <w:autoSpaceDE w:val="0"/>
              <w:autoSpaceDN w:val="0"/>
              <w:adjustRightInd w:val="0"/>
              <w:rPr>
                <w:szCs w:val="22"/>
              </w:rPr>
            </w:pPr>
            <w:r w:rsidRPr="00983570">
              <w:rPr>
                <w:szCs w:val="22"/>
              </w:rPr>
              <w:t xml:space="preserve">AT&amp;T plans to retire copper facilities associated with </w:t>
            </w:r>
            <w:r w:rsidR="001154EA">
              <w:rPr>
                <w:szCs w:val="22"/>
              </w:rPr>
              <w:t xml:space="preserve">a drive-through safari and walk-through amusement park </w:t>
            </w:r>
            <w:r>
              <w:rPr>
                <w:szCs w:val="22"/>
              </w:rPr>
              <w:t>w</w:t>
            </w:r>
            <w:r w:rsidRPr="00983570" w:rsidR="00CE7A26">
              <w:rPr>
                <w:szCs w:val="22"/>
              </w:rPr>
              <w:t xml:space="preserve">ithout affecting other facilities in the distribution area (DA). </w:t>
            </w:r>
            <w:r w:rsidR="008741B3">
              <w:rPr>
                <w:szCs w:val="22"/>
              </w:rPr>
              <w:t xml:space="preserve"> </w:t>
            </w:r>
            <w:r w:rsidR="005C618F">
              <w:rPr>
                <w:szCs w:val="22"/>
              </w:rPr>
              <w:t>T</w:t>
            </w:r>
            <w:r w:rsidRPr="00316E85" w:rsidR="00316E85">
              <w:rPr>
                <w:szCs w:val="22"/>
              </w:rPr>
              <w:t xml:space="preserve">here are no current customers or working </w:t>
            </w:r>
            <w:r w:rsidR="001154EA">
              <w:rPr>
                <w:szCs w:val="22"/>
              </w:rPr>
              <w:t xml:space="preserve">copper-based </w:t>
            </w:r>
            <w:r w:rsidRPr="00316E85" w:rsidR="00316E85">
              <w:rPr>
                <w:szCs w:val="22"/>
              </w:rPr>
              <w:t>circuits at the</w:t>
            </w:r>
            <w:r w:rsidR="001154EA">
              <w:rPr>
                <w:szCs w:val="22"/>
              </w:rPr>
              <w:t xml:space="preserve"> </w:t>
            </w:r>
            <w:r w:rsidR="004A70F8">
              <w:rPr>
                <w:szCs w:val="22"/>
              </w:rPr>
              <w:t xml:space="preserve">impacted </w:t>
            </w:r>
            <w:r w:rsidRPr="00316E85" w:rsidR="00316E85">
              <w:rPr>
                <w:szCs w:val="22"/>
              </w:rPr>
              <w:t>addresses</w:t>
            </w:r>
            <w:r w:rsidR="001154EA">
              <w:rPr>
                <w:szCs w:val="22"/>
              </w:rPr>
              <w:t xml:space="preserve"> for the park</w:t>
            </w:r>
            <w:r w:rsidR="00316E85">
              <w:rPr>
                <w:szCs w:val="22"/>
              </w:rPr>
              <w:t>, and t</w:t>
            </w:r>
            <w:r w:rsidR="005C618F">
              <w:rPr>
                <w:szCs w:val="22"/>
              </w:rPr>
              <w:t>he</w:t>
            </w:r>
            <w:r w:rsidR="001154EA">
              <w:rPr>
                <w:szCs w:val="22"/>
              </w:rPr>
              <w:t>re have been no requests for services provisioned on the facilities</w:t>
            </w:r>
            <w:r w:rsidR="00316E85">
              <w:rPr>
                <w:szCs w:val="22"/>
              </w:rPr>
              <w:t xml:space="preserve"> for more than 30 days</w:t>
            </w:r>
            <w:r w:rsidRPr="00983570" w:rsidR="00CE7A26">
              <w:rPr>
                <w:szCs w:val="22"/>
              </w:rPr>
              <w:t xml:space="preserve">. </w:t>
            </w:r>
            <w:r w:rsidR="00F96955">
              <w:rPr>
                <w:szCs w:val="22"/>
              </w:rPr>
              <w:t xml:space="preserve"> </w:t>
            </w:r>
            <w:r w:rsidRPr="00887418" w:rsidR="00887418">
              <w:rPr>
                <w:szCs w:val="22"/>
              </w:rPr>
              <w:t xml:space="preserve">AT&amp;T plans to </w:t>
            </w:r>
            <w:r w:rsidR="001154EA">
              <w:rPr>
                <w:szCs w:val="22"/>
              </w:rPr>
              <w:t xml:space="preserve">utilize existing </w:t>
            </w:r>
            <w:r w:rsidRPr="00887418" w:rsidR="00887418">
              <w:rPr>
                <w:szCs w:val="22"/>
              </w:rPr>
              <w:t xml:space="preserve">Gigabit Passive Optical Network/Fiber-to-the-Premises (GPON/FTTP) facilities </w:t>
            </w:r>
            <w:r w:rsidR="0016716F">
              <w:rPr>
                <w:szCs w:val="22"/>
              </w:rPr>
              <w:t>for future service requests</w:t>
            </w:r>
            <w:r w:rsidRPr="00887418" w:rsidR="00887418">
              <w:rPr>
                <w:szCs w:val="22"/>
              </w:rPr>
              <w:t>.</w:t>
            </w:r>
          </w:p>
        </w:tc>
        <w:tc>
          <w:tcPr>
            <w:tcW w:w="1800" w:type="dxa"/>
            <w:shd w:val="clear" w:color="auto" w:fill="auto"/>
          </w:tcPr>
          <w:p w:rsidR="006472D0" w:rsidRPr="00F37C9D" w:rsidP="00F315E0" w14:paraId="45C529E8" w14:textId="54761426">
            <w:pPr>
              <w:autoSpaceDE w:val="0"/>
              <w:autoSpaceDN w:val="0"/>
              <w:adjustRightInd w:val="0"/>
              <w:rPr>
                <w:b/>
                <w:bCs/>
                <w:szCs w:val="22"/>
              </w:rPr>
            </w:pPr>
            <w:r w:rsidRPr="00887418">
              <w:rPr>
                <w:szCs w:val="22"/>
              </w:rPr>
              <w:t>I</w:t>
            </w:r>
            <w:r w:rsidRPr="00983570">
              <w:rPr>
                <w:szCs w:val="22"/>
              </w:rPr>
              <w:t xml:space="preserve">n the </w:t>
            </w:r>
            <w:r w:rsidR="0016716F">
              <w:rPr>
                <w:szCs w:val="22"/>
              </w:rPr>
              <w:t>Royal Palm</w:t>
            </w:r>
            <w:r w:rsidR="003452B8">
              <w:rPr>
                <w:szCs w:val="22"/>
              </w:rPr>
              <w:t xml:space="preserve"> </w:t>
            </w:r>
            <w:r w:rsidRPr="00983570">
              <w:rPr>
                <w:szCs w:val="22"/>
              </w:rPr>
              <w:t>wire center</w:t>
            </w:r>
            <w:r w:rsidR="00F05546">
              <w:rPr>
                <w:szCs w:val="22"/>
              </w:rPr>
              <w:t xml:space="preserve"> </w:t>
            </w:r>
            <w:r w:rsidRPr="00983570" w:rsidR="00F05546">
              <w:rPr>
                <w:szCs w:val="22"/>
              </w:rPr>
              <w:t>(</w:t>
            </w:r>
            <w:r w:rsidR="0016716F">
              <w:rPr>
                <w:szCs w:val="22"/>
              </w:rPr>
              <w:t>WPBHFLRP</w:t>
            </w:r>
            <w:r w:rsidRPr="00983570" w:rsidR="00F05546">
              <w:rPr>
                <w:szCs w:val="22"/>
              </w:rPr>
              <w:t>)</w:t>
            </w:r>
            <w:r w:rsidRPr="00983570">
              <w:rPr>
                <w:szCs w:val="22"/>
              </w:rPr>
              <w:t xml:space="preserve"> in </w:t>
            </w:r>
            <w:r w:rsidR="0016716F">
              <w:rPr>
                <w:szCs w:val="22"/>
              </w:rPr>
              <w:t>Loxahatchee Groves</w:t>
            </w:r>
            <w:r w:rsidRPr="00983570">
              <w:rPr>
                <w:szCs w:val="22"/>
              </w:rPr>
              <w:t xml:space="preserve">, </w:t>
            </w:r>
            <w:r w:rsidR="00566887">
              <w:rPr>
                <w:szCs w:val="22"/>
              </w:rPr>
              <w:t>FL</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the DA </w:t>
            </w:r>
            <w:r w:rsidR="0016716F">
              <w:rPr>
                <w:szCs w:val="22"/>
              </w:rPr>
              <w:t>432202</w:t>
            </w:r>
            <w:r w:rsidRPr="00582B61" w:rsidR="00582B61">
              <w:rPr>
                <w:szCs w:val="22"/>
              </w:rPr>
              <w:t xml:space="preserve"> locations listed in the Impacted Addresses attachment to AT&amp;T’s notice.</w:t>
            </w:r>
          </w:p>
        </w:tc>
        <w:tc>
          <w:tcPr>
            <w:tcW w:w="1800" w:type="dxa"/>
            <w:shd w:val="clear" w:color="auto" w:fill="auto"/>
          </w:tcPr>
          <w:p w:rsidR="00F87FA2" w:rsidP="00091A8F" w14:paraId="37E57F86" w14:textId="77777777">
            <w:pPr>
              <w:tabs>
                <w:tab w:val="left" w:pos="0"/>
              </w:tabs>
              <w:suppressAutoHyphens/>
              <w:rPr>
                <w:szCs w:val="22"/>
              </w:rPr>
            </w:pPr>
            <w:r>
              <w:rPr>
                <w:szCs w:val="22"/>
              </w:rPr>
              <w:t xml:space="preserve">On or after </w:t>
            </w:r>
          </w:p>
          <w:p w:rsidR="006472D0" w:rsidRPr="00E86088" w:rsidP="00091A8F" w14:paraId="7A5A1423" w14:textId="7E75B95B">
            <w:pPr>
              <w:tabs>
                <w:tab w:val="left" w:pos="0"/>
              </w:tabs>
              <w:suppressAutoHyphens/>
              <w:rPr>
                <w:b/>
                <w:bCs/>
                <w:szCs w:val="22"/>
              </w:rPr>
            </w:pPr>
            <w:r>
              <w:rPr>
                <w:szCs w:val="22"/>
              </w:rPr>
              <w:t xml:space="preserve">March </w:t>
            </w:r>
            <w:r w:rsidR="00F37C9D">
              <w:rPr>
                <w:szCs w:val="22"/>
              </w:rPr>
              <w:t>9</w:t>
            </w:r>
            <w:r>
              <w:rPr>
                <w:szCs w:val="22"/>
              </w:rPr>
              <w:t>, 2023</w:t>
            </w:r>
          </w:p>
        </w:tc>
      </w:tr>
    </w:tbl>
    <w:p w:rsidR="00D65046" w:rsidP="006472D0" w14:paraId="2456F98D" w14:textId="77777777">
      <w:pPr>
        <w:rPr>
          <w:szCs w:val="22"/>
        </w:rPr>
      </w:pPr>
    </w:p>
    <w:p w:rsidR="00406E7D" w14:paraId="37B0523E" w14:textId="77777777">
      <w:pPr>
        <w:rPr>
          <w:szCs w:val="22"/>
        </w:rPr>
      </w:pPr>
      <w:r>
        <w:rPr>
          <w:szCs w:val="22"/>
        </w:rPr>
        <w:br w:type="page"/>
      </w:r>
    </w:p>
    <w:p w:rsidR="006472D0" w:rsidRPr="005833F6" w:rsidP="006472D0" w14:paraId="024FDAF6" w14:textId="77777777">
      <w:pPr>
        <w:rPr>
          <w:szCs w:val="22"/>
        </w:rPr>
      </w:pPr>
      <w:r w:rsidRPr="005833F6">
        <w:rPr>
          <w:szCs w:val="22"/>
        </w:rPr>
        <w:t>Incumbent LEC contact:</w:t>
      </w:r>
    </w:p>
    <w:p w:rsidR="006472D0" w:rsidRPr="00596841" w:rsidP="006472D0" w14:paraId="4C8FB8F4" w14:textId="77777777">
      <w:pPr>
        <w:rPr>
          <w:szCs w:val="22"/>
        </w:rPr>
      </w:pPr>
      <w:r>
        <w:rPr>
          <w:szCs w:val="22"/>
        </w:rPr>
        <w:t>Victoria Carter-Hall</w:t>
      </w:r>
    </w:p>
    <w:p w:rsidR="006472D0" w:rsidRPr="00596841" w:rsidP="006472D0" w14:paraId="40B73B3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0677DE7" w14:textId="77777777">
      <w:pPr>
        <w:rPr>
          <w:szCs w:val="22"/>
        </w:rPr>
      </w:pPr>
      <w:r>
        <w:rPr>
          <w:szCs w:val="22"/>
        </w:rPr>
        <w:t>AT&amp;T Services, Inc.</w:t>
      </w:r>
    </w:p>
    <w:p w:rsidR="006472D0" w:rsidP="006472D0" w14:paraId="2D55E75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39938C4" w14:textId="77777777">
      <w:pPr>
        <w:rPr>
          <w:szCs w:val="22"/>
        </w:rPr>
      </w:pPr>
      <w:r>
        <w:rPr>
          <w:szCs w:val="22"/>
        </w:rPr>
        <w:t>Washington, D.C. 20036</w:t>
      </w:r>
    </w:p>
    <w:p w:rsidR="006472D0" w:rsidRPr="00D90B7D" w:rsidP="006472D0" w14:paraId="3823A593"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A93C13B" w14:textId="77777777">
      <w:pPr>
        <w:tabs>
          <w:tab w:val="left" w:pos="-720"/>
        </w:tabs>
        <w:suppressAutoHyphens/>
        <w:rPr>
          <w:szCs w:val="22"/>
        </w:rPr>
      </w:pPr>
    </w:p>
    <w:p w:rsidR="006E7B5B" w:rsidRPr="00082C34" w:rsidP="008D15A6" w14:paraId="2168E38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FEE805F" w14:textId="77777777">
      <w:pPr>
        <w:rPr>
          <w:szCs w:val="22"/>
        </w:rPr>
      </w:pPr>
    </w:p>
    <w:p w:rsidR="006E7B5B" w:rsidRPr="00D45146" w:rsidP="008D15A6" w14:paraId="0BBFA8C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2BAEC8D" w14:textId="77777777">
      <w:pPr>
        <w:tabs>
          <w:tab w:val="left" w:pos="0"/>
        </w:tabs>
        <w:suppressAutoHyphens/>
        <w:rPr>
          <w:szCs w:val="22"/>
        </w:rPr>
      </w:pPr>
    </w:p>
    <w:p w:rsidR="006E7B5B" w:rsidP="006E7B5B" w14:paraId="6811CC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DE48D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0B38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D9489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6647D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81D73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CF3154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484AB92" w14:textId="77777777">
      <w:pPr>
        <w:tabs>
          <w:tab w:val="left" w:pos="0"/>
        </w:tabs>
        <w:suppressAutoHyphens/>
        <w:rPr>
          <w:b/>
          <w:szCs w:val="22"/>
        </w:rPr>
      </w:pPr>
    </w:p>
    <w:p w:rsidR="008961DF" w:rsidRPr="0011693F" w:rsidP="0063533E" w14:paraId="50B6EB43"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609D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3133D">
      <w:rPr>
        <w:rStyle w:val="PageNumber"/>
      </w:rPr>
      <w:fldChar w:fldCharType="separate"/>
    </w:r>
    <w:r>
      <w:rPr>
        <w:rStyle w:val="PageNumber"/>
      </w:rPr>
      <w:fldChar w:fldCharType="end"/>
    </w:r>
  </w:p>
  <w:p w:rsidR="00E37281" w14:paraId="4393E4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E012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0295F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46C4069" w14:textId="77777777">
      <w:r>
        <w:separator/>
      </w:r>
    </w:p>
  </w:footnote>
  <w:footnote w:type="continuationSeparator" w:id="1">
    <w:p w:rsidR="002F7FF4" w14:paraId="6192F409" w14:textId="77777777">
      <w:r>
        <w:continuationSeparator/>
      </w:r>
    </w:p>
  </w:footnote>
  <w:footnote w:id="2">
    <w:p w:rsidR="00802DC6" w:rsidP="00802DC6" w14:paraId="7694491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1C5717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E9EC85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C793B0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1D9573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9F418F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6DE3B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1BCE0F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608CE12" w14:textId="77777777">
                          <w:pPr>
                            <w:rPr>
                              <w:rFonts w:ascii="Arial" w:hAnsi="Arial" w:cs="Arial"/>
                              <w:b/>
                            </w:rPr>
                          </w:pPr>
                          <w:r w:rsidRPr="002D783A">
                            <w:rPr>
                              <w:rFonts w:ascii="Arial" w:hAnsi="Arial" w:cs="Arial"/>
                              <w:b/>
                            </w:rPr>
                            <w:t>Federal Communications Commission</w:t>
                          </w:r>
                        </w:p>
                        <w:p w:rsidR="00E37281" w:rsidRPr="002D783A" w14:paraId="4AD6762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07FD2D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512066" r:id="rId2"/>
      </w:pict>
    </w:r>
    <w:r>
      <w:rPr>
        <w:rFonts w:ascii="News Gothic MT" w:hAnsi="News Gothic MT"/>
        <w:b/>
        <w:kern w:val="28"/>
        <w:sz w:val="96"/>
      </w:rPr>
      <w:t>PUBLIC NOTICE</w:t>
    </w:r>
  </w:p>
  <w:p w:rsidR="00E37281" w:rsidRPr="00EA17C2" w:rsidP="00EA17C2" w14:paraId="660F59B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5181B7A" w14:textId="77777777">
                          <w:pPr>
                            <w:jc w:val="right"/>
                            <w:rPr>
                              <w:rFonts w:ascii="Arial" w:hAnsi="Arial"/>
                              <w:sz w:val="16"/>
                            </w:rPr>
                          </w:pPr>
                          <w:r>
                            <w:rPr>
                              <w:rFonts w:ascii="Arial" w:hAnsi="Arial"/>
                              <w:sz w:val="16"/>
                            </w:rPr>
                            <w:tab/>
                            <w:t>News Media Information 202 / 418-0500</w:t>
                          </w:r>
                        </w:p>
                        <w:p w:rsidR="00E37281" w14:paraId="48E2DF67" w14:textId="77777777">
                          <w:pPr>
                            <w:jc w:val="right"/>
                            <w:rPr>
                              <w:rFonts w:ascii="Arial" w:hAnsi="Arial"/>
                              <w:sz w:val="16"/>
                            </w:rPr>
                          </w:pPr>
                          <w:r>
                            <w:rPr>
                              <w:rFonts w:ascii="Arial" w:hAnsi="Arial"/>
                              <w:sz w:val="16"/>
                            </w:rPr>
                            <w:tab/>
                            <w:t xml:space="preserve">            Internet:  http://www.fcc.gov</w:t>
                          </w:r>
                        </w:p>
                        <w:p w:rsidR="00E37281" w:rsidP="00B2754A" w14:paraId="42A14237" w14:textId="77777777">
                          <w:pPr>
                            <w:rPr>
                              <w:rFonts w:ascii="Arial" w:hAnsi="Arial"/>
                              <w:sz w:val="16"/>
                            </w:rPr>
                          </w:pPr>
                          <w:r>
                            <w:rPr>
                              <w:rFonts w:ascii="Arial" w:hAnsi="Arial"/>
                              <w:sz w:val="16"/>
                            </w:rPr>
                            <w:tab/>
                            <w:t xml:space="preserve">                                     </w:t>
                          </w:r>
                        </w:p>
                        <w:p w:rsidR="00E37281" w:rsidP="00B2754A" w14:paraId="3F7622FA" w14:textId="77777777">
                          <w:pPr>
                            <w:rPr>
                              <w:rFonts w:ascii="Arial" w:hAnsi="Arial"/>
                              <w:sz w:val="16"/>
                            </w:rPr>
                          </w:pPr>
                          <w:r>
                            <w:rPr>
                              <w:rFonts w:ascii="Arial" w:hAnsi="Arial"/>
                              <w:sz w:val="16"/>
                            </w:rPr>
                            <w:tab/>
                          </w:r>
                          <w:r>
                            <w:rPr>
                              <w:rFonts w:ascii="Arial" w:hAnsi="Arial"/>
                              <w:sz w:val="16"/>
                            </w:rPr>
                            <w:tab/>
                          </w:r>
                        </w:p>
                        <w:p w:rsidR="00E37281" w:rsidP="00B2754A" w14:paraId="3228B95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21079"/>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7F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