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B09619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1F250FF" w14:textId="77777777">
      <w:pPr>
        <w:pStyle w:val="StyleBoldCentered"/>
      </w:pPr>
      <w:r>
        <w:t>F</w:t>
      </w:r>
      <w:r>
        <w:rPr>
          <w:caps w:val="0"/>
        </w:rPr>
        <w:t>ederal Communications Commission</w:t>
      </w:r>
    </w:p>
    <w:p w:rsidR="004C2EE3" w:rsidP="00096D8C" w14:paraId="281A30D0" w14:textId="77777777">
      <w:pPr>
        <w:pStyle w:val="StyleBoldCentered"/>
      </w:pPr>
      <w:r>
        <w:rPr>
          <w:caps w:val="0"/>
        </w:rPr>
        <w:t>Washington, D.C. 20554</w:t>
      </w:r>
    </w:p>
    <w:p w:rsidR="004C2EE3" w:rsidP="0070224F" w14:paraId="0FCF5DCD" w14:textId="77777777"/>
    <w:p w:rsidR="004C2EE3" w:rsidP="0070224F" w14:paraId="214E4AD4" w14:textId="77777777"/>
    <w:tbl>
      <w:tblPr>
        <w:tblW w:w="0" w:type="auto"/>
        <w:tblLayout w:type="fixed"/>
        <w:tblLook w:val="0000"/>
      </w:tblPr>
      <w:tblGrid>
        <w:gridCol w:w="4698"/>
        <w:gridCol w:w="630"/>
        <w:gridCol w:w="4248"/>
      </w:tblGrid>
      <w:tr w14:paraId="0081E5CB" w14:textId="77777777">
        <w:tblPrEx>
          <w:tblW w:w="0" w:type="auto"/>
          <w:tblLayout w:type="fixed"/>
          <w:tblLook w:val="0000"/>
        </w:tblPrEx>
        <w:tc>
          <w:tcPr>
            <w:tcW w:w="4698" w:type="dxa"/>
          </w:tcPr>
          <w:p w:rsidR="004C2EE3" w14:paraId="53997A2F" w14:textId="77777777">
            <w:pPr>
              <w:tabs>
                <w:tab w:val="center" w:pos="4680"/>
              </w:tabs>
              <w:suppressAutoHyphens/>
              <w:rPr>
                <w:spacing w:val="-2"/>
              </w:rPr>
            </w:pPr>
            <w:r>
              <w:rPr>
                <w:spacing w:val="-2"/>
              </w:rPr>
              <w:t>In the Matter of</w:t>
            </w:r>
          </w:p>
          <w:p w:rsidR="004C2EE3" w14:paraId="41F14EBE" w14:textId="77777777">
            <w:pPr>
              <w:tabs>
                <w:tab w:val="center" w:pos="4680"/>
              </w:tabs>
              <w:suppressAutoHyphens/>
              <w:rPr>
                <w:spacing w:val="-2"/>
              </w:rPr>
            </w:pPr>
          </w:p>
          <w:p w:rsidR="004C2EE3" w:rsidRPr="007115F7" w:rsidP="007115F7" w14:paraId="6166978D" w14:textId="5CF42D25">
            <w:pPr>
              <w:tabs>
                <w:tab w:val="center" w:pos="4680"/>
              </w:tabs>
              <w:suppressAutoHyphens/>
              <w:rPr>
                <w:spacing w:val="-2"/>
              </w:rPr>
            </w:pPr>
            <w:r w:rsidRPr="001B2673">
              <w:rPr>
                <w:spacing w:val="-2"/>
              </w:rPr>
              <w:t>Amendment of Part 90 of the Commission’s Rules</w:t>
            </w:r>
          </w:p>
        </w:tc>
        <w:tc>
          <w:tcPr>
            <w:tcW w:w="630" w:type="dxa"/>
          </w:tcPr>
          <w:p w:rsidR="004C2EE3" w14:paraId="37D0F5D5" w14:textId="77777777">
            <w:pPr>
              <w:tabs>
                <w:tab w:val="center" w:pos="4680"/>
              </w:tabs>
              <w:suppressAutoHyphens/>
              <w:rPr>
                <w:b/>
                <w:spacing w:val="-2"/>
              </w:rPr>
            </w:pPr>
            <w:r>
              <w:rPr>
                <w:b/>
                <w:spacing w:val="-2"/>
              </w:rPr>
              <w:t>)</w:t>
            </w:r>
          </w:p>
          <w:p w:rsidR="004C2EE3" w14:paraId="6673BEA6" w14:textId="77777777">
            <w:pPr>
              <w:tabs>
                <w:tab w:val="center" w:pos="4680"/>
              </w:tabs>
              <w:suppressAutoHyphens/>
              <w:rPr>
                <w:b/>
                <w:spacing w:val="-2"/>
              </w:rPr>
            </w:pPr>
            <w:r>
              <w:rPr>
                <w:b/>
                <w:spacing w:val="-2"/>
              </w:rPr>
              <w:t>)</w:t>
            </w:r>
          </w:p>
          <w:p w:rsidR="004C2EE3" w14:paraId="0165D115" w14:textId="77777777">
            <w:pPr>
              <w:tabs>
                <w:tab w:val="center" w:pos="4680"/>
              </w:tabs>
              <w:suppressAutoHyphens/>
              <w:rPr>
                <w:b/>
                <w:spacing w:val="-2"/>
              </w:rPr>
            </w:pPr>
            <w:r>
              <w:rPr>
                <w:b/>
                <w:spacing w:val="-2"/>
              </w:rPr>
              <w:t>)</w:t>
            </w:r>
          </w:p>
          <w:p w:rsidR="004C2EE3" w:rsidRPr="000C5CE9" w14:paraId="594DD7AE" w14:textId="5FCD120F">
            <w:pPr>
              <w:tabs>
                <w:tab w:val="center" w:pos="4680"/>
              </w:tabs>
              <w:suppressAutoHyphens/>
              <w:rPr>
                <w:b/>
                <w:spacing w:val="-2"/>
              </w:rPr>
            </w:pPr>
            <w:r>
              <w:rPr>
                <w:b/>
                <w:spacing w:val="-2"/>
              </w:rPr>
              <w:t>)</w:t>
            </w:r>
          </w:p>
        </w:tc>
        <w:tc>
          <w:tcPr>
            <w:tcW w:w="4248" w:type="dxa"/>
          </w:tcPr>
          <w:p w:rsidR="004C2EE3" w14:paraId="1A580BB9" w14:textId="77777777">
            <w:pPr>
              <w:tabs>
                <w:tab w:val="center" w:pos="4680"/>
              </w:tabs>
              <w:suppressAutoHyphens/>
              <w:rPr>
                <w:spacing w:val="-2"/>
              </w:rPr>
            </w:pPr>
          </w:p>
          <w:p w:rsidR="004C2EE3" w14:paraId="3EC6860F" w14:textId="77777777">
            <w:pPr>
              <w:pStyle w:val="TOAHeading"/>
              <w:tabs>
                <w:tab w:val="center" w:pos="4680"/>
                <w:tab w:val="clear" w:pos="9360"/>
              </w:tabs>
              <w:rPr>
                <w:spacing w:val="-2"/>
              </w:rPr>
            </w:pPr>
          </w:p>
          <w:p w:rsidR="004C2EE3" w14:paraId="6111BCB9" w14:textId="10B74D38">
            <w:pPr>
              <w:tabs>
                <w:tab w:val="center" w:pos="4680"/>
              </w:tabs>
              <w:suppressAutoHyphens/>
              <w:rPr>
                <w:spacing w:val="-2"/>
              </w:rPr>
            </w:pPr>
            <w:r>
              <w:rPr>
                <w:spacing w:val="-2"/>
              </w:rPr>
              <w:t>WP Docket No. 07-100</w:t>
            </w:r>
          </w:p>
        </w:tc>
      </w:tr>
    </w:tbl>
    <w:p w:rsidR="004C2EE3" w:rsidP="0070224F" w14:paraId="12595565" w14:textId="77777777"/>
    <w:p w:rsidR="00841AB1" w:rsidP="00F021FA" w14:paraId="082DC376" w14:textId="5D4D0EE1">
      <w:pPr>
        <w:pStyle w:val="StyleBoldCentered"/>
      </w:pPr>
      <w:r>
        <w:t>erratum</w:t>
      </w:r>
    </w:p>
    <w:p w:rsidR="004C2EE3" w14:paraId="5EB03495" w14:textId="77777777">
      <w:pPr>
        <w:tabs>
          <w:tab w:val="left" w:pos="-720"/>
        </w:tabs>
        <w:suppressAutoHyphens/>
        <w:spacing w:line="227" w:lineRule="auto"/>
        <w:rPr>
          <w:spacing w:val="-2"/>
        </w:rPr>
      </w:pPr>
    </w:p>
    <w:p w:rsidR="004C2EE3" w:rsidP="005B66C2" w14:paraId="28DE2EDB" w14:textId="3E998D35">
      <w:pPr>
        <w:tabs>
          <w:tab w:val="left" w:pos="720"/>
          <w:tab w:val="right" w:pos="9360"/>
        </w:tabs>
        <w:suppressAutoHyphens/>
        <w:spacing w:line="227" w:lineRule="auto"/>
        <w:jc w:val="right"/>
        <w:rPr>
          <w:spacing w:val="-2"/>
        </w:rPr>
      </w:pPr>
      <w:r>
        <w:rPr>
          <w:b/>
          <w:spacing w:val="-2"/>
        </w:rPr>
        <w:t>Released</w:t>
      </w:r>
      <w:r>
        <w:rPr>
          <w:b/>
          <w:spacing w:val="-2"/>
        </w:rPr>
        <w:t>:</w:t>
      </w:r>
      <w:r>
        <w:rPr>
          <w:b/>
          <w:spacing w:val="-2"/>
        </w:rPr>
        <w:t xml:space="preserve"> </w:t>
      </w:r>
      <w:r>
        <w:rPr>
          <w:b/>
          <w:spacing w:val="-2"/>
        </w:rPr>
        <w:t xml:space="preserve"> </w:t>
      </w:r>
      <w:r w:rsidR="000C5CE9">
        <w:rPr>
          <w:b/>
          <w:spacing w:val="-2"/>
        </w:rPr>
        <w:t xml:space="preserve">February </w:t>
      </w:r>
      <w:r w:rsidR="00746471">
        <w:rPr>
          <w:b/>
          <w:spacing w:val="-2"/>
        </w:rPr>
        <w:t>22</w:t>
      </w:r>
      <w:r w:rsidR="000C5CE9">
        <w:rPr>
          <w:b/>
          <w:spacing w:val="-2"/>
        </w:rPr>
        <w:t>, 2023</w:t>
      </w:r>
    </w:p>
    <w:p w:rsidR="00822CE0" w14:paraId="6EB846F2" w14:textId="77777777"/>
    <w:p w:rsidR="000C5CE9" w:rsidP="000C5CE9" w14:paraId="08882F83" w14:textId="77777777">
      <w:pPr>
        <w:pStyle w:val="ParaNum"/>
        <w:numPr>
          <w:ilvl w:val="0"/>
          <w:numId w:val="0"/>
        </w:numPr>
        <w:spacing w:after="0"/>
        <w:rPr>
          <w:spacing w:val="-2"/>
        </w:rPr>
      </w:pPr>
      <w:r>
        <w:t>By the Managing Director and the Acting Chief, Wireless Telecommunications Bureau</w:t>
      </w:r>
      <w:r>
        <w:rPr>
          <w:spacing w:val="-2"/>
        </w:rPr>
        <w:t>:</w:t>
      </w:r>
    </w:p>
    <w:p w:rsidR="00822CE0" w14:paraId="7E8350A1" w14:textId="77777777">
      <w:pPr>
        <w:rPr>
          <w:spacing w:val="-2"/>
        </w:rPr>
      </w:pPr>
    </w:p>
    <w:p w:rsidR="0037259B" w:rsidP="000C5CE9" w14:paraId="745D5788" w14:textId="2ED132D5">
      <w:pPr>
        <w:pStyle w:val="ParaNum"/>
        <w:numPr>
          <w:ilvl w:val="0"/>
          <w:numId w:val="0"/>
        </w:numPr>
        <w:ind w:firstLine="720"/>
      </w:pPr>
      <w:r>
        <w:t xml:space="preserve">On </w:t>
      </w:r>
      <w:r w:rsidR="00CC46AC">
        <w:t>January 18</w:t>
      </w:r>
      <w:r>
        <w:t>, 202</w:t>
      </w:r>
      <w:r w:rsidR="00CC46AC">
        <w:t>3</w:t>
      </w:r>
      <w:r>
        <w:t xml:space="preserve">, the Commission released a </w:t>
      </w:r>
      <w:r w:rsidR="00FC0B62">
        <w:t>Seventh</w:t>
      </w:r>
      <w:r>
        <w:t xml:space="preserve"> Report and Order and </w:t>
      </w:r>
      <w:r w:rsidR="00FC0B62">
        <w:t>Ninth</w:t>
      </w:r>
      <w:r>
        <w:t xml:space="preserve"> Further Notice of Proposed Rulemaking (</w:t>
      </w:r>
      <w:r w:rsidR="00FC0B62">
        <w:rPr>
          <w:i/>
          <w:iCs/>
        </w:rPr>
        <w:t>Seventh</w:t>
      </w:r>
      <w:r w:rsidRPr="00B9372C">
        <w:rPr>
          <w:i/>
          <w:iCs/>
        </w:rPr>
        <w:t xml:space="preserve"> R&amp;O and </w:t>
      </w:r>
      <w:r w:rsidR="00FC0B62">
        <w:rPr>
          <w:i/>
          <w:iCs/>
        </w:rPr>
        <w:t>Ninth</w:t>
      </w:r>
      <w:r w:rsidRPr="00B9372C">
        <w:rPr>
          <w:i/>
          <w:iCs/>
        </w:rPr>
        <w:t xml:space="preserve"> FNPRM</w:t>
      </w:r>
      <w:r>
        <w:t xml:space="preserve">), FCC </w:t>
      </w:r>
      <w:r w:rsidR="00FC0B62">
        <w:t>23-3</w:t>
      </w:r>
      <w:r>
        <w:t>, in the above-captioned proceeding.  To conform to the publishing conventions of the National Archives and Records Administration’s Office of the Federal Register</w:t>
      </w:r>
      <w:r w:rsidR="002648BA">
        <w:t>,</w:t>
      </w:r>
      <w:r w:rsidR="000C513F">
        <w:t xml:space="preserve"> </w:t>
      </w:r>
      <w:r w:rsidR="008776E5">
        <w:t>this Erratum</w:t>
      </w:r>
      <w:r w:rsidRPr="00B9372C" w:rsidR="008776E5">
        <w:rPr>
          <w:b/>
          <w:bCs/>
        </w:rPr>
        <w:t xml:space="preserve"> </w:t>
      </w:r>
      <w:r w:rsidR="008776E5">
        <w:t xml:space="preserve">replaces </w:t>
      </w:r>
      <w:r w:rsidRPr="00B9372C">
        <w:rPr>
          <w:b/>
          <w:bCs/>
        </w:rPr>
        <w:t xml:space="preserve">Appendix </w:t>
      </w:r>
      <w:r w:rsidR="00FC0B62">
        <w:rPr>
          <w:b/>
          <w:bCs/>
        </w:rPr>
        <w:t>B</w:t>
      </w:r>
      <w:r>
        <w:t xml:space="preserve"> </w:t>
      </w:r>
      <w:r w:rsidR="000C513F">
        <w:t xml:space="preserve">of the </w:t>
      </w:r>
      <w:r w:rsidR="006C2FF6">
        <w:rPr>
          <w:i/>
          <w:iCs/>
        </w:rPr>
        <w:t>Seventh</w:t>
      </w:r>
      <w:r w:rsidRPr="00B9372C" w:rsidR="006C2FF6">
        <w:rPr>
          <w:i/>
          <w:iCs/>
        </w:rPr>
        <w:t xml:space="preserve"> R&amp;O and </w:t>
      </w:r>
      <w:r w:rsidR="006C2FF6">
        <w:rPr>
          <w:i/>
          <w:iCs/>
        </w:rPr>
        <w:t>Ninth</w:t>
      </w:r>
      <w:r w:rsidRPr="00B9372C" w:rsidR="006C2FF6">
        <w:rPr>
          <w:i/>
          <w:iCs/>
        </w:rPr>
        <w:t xml:space="preserve"> FNPRM</w:t>
      </w:r>
      <w:r w:rsidR="00226646">
        <w:rPr>
          <w:i/>
          <w:iCs/>
        </w:rPr>
        <w:t xml:space="preserve"> </w:t>
      </w:r>
      <w:r w:rsidR="008776E5">
        <w:t>with a new</w:t>
      </w:r>
      <w:r w:rsidR="003969B7">
        <w:t xml:space="preserve"> </w:t>
      </w:r>
      <w:r w:rsidRPr="005B66C2" w:rsidR="003969B7">
        <w:rPr>
          <w:b/>
          <w:bCs/>
        </w:rPr>
        <w:t xml:space="preserve">Appendix </w:t>
      </w:r>
      <w:r w:rsidRPr="005B66C2" w:rsidR="008776E5">
        <w:rPr>
          <w:b/>
          <w:bCs/>
        </w:rPr>
        <w:t>B</w:t>
      </w:r>
      <w:r w:rsidR="004A09AF">
        <w:t xml:space="preserve">.  </w:t>
      </w:r>
      <w:r w:rsidR="00D93315">
        <w:t xml:space="preserve">The </w:t>
      </w:r>
      <w:r w:rsidR="008776E5">
        <w:t xml:space="preserve">new </w:t>
      </w:r>
      <w:r w:rsidRPr="005B66C2" w:rsidR="00D93315">
        <w:rPr>
          <w:b/>
          <w:bCs/>
        </w:rPr>
        <w:t xml:space="preserve">Appendix </w:t>
      </w:r>
      <w:r w:rsidRPr="005B66C2" w:rsidR="008776E5">
        <w:rPr>
          <w:b/>
          <w:bCs/>
        </w:rPr>
        <w:t>B</w:t>
      </w:r>
      <w:r w:rsidR="008776E5">
        <w:t xml:space="preserve">, attached to this Erratum, </w:t>
      </w:r>
      <w:r w:rsidR="00D93315">
        <w:t xml:space="preserve">contains </w:t>
      </w:r>
      <w:r w:rsidR="004C4DF0">
        <w:t xml:space="preserve">non-substantive modifications </w:t>
      </w:r>
      <w:r w:rsidR="00B25DCB">
        <w:t>to the instruction</w:t>
      </w:r>
      <w:r w:rsidR="00D51DDE">
        <w:t xml:space="preserve">al </w:t>
      </w:r>
      <w:r w:rsidR="00110DCF">
        <w:t xml:space="preserve">and introductory </w:t>
      </w:r>
      <w:r w:rsidR="00D51DDE">
        <w:t>language</w:t>
      </w:r>
      <w:r w:rsidR="00B25DCB">
        <w:t xml:space="preserve"> for certain sections</w:t>
      </w:r>
      <w:r w:rsidR="00A77C64">
        <w:t xml:space="preserve">.  It also contains modifications </w:t>
      </w:r>
      <w:r w:rsidR="00B2257D">
        <w:t xml:space="preserve">to the </w:t>
      </w:r>
      <w:r>
        <w:t>codified text, including the following:</w:t>
      </w:r>
    </w:p>
    <w:p w:rsidR="0037259B" w:rsidP="0037259B" w14:paraId="5425008E" w14:textId="73A8A86D">
      <w:pPr>
        <w:pStyle w:val="ParaNum"/>
        <w:numPr>
          <w:ilvl w:val="0"/>
          <w:numId w:val="13"/>
        </w:numPr>
      </w:pPr>
      <w:r>
        <w:t>R</w:t>
      </w:r>
      <w:r w:rsidR="003B18BA">
        <w:t xml:space="preserve">emoving </w:t>
      </w:r>
      <w:r w:rsidR="00C02305">
        <w:t xml:space="preserve">but not reserving </w:t>
      </w:r>
      <w:r w:rsidR="003B18BA">
        <w:t>paragraph (j)(22) of section 90.175</w:t>
      </w:r>
      <w:r>
        <w:t>.</w:t>
      </w:r>
    </w:p>
    <w:p w:rsidR="00BE42E8" w:rsidP="0037259B" w14:paraId="22FBD69A" w14:textId="7913A82B">
      <w:pPr>
        <w:pStyle w:val="ParaNum"/>
        <w:numPr>
          <w:ilvl w:val="0"/>
          <w:numId w:val="13"/>
        </w:numPr>
      </w:pPr>
      <w:r>
        <w:t>R</w:t>
      </w:r>
      <w:r w:rsidR="008D71E6">
        <w:t xml:space="preserve">emoving the revisions to section 90.1211, </w:t>
      </w:r>
      <w:r w:rsidRPr="00BE42E8">
        <w:t>which would have had no effect given the reservation of paragraph (a).</w:t>
      </w:r>
    </w:p>
    <w:p w:rsidR="000C5CE9" w:rsidP="00E677BD" w14:paraId="5A60C5D9" w14:textId="3D03E1A6">
      <w:pPr>
        <w:pStyle w:val="ParaNum"/>
        <w:numPr>
          <w:ilvl w:val="0"/>
          <w:numId w:val="13"/>
        </w:numPr>
      </w:pPr>
      <w:r>
        <w:t>R</w:t>
      </w:r>
      <w:r w:rsidR="0028550C">
        <w:t>e</w:t>
      </w:r>
      <w:r w:rsidR="003365F8">
        <w:t>phrasing</w:t>
      </w:r>
      <w:r w:rsidR="008D71E6">
        <w:t xml:space="preserve"> the</w:t>
      </w:r>
      <w:r w:rsidR="00914C5C">
        <w:t xml:space="preserve"> compliance date requirements for sections</w:t>
      </w:r>
      <w:r w:rsidR="00912B09">
        <w:t xml:space="preserve"> 90.175(g)(3) and 90.1207(g). </w:t>
      </w:r>
    </w:p>
    <w:p w:rsidR="003D1B9F" w:rsidP="00912B09" w14:paraId="42E8DA11" w14:textId="77777777">
      <w:pPr>
        <w:pStyle w:val="ParaNum"/>
        <w:numPr>
          <w:ilvl w:val="0"/>
          <w:numId w:val="0"/>
        </w:numPr>
        <w:tabs>
          <w:tab w:val="left" w:pos="1080"/>
        </w:tabs>
      </w:pPr>
    </w:p>
    <w:p w:rsidR="000C5CE9" w:rsidP="000C5CE9" w14:paraId="63DABA8F" w14:textId="77777777">
      <w:pPr>
        <w:keepNext/>
        <w:widowControl/>
      </w:pPr>
      <w:r>
        <w:tab/>
      </w:r>
      <w:r>
        <w:tab/>
      </w:r>
      <w:r>
        <w:tab/>
      </w:r>
      <w:r>
        <w:tab/>
      </w:r>
      <w:r>
        <w:tab/>
      </w:r>
      <w:r>
        <w:tab/>
        <w:t>FEDERAL COMMUNICATIONS COMMISSION</w:t>
      </w:r>
    </w:p>
    <w:p w:rsidR="000C5CE9" w:rsidP="000C5CE9" w14:paraId="5933DD29" w14:textId="77777777">
      <w:pPr>
        <w:keepNext/>
        <w:widowControl/>
      </w:pPr>
    </w:p>
    <w:p w:rsidR="000C5CE9" w:rsidP="000C5CE9" w14:paraId="35B8463C" w14:textId="77777777">
      <w:pPr>
        <w:keepNext/>
        <w:widowControl/>
      </w:pPr>
    </w:p>
    <w:p w:rsidR="000C5CE9" w:rsidP="000C5CE9" w14:paraId="796B4B8D" w14:textId="77777777">
      <w:pPr>
        <w:keepNext/>
        <w:widowControl/>
      </w:pPr>
    </w:p>
    <w:p w:rsidR="000C5CE9" w:rsidP="000C5CE9" w14:paraId="243E65AC" w14:textId="77777777">
      <w:pPr>
        <w:keepNext/>
        <w:widowControl/>
      </w:pPr>
    </w:p>
    <w:p w:rsidR="000C5CE9" w:rsidP="000C5CE9" w14:paraId="08CF3E4C" w14:textId="77777777">
      <w:pPr>
        <w:keepNext/>
        <w:widowControl/>
      </w:pPr>
      <w:r>
        <w:tab/>
      </w:r>
      <w:r>
        <w:tab/>
      </w:r>
      <w:r>
        <w:tab/>
      </w:r>
      <w:r>
        <w:tab/>
      </w:r>
      <w:r>
        <w:tab/>
      </w:r>
      <w:r>
        <w:tab/>
        <w:t>Mark Stephens</w:t>
      </w:r>
    </w:p>
    <w:p w:rsidR="000C5CE9" w:rsidP="000C5CE9" w14:paraId="11958FAD" w14:textId="77777777">
      <w:pPr>
        <w:keepNext/>
        <w:widowControl/>
      </w:pPr>
      <w:r>
        <w:tab/>
      </w:r>
      <w:r>
        <w:tab/>
      </w:r>
      <w:r>
        <w:tab/>
      </w:r>
      <w:r>
        <w:tab/>
      </w:r>
      <w:r>
        <w:tab/>
      </w:r>
      <w:r>
        <w:tab/>
        <w:t xml:space="preserve">Managing Director </w:t>
      </w:r>
    </w:p>
    <w:p w:rsidR="000C5CE9" w:rsidP="000C5CE9" w14:paraId="31B59DD1" w14:textId="70804E22">
      <w:pPr>
        <w:keepNext/>
        <w:widowControl/>
      </w:pPr>
    </w:p>
    <w:p w:rsidR="000C5CE9" w:rsidP="000C5CE9" w14:paraId="1F7416B9" w14:textId="77777777">
      <w:pPr>
        <w:keepNext/>
        <w:widowControl/>
      </w:pPr>
      <w:r>
        <w:tab/>
      </w:r>
      <w:r>
        <w:tab/>
      </w:r>
      <w:r>
        <w:tab/>
      </w:r>
      <w:r>
        <w:tab/>
      </w:r>
      <w:r>
        <w:tab/>
      </w:r>
      <w:r>
        <w:tab/>
        <w:t>and</w:t>
      </w:r>
    </w:p>
    <w:p w:rsidR="000C5CE9" w:rsidP="000C5CE9" w14:paraId="439868BC" w14:textId="77777777">
      <w:pPr>
        <w:keepNext/>
        <w:widowControl/>
      </w:pPr>
    </w:p>
    <w:p w:rsidR="000C5CE9" w:rsidP="000C5CE9" w14:paraId="48F6D09C" w14:textId="77777777">
      <w:pPr>
        <w:keepNext/>
        <w:widowControl/>
      </w:pPr>
    </w:p>
    <w:p w:rsidR="000C5CE9" w:rsidP="000C5CE9" w14:paraId="3FADC21F" w14:textId="77777777">
      <w:pPr>
        <w:keepNext/>
        <w:widowControl/>
      </w:pPr>
    </w:p>
    <w:p w:rsidR="00746471" w:rsidP="000C5CE9" w14:paraId="5D67B40F" w14:textId="77777777">
      <w:pPr>
        <w:keepNext/>
        <w:widowControl/>
      </w:pPr>
    </w:p>
    <w:p w:rsidR="000C5CE9" w:rsidP="000C5CE9" w14:paraId="07FCE3C0" w14:textId="05425947">
      <w:pPr>
        <w:keepNext/>
        <w:widowControl/>
      </w:pPr>
      <w:r>
        <w:tab/>
      </w:r>
      <w:r>
        <w:tab/>
      </w:r>
      <w:r>
        <w:tab/>
      </w:r>
      <w:r>
        <w:tab/>
      </w:r>
      <w:r>
        <w:tab/>
      </w:r>
      <w:r>
        <w:tab/>
        <w:t>Joel Taubenblatt</w:t>
      </w:r>
    </w:p>
    <w:p w:rsidR="000C5CE9" w:rsidP="000C5CE9" w14:paraId="0BB9F0FB" w14:textId="7758224E">
      <w:r>
        <w:tab/>
      </w:r>
      <w:r>
        <w:tab/>
      </w:r>
      <w:r>
        <w:tab/>
      </w:r>
      <w:r>
        <w:tab/>
      </w:r>
      <w:r>
        <w:tab/>
      </w:r>
      <w:r>
        <w:tab/>
        <w:t>Acting Chief, Wireless Telecommunications Bureau</w:t>
      </w:r>
    </w:p>
    <w:p w:rsidR="00533281" w14:paraId="5BC752FC" w14:textId="219E9552">
      <w:pPr>
        <w:widowControl/>
      </w:pPr>
      <w:r>
        <w:br w:type="page"/>
      </w:r>
    </w:p>
    <w:p w:rsidR="00533281" w:rsidRPr="005B66C2" w:rsidP="00533281" w14:paraId="5BD32827" w14:textId="5024F2D7">
      <w:pPr>
        <w:jc w:val="center"/>
        <w:rPr>
          <w:rFonts w:ascii="Times New Roman Bold" w:hAnsi="Times New Roman Bold"/>
          <w:b/>
          <w:bCs/>
          <w:caps/>
        </w:rPr>
      </w:pPr>
      <w:r w:rsidRPr="005B66C2">
        <w:rPr>
          <w:rFonts w:ascii="Times New Roman Bold" w:hAnsi="Times New Roman Bold"/>
          <w:b/>
          <w:bCs/>
          <w:caps/>
        </w:rPr>
        <w:t>Appendix</w:t>
      </w:r>
      <w:r w:rsidRPr="005B66C2" w:rsidR="008776E5">
        <w:rPr>
          <w:rFonts w:ascii="Times New Roman Bold" w:hAnsi="Times New Roman Bold"/>
          <w:b/>
          <w:bCs/>
          <w:caps/>
        </w:rPr>
        <w:t xml:space="preserve"> B</w:t>
      </w:r>
    </w:p>
    <w:p w:rsidR="000D0249" w:rsidP="00533281" w14:paraId="6CEB9DD9" w14:textId="261371CA">
      <w:pPr>
        <w:jc w:val="center"/>
        <w:rPr>
          <w:b/>
          <w:bCs/>
        </w:rPr>
      </w:pPr>
    </w:p>
    <w:p w:rsidR="000D0249" w:rsidRPr="002634EC" w:rsidP="000D0249" w14:paraId="5A1BC11D" w14:textId="77777777">
      <w:pPr>
        <w:spacing w:line="480" w:lineRule="auto"/>
        <w:jc w:val="center"/>
        <w:rPr>
          <w:b/>
          <w:bCs/>
          <w:szCs w:val="22"/>
        </w:rPr>
      </w:pPr>
      <w:r w:rsidRPr="002634EC">
        <w:rPr>
          <w:b/>
          <w:bCs/>
          <w:szCs w:val="22"/>
        </w:rPr>
        <w:t>Final Rules</w:t>
      </w:r>
    </w:p>
    <w:p w:rsidR="000D0249" w:rsidRPr="002634EC" w:rsidP="005B66C2" w14:paraId="75CC5969" w14:textId="2A97F477">
      <w:pPr>
        <w:spacing w:after="120"/>
        <w:rPr>
          <w:szCs w:val="22"/>
        </w:rPr>
      </w:pPr>
      <w:r w:rsidRPr="002634EC">
        <w:rPr>
          <w:szCs w:val="22"/>
        </w:rPr>
        <w:t xml:space="preserve">For the reasons discussed in the preamble, the Federal Communications Commission amends 47 CFR part 90 as follows:  </w:t>
      </w:r>
    </w:p>
    <w:p w:rsidR="000D0249" w:rsidRPr="002634EC" w:rsidP="005B66C2" w14:paraId="3B8F1638" w14:textId="77777777">
      <w:pPr>
        <w:spacing w:after="120"/>
        <w:rPr>
          <w:b/>
          <w:szCs w:val="22"/>
        </w:rPr>
      </w:pPr>
      <w:r w:rsidRPr="002634EC">
        <w:rPr>
          <w:b/>
          <w:szCs w:val="22"/>
        </w:rPr>
        <w:t>PART 90 – PRIVATE LAND MOBILE RADIO SERVICES</w:t>
      </w:r>
    </w:p>
    <w:p w:rsidR="000D0249" w:rsidRPr="002634EC" w:rsidP="005B66C2" w14:paraId="7B542C98" w14:textId="228A3FF7">
      <w:pPr>
        <w:pStyle w:val="ParaNum"/>
      </w:pPr>
      <w:r w:rsidRPr="002634EC">
        <w:t>The authority citation for Part 90 continues to read as follows:</w:t>
      </w:r>
    </w:p>
    <w:p w:rsidR="000D0249" w:rsidRPr="002634EC" w:rsidP="005B66C2" w14:paraId="673FC3A5" w14:textId="2CC4AC31">
      <w:pPr>
        <w:spacing w:after="120"/>
        <w:rPr>
          <w:szCs w:val="22"/>
        </w:rPr>
      </w:pPr>
      <w:r w:rsidRPr="002501B9">
        <w:rPr>
          <w:b/>
          <w:smallCaps/>
        </w:rPr>
        <w:t>Authority</w:t>
      </w:r>
      <w:r w:rsidRPr="002501B9">
        <w:rPr>
          <w:b/>
        </w:rPr>
        <w:t>:</w:t>
      </w:r>
      <w:r w:rsidRPr="002634EC">
        <w:rPr>
          <w:szCs w:val="22"/>
        </w:rPr>
        <w:t xml:space="preserve"> 47 U.S.C. 154(</w:t>
      </w:r>
      <w:r w:rsidRPr="002634EC">
        <w:rPr>
          <w:szCs w:val="22"/>
        </w:rPr>
        <w:t>i</w:t>
      </w:r>
      <w:r w:rsidRPr="002634EC">
        <w:rPr>
          <w:szCs w:val="22"/>
        </w:rPr>
        <w:t>), 161, 303(g), 303(r), 332(c)(7), 1401-1473.</w:t>
      </w:r>
    </w:p>
    <w:p w:rsidR="000D0249" w:rsidRPr="002634EC" w:rsidP="005B66C2" w14:paraId="144177AC" w14:textId="100E95E4">
      <w:pPr>
        <w:pStyle w:val="ParaNum"/>
      </w:pPr>
      <w:r>
        <w:t xml:space="preserve">Amend </w:t>
      </w:r>
      <w:r w:rsidRPr="002634EC">
        <w:t>§ 90.155</w:t>
      </w:r>
      <w:r>
        <w:t xml:space="preserve"> by</w:t>
      </w:r>
      <w:r w:rsidRPr="002634EC">
        <w:t xml:space="preserve"> revis</w:t>
      </w:r>
      <w:r>
        <w:t>ing</w:t>
      </w:r>
      <w:r w:rsidRPr="002634EC">
        <w:t xml:space="preserve"> paragraph (a) to read as follows:</w:t>
      </w:r>
    </w:p>
    <w:p w:rsidR="000D0249" w:rsidRPr="002634EC" w:rsidP="005B66C2" w14:paraId="2E98B616" w14:textId="77777777">
      <w:pPr>
        <w:spacing w:after="120"/>
        <w:rPr>
          <w:b/>
          <w:bCs/>
          <w:szCs w:val="22"/>
        </w:rPr>
      </w:pPr>
      <w:r w:rsidRPr="002634EC">
        <w:rPr>
          <w:b/>
          <w:bCs/>
          <w:szCs w:val="22"/>
        </w:rPr>
        <w:t>§ 90.155 Time in which station must be placed in operation.</w:t>
      </w:r>
    </w:p>
    <w:p w:rsidR="000D0249" w:rsidP="005B66C2" w14:paraId="338E311A" w14:textId="77777777">
      <w:pPr>
        <w:autoSpaceDE w:val="0"/>
        <w:autoSpaceDN w:val="0"/>
        <w:adjustRightInd w:val="0"/>
        <w:spacing w:after="120"/>
        <w:ind w:firstLine="720"/>
        <w:rPr>
          <w:szCs w:val="22"/>
        </w:rPr>
      </w:pPr>
      <w:r w:rsidRPr="002634EC">
        <w:rPr>
          <w:szCs w:val="22"/>
        </w:rPr>
        <w:t>(a) All stations authorized under this part, except as provided in §§ 90.528, 90.529, 90.629, 90.631(f), 90.665, and 90.685 must be placed in operation within twelve (12) months from the date of grant or the authorization cancels automatically and must be returned to the Commission.</w:t>
      </w:r>
    </w:p>
    <w:p w:rsidR="000D0249" w:rsidRPr="002634EC" w:rsidP="005B66C2" w14:paraId="70FE7461" w14:textId="77777777">
      <w:pPr>
        <w:autoSpaceDE w:val="0"/>
        <w:autoSpaceDN w:val="0"/>
        <w:adjustRightInd w:val="0"/>
        <w:spacing w:after="120"/>
        <w:ind w:firstLine="720"/>
        <w:rPr>
          <w:szCs w:val="22"/>
        </w:rPr>
      </w:pPr>
      <w:r>
        <w:rPr>
          <w:szCs w:val="22"/>
        </w:rPr>
        <w:t>* * * * *</w:t>
      </w:r>
    </w:p>
    <w:p w:rsidR="000D0249" w:rsidP="005B66C2" w14:paraId="6CC3A772" w14:textId="1A990740">
      <w:pPr>
        <w:pStyle w:val="ParaNum"/>
      </w:pPr>
      <w:r>
        <w:t xml:space="preserve">Amend </w:t>
      </w:r>
      <w:r w:rsidRPr="002634EC">
        <w:t xml:space="preserve">§ 90.175 by </w:t>
      </w:r>
      <w:r>
        <w:t xml:space="preserve">revising </w:t>
      </w:r>
      <w:r w:rsidRPr="002634EC">
        <w:t xml:space="preserve">paragraph (g) and </w:t>
      </w:r>
      <w:r>
        <w:t xml:space="preserve">removing </w:t>
      </w:r>
      <w:r w:rsidRPr="002634EC">
        <w:t>paragraph (j)(22)</w:t>
      </w:r>
      <w:r>
        <w:t>.</w:t>
      </w:r>
    </w:p>
    <w:p w:rsidR="000D0249" w:rsidRPr="002634EC" w:rsidP="005B66C2" w14:paraId="28FBA425" w14:textId="6EECC0B4">
      <w:pPr>
        <w:pStyle w:val="ParaNum"/>
        <w:numPr>
          <w:ilvl w:val="0"/>
          <w:numId w:val="0"/>
        </w:numPr>
        <w:ind w:left="720"/>
        <w:rPr>
          <w:szCs w:val="22"/>
        </w:rPr>
      </w:pPr>
      <w:r>
        <w:rPr>
          <w:szCs w:val="22"/>
        </w:rPr>
        <w:t>The revision</w:t>
      </w:r>
      <w:r w:rsidRPr="002634EC">
        <w:rPr>
          <w:szCs w:val="22"/>
        </w:rPr>
        <w:t xml:space="preserve"> read</w:t>
      </w:r>
      <w:r>
        <w:rPr>
          <w:szCs w:val="22"/>
        </w:rPr>
        <w:t>s</w:t>
      </w:r>
      <w:r w:rsidRPr="002634EC">
        <w:rPr>
          <w:szCs w:val="22"/>
        </w:rPr>
        <w:t xml:space="preserve"> as follows:</w:t>
      </w:r>
    </w:p>
    <w:p w:rsidR="000D0249" w:rsidRPr="002634EC" w:rsidP="005B66C2" w14:paraId="58D4F04A" w14:textId="77777777">
      <w:pPr>
        <w:spacing w:after="120"/>
        <w:rPr>
          <w:szCs w:val="22"/>
        </w:rPr>
      </w:pPr>
      <w:r w:rsidRPr="002634EC">
        <w:rPr>
          <w:b/>
          <w:bCs/>
          <w:szCs w:val="22"/>
        </w:rPr>
        <w:t>§ 90.175 Frequency coordinator requirements.</w:t>
      </w:r>
    </w:p>
    <w:p w:rsidR="000D0249" w:rsidRPr="002634EC" w:rsidP="005B66C2" w14:paraId="7C132058" w14:textId="77777777">
      <w:pPr>
        <w:autoSpaceDE w:val="0"/>
        <w:autoSpaceDN w:val="0"/>
        <w:adjustRightInd w:val="0"/>
        <w:spacing w:after="120"/>
        <w:rPr>
          <w:color w:val="000000"/>
          <w:szCs w:val="22"/>
        </w:rPr>
      </w:pPr>
      <w:r w:rsidRPr="002634EC">
        <w:rPr>
          <w:color w:val="000000"/>
          <w:szCs w:val="22"/>
        </w:rPr>
        <w:t>* * * * *</w:t>
      </w:r>
    </w:p>
    <w:p w:rsidR="000D0249" w:rsidRPr="002634EC" w:rsidP="005B66C2" w14:paraId="04CCCB88" w14:textId="77777777">
      <w:pPr>
        <w:autoSpaceDE w:val="0"/>
        <w:autoSpaceDN w:val="0"/>
        <w:adjustRightInd w:val="0"/>
        <w:spacing w:after="120"/>
        <w:ind w:firstLine="720"/>
        <w:rPr>
          <w:szCs w:val="22"/>
        </w:rPr>
      </w:pPr>
      <w:r w:rsidRPr="002634EC">
        <w:rPr>
          <w:szCs w:val="22"/>
        </w:rPr>
        <w:t xml:space="preserve">(g) </w:t>
      </w:r>
      <w:r w:rsidRPr="002501B9">
        <w:rPr>
          <w:i/>
        </w:rPr>
        <w:t>For frequencies between 1427-1432 MHz and 4940-4990 MHz</w:t>
      </w:r>
      <w:r>
        <w:rPr>
          <w:bCs/>
          <w:i/>
          <w:szCs w:val="22"/>
        </w:rPr>
        <w:t>:</w:t>
      </w:r>
      <w:r w:rsidRPr="002634EC">
        <w:rPr>
          <w:szCs w:val="22"/>
        </w:rPr>
        <w:t xml:space="preserve">  A statement is required as follows.</w:t>
      </w:r>
    </w:p>
    <w:p w:rsidR="000D0249" w:rsidRPr="002634EC" w:rsidP="005B66C2" w14:paraId="3FA8C1C0" w14:textId="0E0638D9">
      <w:pPr>
        <w:autoSpaceDE w:val="0"/>
        <w:autoSpaceDN w:val="0"/>
        <w:adjustRightInd w:val="0"/>
        <w:spacing w:after="120"/>
        <w:ind w:firstLine="720"/>
        <w:rPr>
          <w:szCs w:val="22"/>
        </w:rPr>
      </w:pPr>
      <w:r w:rsidRPr="002634EC">
        <w:rPr>
          <w:szCs w:val="22"/>
        </w:rPr>
        <w:t xml:space="preserve">(1) </w:t>
      </w:r>
      <w:r w:rsidRPr="002501B9">
        <w:rPr>
          <w:i/>
        </w:rPr>
        <w:t>For frequencies between 1427-1432 MHz</w:t>
      </w:r>
      <w:r>
        <w:rPr>
          <w:szCs w:val="22"/>
        </w:rPr>
        <w:t>:</w:t>
      </w:r>
      <w:r w:rsidRPr="002634EC">
        <w:rPr>
          <w:szCs w:val="22"/>
        </w:rPr>
        <w:t xml:space="preserve"> </w:t>
      </w:r>
      <w:r w:rsidR="003F376D">
        <w:rPr>
          <w:szCs w:val="22"/>
        </w:rPr>
        <w:t xml:space="preserve"> </w:t>
      </w:r>
      <w:r w:rsidRPr="002634EC">
        <w:rPr>
          <w:szCs w:val="22"/>
        </w:rPr>
        <w:t>A statement is required from the coordinator recommending the most appropriate frequency, operating power and area of operation in accordance with the requirements of § 90.259(b).</w:t>
      </w:r>
    </w:p>
    <w:p w:rsidR="000D0249" w:rsidRPr="002634EC" w:rsidP="005B66C2" w14:paraId="481DB612" w14:textId="1FBF988D">
      <w:pPr>
        <w:autoSpaceDE w:val="0"/>
        <w:autoSpaceDN w:val="0"/>
        <w:adjustRightInd w:val="0"/>
        <w:spacing w:after="120"/>
        <w:ind w:firstLine="720"/>
        <w:rPr>
          <w:szCs w:val="22"/>
        </w:rPr>
      </w:pPr>
      <w:r w:rsidRPr="002634EC">
        <w:rPr>
          <w:szCs w:val="22"/>
        </w:rPr>
        <w:t xml:space="preserve">(2) </w:t>
      </w:r>
      <w:r w:rsidRPr="002501B9">
        <w:rPr>
          <w:i/>
        </w:rPr>
        <w:t>For frequencies between 4940-4990 MHz</w:t>
      </w:r>
      <w:r>
        <w:rPr>
          <w:szCs w:val="22"/>
        </w:rPr>
        <w:t>:</w:t>
      </w:r>
      <w:r w:rsidRPr="002634EC">
        <w:rPr>
          <w:szCs w:val="22"/>
        </w:rPr>
        <w:t xml:space="preserve"> </w:t>
      </w:r>
      <w:r w:rsidR="003F376D">
        <w:rPr>
          <w:szCs w:val="22"/>
        </w:rPr>
        <w:t xml:space="preserve"> </w:t>
      </w:r>
      <w:r w:rsidRPr="002634EC">
        <w:rPr>
          <w:szCs w:val="22"/>
        </w:rPr>
        <w:t>A statement is required from the nationwide band manager recommending the most appropriate channel(s), bandwidth, operating power, and any other technical parameter which promotes robust and efficient use of the band while minimizing interference based on the standard for harmful interference specified in § 90.1211(a).</w:t>
      </w:r>
    </w:p>
    <w:p w:rsidR="000D0249" w:rsidRPr="002634EC" w:rsidP="005B66C2" w14:paraId="36DEA9C8" w14:textId="77777777">
      <w:pPr>
        <w:autoSpaceDE w:val="0"/>
        <w:autoSpaceDN w:val="0"/>
        <w:adjustRightInd w:val="0"/>
        <w:spacing w:after="120"/>
        <w:ind w:firstLine="720"/>
        <w:rPr>
          <w:szCs w:val="22"/>
        </w:rPr>
      </w:pPr>
      <w:r w:rsidRPr="002634EC">
        <w:rPr>
          <w:szCs w:val="22"/>
        </w:rPr>
        <w:t xml:space="preserve">(3) </w:t>
      </w:r>
      <w:r w:rsidRPr="002501B9">
        <w:rPr>
          <w:i/>
        </w:rPr>
        <w:t>Compliance date</w:t>
      </w:r>
      <w:r w:rsidRPr="002634EC">
        <w:rPr>
          <w:i/>
          <w:iCs/>
          <w:szCs w:val="22"/>
        </w:rPr>
        <w:t xml:space="preserve">.  </w:t>
      </w:r>
      <w:r w:rsidRPr="002634EC">
        <w:rPr>
          <w:szCs w:val="22"/>
        </w:rPr>
        <w:t xml:space="preserve">Paragraph (g)(2) of this section may contain information collection and/or recordkeeping requirements.  Compliance with paragraph (g)(2) will not be required until this paragraph (g)(3) is removed or contains a compliance date, which will not occur until the date specified in </w:t>
      </w:r>
      <w:r>
        <w:rPr>
          <w:szCs w:val="22"/>
        </w:rPr>
        <w:t>a final rule published by the FCC</w:t>
      </w:r>
      <w:r w:rsidRPr="002634EC">
        <w:rPr>
          <w:szCs w:val="22"/>
        </w:rPr>
        <w:t xml:space="preserve"> announcing that the Office of Management and Budget has completed review of any information collection requirements associated with </w:t>
      </w:r>
      <w:r>
        <w:rPr>
          <w:szCs w:val="22"/>
        </w:rPr>
        <w:t>paragraph (g)(2) of this section</w:t>
      </w:r>
      <w:r w:rsidRPr="002634EC">
        <w:rPr>
          <w:szCs w:val="22"/>
        </w:rPr>
        <w:t xml:space="preserve"> or that they have determined such review is not required, which date shall be no earlier than </w:t>
      </w:r>
      <w:r>
        <w:rPr>
          <w:szCs w:val="22"/>
        </w:rPr>
        <w:t>[INSERT date 1 YEAR after DATE OF PUBLICATION IN THE FEDERAL REGISTER]</w:t>
      </w:r>
      <w:r w:rsidRPr="002634EC">
        <w:rPr>
          <w:szCs w:val="22"/>
        </w:rPr>
        <w:t>.</w:t>
      </w:r>
    </w:p>
    <w:p w:rsidR="000D0249" w:rsidRPr="002634EC" w:rsidP="005B66C2" w14:paraId="17241DF3" w14:textId="77777777">
      <w:pPr>
        <w:autoSpaceDE w:val="0"/>
        <w:autoSpaceDN w:val="0"/>
        <w:adjustRightInd w:val="0"/>
        <w:spacing w:after="120"/>
        <w:rPr>
          <w:color w:val="000000"/>
          <w:szCs w:val="22"/>
        </w:rPr>
      </w:pPr>
      <w:r w:rsidRPr="002634EC">
        <w:rPr>
          <w:color w:val="000000"/>
          <w:szCs w:val="22"/>
        </w:rPr>
        <w:t>* * * * *</w:t>
      </w:r>
    </w:p>
    <w:p w:rsidR="000D0249" w:rsidRPr="002634EC" w:rsidP="005B66C2" w14:paraId="5F9DA0E8" w14:textId="7BB7D74C">
      <w:pPr>
        <w:pStyle w:val="ParaNum"/>
      </w:pPr>
      <w:r w:rsidRPr="002634EC">
        <w:t>Amend § 90.1207 by revising paragraph (d) and adding paragraphs (e)</w:t>
      </w:r>
      <w:r>
        <w:t xml:space="preserve">, </w:t>
      </w:r>
      <w:r w:rsidRPr="002634EC">
        <w:t>(f)</w:t>
      </w:r>
      <w:r>
        <w:t>,</w:t>
      </w:r>
      <w:r w:rsidRPr="002634EC">
        <w:t xml:space="preserve"> </w:t>
      </w:r>
      <w:r>
        <w:t xml:space="preserve">and (g) </w:t>
      </w:r>
      <w:r w:rsidRPr="002634EC">
        <w:t>to read as follows:</w:t>
      </w:r>
    </w:p>
    <w:p w:rsidR="000D0249" w:rsidRPr="002634EC" w:rsidP="005B66C2" w14:paraId="3D32D5DF" w14:textId="77777777">
      <w:pPr>
        <w:tabs>
          <w:tab w:val="center" w:pos="4680"/>
          <w:tab w:val="right" w:pos="9360"/>
        </w:tabs>
        <w:spacing w:after="120"/>
        <w:rPr>
          <w:b/>
          <w:szCs w:val="22"/>
        </w:rPr>
      </w:pPr>
      <w:r w:rsidRPr="002634EC">
        <w:rPr>
          <w:b/>
          <w:szCs w:val="22"/>
        </w:rPr>
        <w:t>§ 90.1207 Licensing.</w:t>
      </w:r>
    </w:p>
    <w:p w:rsidR="000D0249" w:rsidRPr="002634EC" w:rsidP="005B66C2" w14:paraId="6243B3EF" w14:textId="77777777">
      <w:pPr>
        <w:autoSpaceDE w:val="0"/>
        <w:autoSpaceDN w:val="0"/>
        <w:adjustRightInd w:val="0"/>
        <w:spacing w:after="120"/>
        <w:rPr>
          <w:color w:val="000000"/>
          <w:szCs w:val="22"/>
        </w:rPr>
      </w:pPr>
      <w:r w:rsidRPr="002634EC">
        <w:rPr>
          <w:color w:val="000000"/>
          <w:szCs w:val="22"/>
        </w:rPr>
        <w:t>* * * * *</w:t>
      </w:r>
    </w:p>
    <w:p w:rsidR="000D0249" w:rsidRPr="002634EC" w:rsidP="005B66C2" w14:paraId="5A5AD58D" w14:textId="77777777">
      <w:pPr>
        <w:autoSpaceDE w:val="0"/>
        <w:autoSpaceDN w:val="0"/>
        <w:adjustRightInd w:val="0"/>
        <w:spacing w:after="120"/>
        <w:ind w:firstLine="720"/>
        <w:rPr>
          <w:color w:val="000000"/>
          <w:szCs w:val="22"/>
        </w:rPr>
      </w:pPr>
      <w:r w:rsidRPr="002634EC">
        <w:rPr>
          <w:color w:val="000000"/>
          <w:szCs w:val="22"/>
        </w:rPr>
        <w:t xml:space="preserve">(d) Permanent fixed point-to-point and point-to-multipoint stations in the 4940-4990 MHz band must be licensed individually on a site-by-site basis.  Such fixed stations are accorded primary status.  Permanent fixed point-to-point and point-to-multipoint stations must use directional antennas with gains </w:t>
      </w:r>
      <w:r w:rsidRPr="002634EC">
        <w:rPr>
          <w:color w:val="000000"/>
          <w:szCs w:val="22"/>
        </w:rPr>
        <w:t xml:space="preserve">greater than 9 </w:t>
      </w:r>
      <w:r w:rsidRPr="002634EC">
        <w:rPr>
          <w:color w:val="000000"/>
          <w:szCs w:val="22"/>
        </w:rPr>
        <w:t>dBi</w:t>
      </w:r>
      <w:r w:rsidRPr="002634EC">
        <w:rPr>
          <w:color w:val="000000"/>
          <w:szCs w:val="22"/>
        </w:rPr>
        <w:t xml:space="preserve">. </w:t>
      </w:r>
    </w:p>
    <w:p w:rsidR="000D0249" w:rsidRPr="002634EC" w:rsidP="005B66C2" w14:paraId="69BF7A7B" w14:textId="6E739749">
      <w:pPr>
        <w:autoSpaceDE w:val="0"/>
        <w:autoSpaceDN w:val="0"/>
        <w:adjustRightInd w:val="0"/>
        <w:spacing w:after="120"/>
        <w:ind w:firstLine="720"/>
        <w:rPr>
          <w:color w:val="000000"/>
          <w:szCs w:val="22"/>
        </w:rPr>
      </w:pPr>
      <w:r w:rsidRPr="002634EC">
        <w:rPr>
          <w:color w:val="000000"/>
          <w:szCs w:val="22"/>
        </w:rPr>
        <w:t>(e) Applications for license in the 4940-4990 MHz band must include the following technical information.</w:t>
      </w:r>
    </w:p>
    <w:p w:rsidR="000D0249" w:rsidRPr="002634EC" w:rsidP="005B66C2" w14:paraId="71CAAEFA" w14:textId="77777777">
      <w:pPr>
        <w:autoSpaceDE w:val="0"/>
        <w:autoSpaceDN w:val="0"/>
        <w:adjustRightInd w:val="0"/>
        <w:spacing w:after="120"/>
        <w:ind w:firstLine="720"/>
        <w:rPr>
          <w:color w:val="000000"/>
          <w:szCs w:val="22"/>
        </w:rPr>
      </w:pPr>
      <w:r w:rsidRPr="002634EC">
        <w:rPr>
          <w:color w:val="000000"/>
          <w:szCs w:val="22"/>
        </w:rPr>
        <w:t>(1) The license for base/mobile, mobile-only or temporary fixed (1 year or less) stations will specify, among other parameters, the following technical information:</w:t>
      </w:r>
    </w:p>
    <w:p w:rsidR="000D0249" w:rsidRPr="002634EC" w:rsidP="005B66C2" w14:paraId="07A7950D" w14:textId="77777777">
      <w:pPr>
        <w:autoSpaceDE w:val="0"/>
        <w:autoSpaceDN w:val="0"/>
        <w:adjustRightInd w:val="0"/>
        <w:spacing w:after="120"/>
        <w:ind w:left="720"/>
        <w:rPr>
          <w:color w:val="000000"/>
          <w:szCs w:val="22"/>
        </w:rPr>
      </w:pPr>
      <w:r w:rsidRPr="002634EC">
        <w:rPr>
          <w:color w:val="000000"/>
          <w:szCs w:val="22"/>
        </w:rPr>
        <w:t>(i) Coordinates (base).</w:t>
      </w:r>
    </w:p>
    <w:p w:rsidR="000D0249" w:rsidRPr="002634EC" w:rsidP="005B66C2" w14:paraId="430DBA50" w14:textId="77777777">
      <w:pPr>
        <w:autoSpaceDE w:val="0"/>
        <w:autoSpaceDN w:val="0"/>
        <w:adjustRightInd w:val="0"/>
        <w:spacing w:after="120"/>
        <w:ind w:firstLine="720"/>
        <w:rPr>
          <w:color w:val="000000"/>
          <w:szCs w:val="22"/>
        </w:rPr>
      </w:pPr>
      <w:r w:rsidRPr="002634EC">
        <w:rPr>
          <w:color w:val="000000"/>
          <w:szCs w:val="22"/>
        </w:rPr>
        <w:t>(ii) Antenna height-to-tip (base and temporary fixed).</w:t>
      </w:r>
    </w:p>
    <w:p w:rsidR="000D0249" w:rsidRPr="002634EC" w:rsidP="005B66C2" w14:paraId="00B15773" w14:textId="77777777">
      <w:pPr>
        <w:autoSpaceDE w:val="0"/>
        <w:autoSpaceDN w:val="0"/>
        <w:adjustRightInd w:val="0"/>
        <w:spacing w:after="120"/>
        <w:ind w:firstLine="720"/>
        <w:rPr>
          <w:color w:val="000000"/>
          <w:szCs w:val="22"/>
        </w:rPr>
      </w:pPr>
      <w:r w:rsidRPr="002634EC">
        <w:rPr>
          <w:color w:val="000000"/>
          <w:szCs w:val="22"/>
        </w:rPr>
        <w:t>(iii) Antenna height above average terrain (base).</w:t>
      </w:r>
    </w:p>
    <w:p w:rsidR="000D0249" w:rsidRPr="002634EC" w:rsidP="005B66C2" w14:paraId="2E7475B9" w14:textId="77777777">
      <w:pPr>
        <w:autoSpaceDE w:val="0"/>
        <w:autoSpaceDN w:val="0"/>
        <w:adjustRightInd w:val="0"/>
        <w:spacing w:after="120"/>
        <w:ind w:firstLine="720"/>
        <w:rPr>
          <w:color w:val="000000"/>
          <w:szCs w:val="22"/>
        </w:rPr>
      </w:pPr>
      <w:r w:rsidRPr="002634EC">
        <w:rPr>
          <w:color w:val="000000"/>
          <w:szCs w:val="22"/>
        </w:rPr>
        <w:t>(iv) Center frequency, emission designator, and ERP.</w:t>
      </w:r>
    </w:p>
    <w:p w:rsidR="000D0249" w:rsidRPr="002634EC" w:rsidP="005B66C2" w14:paraId="44D514B9" w14:textId="77777777">
      <w:pPr>
        <w:autoSpaceDE w:val="0"/>
        <w:autoSpaceDN w:val="0"/>
        <w:adjustRightInd w:val="0"/>
        <w:spacing w:after="120"/>
        <w:ind w:firstLine="720"/>
        <w:rPr>
          <w:color w:val="000000"/>
          <w:szCs w:val="22"/>
        </w:rPr>
      </w:pPr>
      <w:r w:rsidRPr="002634EC">
        <w:rPr>
          <w:color w:val="000000"/>
          <w:szCs w:val="22"/>
        </w:rPr>
        <w:t>(v) Number of units (mobile and temporary fixed).</w:t>
      </w:r>
    </w:p>
    <w:p w:rsidR="000D0249" w:rsidRPr="002634EC" w:rsidP="005B66C2" w14:paraId="3D88CC5F" w14:textId="77777777">
      <w:pPr>
        <w:autoSpaceDE w:val="0"/>
        <w:autoSpaceDN w:val="0"/>
        <w:adjustRightInd w:val="0"/>
        <w:spacing w:after="120"/>
        <w:ind w:firstLine="720"/>
        <w:rPr>
          <w:color w:val="000000"/>
          <w:szCs w:val="22"/>
        </w:rPr>
      </w:pPr>
      <w:r w:rsidRPr="002634EC">
        <w:rPr>
          <w:color w:val="000000"/>
          <w:szCs w:val="22"/>
        </w:rPr>
        <w:t>(vi) Area of operation (mobile and temporary fixed), which shall be limited to the geographic area encompassing the legal jurisdiction of the licensee or, in case of a nongovernmental organization, the legal jurisdiction of the state or local governmental entity supporting the nongovernmental organization.  However, applicants may define their areas of operation outside of their areas of legal jurisdiction to assist public safety operations with the permission of the jurisdiction(s) in which the mobile and/or temporary fixed stations are to be operated.</w:t>
      </w:r>
    </w:p>
    <w:p w:rsidR="000D0249" w:rsidRPr="002634EC" w:rsidP="005B66C2" w14:paraId="44151B7F" w14:textId="77777777">
      <w:pPr>
        <w:autoSpaceDE w:val="0"/>
        <w:autoSpaceDN w:val="0"/>
        <w:adjustRightInd w:val="0"/>
        <w:spacing w:after="120"/>
        <w:ind w:firstLine="720"/>
        <w:rPr>
          <w:color w:val="000000"/>
          <w:szCs w:val="22"/>
        </w:rPr>
      </w:pPr>
      <w:r w:rsidRPr="002634EC">
        <w:rPr>
          <w:color w:val="000000"/>
          <w:szCs w:val="22"/>
        </w:rPr>
        <w:t>(2) The license for permanent fixed point-to-point, point-to-multipoint and fixed receiver stations must include, among other parameters, the following technical information:</w:t>
      </w:r>
    </w:p>
    <w:p w:rsidR="000D0249" w:rsidRPr="002634EC" w:rsidP="005B66C2" w14:paraId="78CCBFCF" w14:textId="77777777">
      <w:pPr>
        <w:autoSpaceDE w:val="0"/>
        <w:autoSpaceDN w:val="0"/>
        <w:adjustRightInd w:val="0"/>
        <w:spacing w:after="120"/>
        <w:ind w:left="720"/>
        <w:rPr>
          <w:color w:val="000000"/>
          <w:szCs w:val="22"/>
        </w:rPr>
      </w:pPr>
      <w:r w:rsidRPr="002634EC">
        <w:rPr>
          <w:color w:val="000000"/>
          <w:szCs w:val="22"/>
        </w:rPr>
        <w:t xml:space="preserve">(i) Transmitting station coordinates. </w:t>
      </w:r>
    </w:p>
    <w:p w:rsidR="000D0249" w:rsidRPr="002634EC" w:rsidP="005B66C2" w14:paraId="61E75EE2" w14:textId="77777777">
      <w:pPr>
        <w:autoSpaceDE w:val="0"/>
        <w:autoSpaceDN w:val="0"/>
        <w:adjustRightInd w:val="0"/>
        <w:spacing w:after="120"/>
        <w:ind w:left="720"/>
        <w:rPr>
          <w:color w:val="000000"/>
          <w:szCs w:val="22"/>
        </w:rPr>
      </w:pPr>
      <w:r w:rsidRPr="002634EC">
        <w:rPr>
          <w:color w:val="000000"/>
          <w:szCs w:val="22"/>
        </w:rPr>
        <w:t xml:space="preserve">(ii) Frequencies and polarizations. </w:t>
      </w:r>
    </w:p>
    <w:p w:rsidR="000D0249" w:rsidRPr="002634EC" w:rsidP="005B66C2" w14:paraId="042FF985" w14:textId="77777777">
      <w:pPr>
        <w:autoSpaceDE w:val="0"/>
        <w:autoSpaceDN w:val="0"/>
        <w:adjustRightInd w:val="0"/>
        <w:spacing w:after="120"/>
        <w:ind w:firstLine="720"/>
        <w:rPr>
          <w:color w:val="000000"/>
          <w:szCs w:val="22"/>
        </w:rPr>
      </w:pPr>
      <w:r w:rsidRPr="002634EC">
        <w:rPr>
          <w:color w:val="000000"/>
          <w:szCs w:val="22"/>
        </w:rPr>
        <w:t xml:space="preserve">(iii) For the transmitting equipment, the tolerance, effective isotropic radiated power, emission designator, and type of modulation (digital). </w:t>
      </w:r>
    </w:p>
    <w:p w:rsidR="000D0249" w:rsidRPr="002634EC" w:rsidP="005B66C2" w14:paraId="3F8408A2" w14:textId="77777777">
      <w:pPr>
        <w:autoSpaceDE w:val="0"/>
        <w:autoSpaceDN w:val="0"/>
        <w:adjustRightInd w:val="0"/>
        <w:spacing w:after="120"/>
        <w:ind w:firstLine="720"/>
        <w:rPr>
          <w:color w:val="000000"/>
          <w:szCs w:val="22"/>
        </w:rPr>
      </w:pPr>
      <w:r w:rsidRPr="002634EC">
        <w:rPr>
          <w:color w:val="000000"/>
          <w:szCs w:val="22"/>
        </w:rPr>
        <w:t xml:space="preserve">(iv) For the transmitting antenna(s), the model, gain, antenna center line height(s) above ground level and ground elevation above mean sea level. </w:t>
      </w:r>
    </w:p>
    <w:p w:rsidR="000D0249" w:rsidRPr="002634EC" w:rsidP="005B66C2" w14:paraId="474BF3DC" w14:textId="77777777">
      <w:pPr>
        <w:autoSpaceDE w:val="0"/>
        <w:autoSpaceDN w:val="0"/>
        <w:adjustRightInd w:val="0"/>
        <w:spacing w:after="120"/>
        <w:ind w:left="720"/>
        <w:rPr>
          <w:color w:val="000000"/>
          <w:szCs w:val="22"/>
        </w:rPr>
      </w:pPr>
      <w:r w:rsidRPr="002634EC">
        <w:rPr>
          <w:color w:val="000000"/>
          <w:szCs w:val="22"/>
        </w:rPr>
        <w:t xml:space="preserve">(v) Receiving station coordinates. </w:t>
      </w:r>
    </w:p>
    <w:p w:rsidR="000D0249" w:rsidRPr="002634EC" w:rsidP="005B66C2" w14:paraId="47D723ED" w14:textId="77777777">
      <w:pPr>
        <w:autoSpaceDE w:val="0"/>
        <w:autoSpaceDN w:val="0"/>
        <w:adjustRightInd w:val="0"/>
        <w:spacing w:after="120"/>
        <w:ind w:firstLine="720"/>
        <w:rPr>
          <w:color w:val="000000"/>
          <w:szCs w:val="22"/>
        </w:rPr>
      </w:pPr>
      <w:r w:rsidRPr="002634EC">
        <w:rPr>
          <w:color w:val="000000"/>
          <w:szCs w:val="22"/>
        </w:rPr>
        <w:t xml:space="preserve">(vi) For the receiving antenna(s), the model, gain, antenna center line height(s) above ground level and ground elevation above mean sea level. </w:t>
      </w:r>
    </w:p>
    <w:p w:rsidR="000D0249" w:rsidRPr="002634EC" w:rsidP="005B66C2" w14:paraId="238A0F3F" w14:textId="77777777">
      <w:pPr>
        <w:autoSpaceDE w:val="0"/>
        <w:autoSpaceDN w:val="0"/>
        <w:adjustRightInd w:val="0"/>
        <w:spacing w:after="120"/>
        <w:ind w:left="720"/>
        <w:rPr>
          <w:color w:val="000000"/>
          <w:szCs w:val="22"/>
        </w:rPr>
      </w:pPr>
      <w:r w:rsidRPr="002634EC">
        <w:rPr>
          <w:color w:val="000000"/>
          <w:szCs w:val="22"/>
        </w:rPr>
        <w:t xml:space="preserve">(vii) Path azimuth and distance.  </w:t>
      </w:r>
    </w:p>
    <w:p w:rsidR="000D0249" w:rsidRPr="002634EC" w:rsidP="005B66C2" w14:paraId="027796B1" w14:textId="77777777">
      <w:pPr>
        <w:autoSpaceDE w:val="0"/>
        <w:autoSpaceDN w:val="0"/>
        <w:adjustRightInd w:val="0"/>
        <w:spacing w:after="120"/>
        <w:ind w:firstLine="720"/>
        <w:rPr>
          <w:color w:val="000000"/>
          <w:szCs w:val="22"/>
        </w:rPr>
      </w:pPr>
      <w:r w:rsidRPr="002634EC">
        <w:rPr>
          <w:color w:val="000000"/>
          <w:szCs w:val="22"/>
        </w:rPr>
        <w:t>(f) Licensees holding active authorizations for the 4940-4990 MHz band on [INSERT DATE 30 DAYS AFTER DATE OF PUBLICATION IN THE FEDERAL REGISTER] shall file the complete site-by-site information described in paragraph (e)</w:t>
      </w:r>
      <w:r>
        <w:rPr>
          <w:color w:val="000000"/>
          <w:szCs w:val="22"/>
        </w:rPr>
        <w:t xml:space="preserve"> of this section</w:t>
      </w:r>
      <w:r w:rsidRPr="002634EC">
        <w:rPr>
          <w:color w:val="000000"/>
          <w:szCs w:val="22"/>
        </w:rPr>
        <w:t xml:space="preserve"> for their existing radio systems in the Commission’s Universal Licensing System by the compliance date specified in paragraph (g)</w:t>
      </w:r>
      <w:r>
        <w:rPr>
          <w:color w:val="000000"/>
          <w:szCs w:val="22"/>
        </w:rPr>
        <w:t xml:space="preserve"> of this section</w:t>
      </w:r>
      <w:r w:rsidRPr="002634EC">
        <w:rPr>
          <w:color w:val="000000"/>
          <w:szCs w:val="22"/>
        </w:rPr>
        <w:t>.</w:t>
      </w:r>
    </w:p>
    <w:p w:rsidR="000D0249" w:rsidRPr="002634EC" w:rsidP="005B66C2" w14:paraId="40DCBD9F" w14:textId="77777777">
      <w:pPr>
        <w:autoSpaceDE w:val="0"/>
        <w:autoSpaceDN w:val="0"/>
        <w:adjustRightInd w:val="0"/>
        <w:spacing w:after="120"/>
        <w:ind w:firstLine="720"/>
        <w:rPr>
          <w:color w:val="000000"/>
          <w:szCs w:val="22"/>
        </w:rPr>
      </w:pPr>
      <w:r w:rsidRPr="002634EC">
        <w:rPr>
          <w:color w:val="000000"/>
          <w:szCs w:val="22"/>
        </w:rPr>
        <w:t xml:space="preserve">(g) Paragraphs (e) and (f) of this section may contain information collection and/or recordkeeping requirements.  Compliance with paragraphs (e) and (f) will not be required until this paragraph (g) is removed or contains a compliance date, which will not occur until </w:t>
      </w:r>
      <w:r w:rsidRPr="002634EC">
        <w:rPr>
          <w:color w:val="000000"/>
          <w:szCs w:val="22"/>
          <w:shd w:val="clear" w:color="auto" w:fill="FFFFFF"/>
        </w:rPr>
        <w:t xml:space="preserve">the date specified in </w:t>
      </w:r>
      <w:r>
        <w:rPr>
          <w:color w:val="000000"/>
          <w:szCs w:val="22"/>
          <w:shd w:val="clear" w:color="auto" w:fill="FFFFFF"/>
        </w:rPr>
        <w:t>a final rule published by the FCC</w:t>
      </w:r>
      <w:r w:rsidRPr="002634EC">
        <w:rPr>
          <w:color w:val="000000"/>
          <w:szCs w:val="22"/>
          <w:shd w:val="clear" w:color="auto" w:fill="FFFFFF"/>
        </w:rPr>
        <w:t xml:space="preserve"> announcing that the Office of Management and Budget has completed review of any information collection requirements associated with </w:t>
      </w:r>
      <w:r>
        <w:rPr>
          <w:color w:val="000000"/>
          <w:szCs w:val="22"/>
          <w:shd w:val="clear" w:color="auto" w:fill="FFFFFF"/>
        </w:rPr>
        <w:t>paragraphs (e) and (f) of this section</w:t>
      </w:r>
      <w:r w:rsidRPr="002634EC">
        <w:rPr>
          <w:color w:val="000000"/>
          <w:szCs w:val="22"/>
          <w:shd w:val="clear" w:color="auto" w:fill="FFFFFF"/>
        </w:rPr>
        <w:t xml:space="preserve"> or that they have determined such review is not required, which date shall be no earlier than </w:t>
      </w:r>
      <w:r>
        <w:rPr>
          <w:color w:val="000000"/>
          <w:szCs w:val="22"/>
          <w:shd w:val="clear" w:color="auto" w:fill="FFFFFF"/>
        </w:rPr>
        <w:t>[INSERT DATE 1 YEAR AFTER DATE OF PUBLICATION IN THE FEDERAL REGISTER]</w:t>
      </w:r>
      <w:r w:rsidRPr="002634EC">
        <w:rPr>
          <w:i/>
          <w:iCs/>
          <w:color w:val="000000"/>
          <w:szCs w:val="22"/>
          <w:shd w:val="clear" w:color="auto" w:fill="FFFFFF"/>
        </w:rPr>
        <w:t>.</w:t>
      </w:r>
      <w:r w:rsidRPr="002634EC">
        <w:rPr>
          <w:color w:val="000000"/>
          <w:szCs w:val="22"/>
        </w:rPr>
        <w:t xml:space="preserve">  </w:t>
      </w:r>
    </w:p>
    <w:p w:rsidR="000D0249" w:rsidRPr="002634EC" w:rsidP="005B66C2" w14:paraId="6F6354E1" w14:textId="56CB6F86">
      <w:pPr>
        <w:pStyle w:val="ParaNum"/>
      </w:pPr>
      <w:r>
        <w:t>Amend</w:t>
      </w:r>
      <w:r w:rsidRPr="002634EC">
        <w:t xml:space="preserve"> § 90.1209</w:t>
      </w:r>
      <w:r>
        <w:t xml:space="preserve"> by</w:t>
      </w:r>
      <w:r w:rsidRPr="002634EC">
        <w:t xml:space="preserve"> revis</w:t>
      </w:r>
      <w:r>
        <w:t>ing</w:t>
      </w:r>
      <w:r w:rsidRPr="002634EC">
        <w:t xml:space="preserve"> paragraph (d) to read as follows:</w:t>
      </w:r>
    </w:p>
    <w:p w:rsidR="000D0249" w:rsidRPr="002634EC" w:rsidP="005B66C2" w14:paraId="50BC1D98" w14:textId="77777777">
      <w:pPr>
        <w:spacing w:after="120"/>
        <w:rPr>
          <w:color w:val="000000"/>
          <w:szCs w:val="22"/>
        </w:rPr>
      </w:pPr>
      <w:r w:rsidRPr="002634EC">
        <w:rPr>
          <w:b/>
          <w:color w:val="000000"/>
          <w:szCs w:val="22"/>
        </w:rPr>
        <w:t>§ 90.1209 Policies governing the use of the 4940-4990 MHz band.</w:t>
      </w:r>
    </w:p>
    <w:p w:rsidR="000D0249" w:rsidRPr="002634EC" w:rsidP="005B66C2" w14:paraId="5BC832C0" w14:textId="77777777">
      <w:pPr>
        <w:autoSpaceDE w:val="0"/>
        <w:autoSpaceDN w:val="0"/>
        <w:adjustRightInd w:val="0"/>
        <w:spacing w:after="120"/>
        <w:rPr>
          <w:color w:val="000000"/>
          <w:szCs w:val="22"/>
        </w:rPr>
      </w:pPr>
      <w:r w:rsidRPr="002634EC">
        <w:rPr>
          <w:color w:val="000000"/>
          <w:szCs w:val="22"/>
        </w:rPr>
        <w:t>* * * * *</w:t>
      </w:r>
    </w:p>
    <w:p w:rsidR="000D0249" w:rsidRPr="002634EC" w:rsidP="005B66C2" w14:paraId="2A4FC41F" w14:textId="77777777">
      <w:pPr>
        <w:autoSpaceDE w:val="0"/>
        <w:autoSpaceDN w:val="0"/>
        <w:adjustRightInd w:val="0"/>
        <w:spacing w:after="120"/>
        <w:ind w:firstLine="720"/>
        <w:rPr>
          <w:szCs w:val="22"/>
        </w:rPr>
      </w:pPr>
      <w:r w:rsidRPr="002634EC">
        <w:rPr>
          <w:color w:val="000000"/>
          <w:szCs w:val="22"/>
        </w:rPr>
        <w:t xml:space="preserve">(d) Stations must be placed into operation within twelve (12) months from the date of grant in accordance with </w:t>
      </w:r>
      <w:r w:rsidRPr="002634EC">
        <w:rPr>
          <w:szCs w:val="22"/>
        </w:rPr>
        <w:t>§ 90.155.  Licensees of temporary fixed stations must place at least one such station in operation within twelve months of license grant.</w:t>
      </w:r>
    </w:p>
    <w:p w:rsidR="000D0249" w:rsidRPr="002501B9" w:rsidP="005B66C2" w14:paraId="5EE31D6A" w14:textId="161FB631">
      <w:pPr>
        <w:pStyle w:val="ParaNum"/>
      </w:pPr>
      <w:r>
        <w:t>Amend</w:t>
      </w:r>
      <w:r w:rsidRPr="002634EC">
        <w:t xml:space="preserve"> § </w:t>
      </w:r>
      <w:r w:rsidRPr="002501B9">
        <w:t>90.1213</w:t>
      </w:r>
      <w:r>
        <w:t xml:space="preserve"> by revising paragraphs (a) </w:t>
      </w:r>
      <w:r w:rsidRPr="002501B9">
        <w:t xml:space="preserve">introductory text and (b) </w:t>
      </w:r>
      <w:r>
        <w:t>to read</w:t>
      </w:r>
      <w:r w:rsidRPr="002501B9">
        <w:t xml:space="preserve"> as follows:</w:t>
      </w:r>
    </w:p>
    <w:p w:rsidR="000D0249" w:rsidRPr="002634EC" w:rsidP="005B66C2" w14:paraId="49EC44BF" w14:textId="77777777">
      <w:pPr>
        <w:spacing w:after="120"/>
        <w:rPr>
          <w:color w:val="000000"/>
          <w:szCs w:val="22"/>
        </w:rPr>
      </w:pPr>
      <w:r w:rsidRPr="002634EC">
        <w:rPr>
          <w:b/>
          <w:color w:val="000000"/>
          <w:szCs w:val="22"/>
        </w:rPr>
        <w:t>§ 90.1213 Band plan.</w:t>
      </w:r>
    </w:p>
    <w:p w:rsidR="000D0249" w:rsidRPr="002634EC" w:rsidP="005B66C2" w14:paraId="08163A0B" w14:textId="77777777">
      <w:pPr>
        <w:autoSpaceDE w:val="0"/>
        <w:autoSpaceDN w:val="0"/>
        <w:adjustRightInd w:val="0"/>
        <w:spacing w:after="120"/>
        <w:ind w:firstLine="720"/>
        <w:rPr>
          <w:color w:val="000000"/>
          <w:szCs w:val="22"/>
        </w:rPr>
      </w:pPr>
      <w:r w:rsidRPr="002634EC">
        <w:rPr>
          <w:color w:val="000000"/>
          <w:szCs w:val="22"/>
        </w:rPr>
        <w:t xml:space="preserve">(a)  The following table lists center frequencies for channels in the 4940-4990 MHz band.  Channel numbers 1 through 5 and 14 through 18 are 1 MHz bandwidth channels, and channel numbers 6 through 13 are 5 MHz bandwidth channels. </w:t>
      </w:r>
    </w:p>
    <w:p w:rsidR="000D0249" w:rsidRPr="002634EC" w:rsidP="005B66C2" w14:paraId="57BD65A0" w14:textId="77777777">
      <w:pPr>
        <w:autoSpaceDE w:val="0"/>
        <w:autoSpaceDN w:val="0"/>
        <w:adjustRightInd w:val="0"/>
        <w:spacing w:after="120"/>
        <w:rPr>
          <w:color w:val="000000"/>
          <w:szCs w:val="22"/>
        </w:rPr>
      </w:pPr>
      <w:r w:rsidRPr="002634EC">
        <w:rPr>
          <w:color w:val="000000"/>
          <w:szCs w:val="22"/>
        </w:rPr>
        <w:t>* * *</w:t>
      </w:r>
      <w:r>
        <w:rPr>
          <w:color w:val="000000"/>
          <w:szCs w:val="22"/>
        </w:rPr>
        <w:t xml:space="preserve"> * *</w:t>
      </w:r>
    </w:p>
    <w:p w:rsidR="000D0249" w:rsidRPr="002634EC" w:rsidP="005B66C2" w14:paraId="17F09CB8" w14:textId="77777777">
      <w:pPr>
        <w:autoSpaceDE w:val="0"/>
        <w:autoSpaceDN w:val="0"/>
        <w:adjustRightInd w:val="0"/>
        <w:spacing w:after="120"/>
        <w:ind w:firstLine="720"/>
        <w:rPr>
          <w:szCs w:val="22"/>
        </w:rPr>
      </w:pPr>
      <w:r w:rsidRPr="002634EC">
        <w:rPr>
          <w:color w:val="000000"/>
          <w:szCs w:val="22"/>
        </w:rPr>
        <w:t xml:space="preserve">(b) </w:t>
      </w:r>
      <w:r w:rsidRPr="002634EC">
        <w:rPr>
          <w:szCs w:val="22"/>
        </w:rPr>
        <w:t xml:space="preserve"> The channels listed in the table in paragraph (a) of this section may be aggregated in any manner up to 50 MHz for wider bandwidth operation.  Nonetheless, applicants should request no more bandwidth than necessary for a particular use.</w:t>
      </w:r>
    </w:p>
    <w:p w:rsidR="000D0249" w:rsidRPr="002634EC" w:rsidP="005B66C2" w14:paraId="04B90069" w14:textId="599D3770">
      <w:pPr>
        <w:pStyle w:val="ParaNum"/>
      </w:pPr>
      <w:r>
        <w:t>Amend §</w:t>
      </w:r>
      <w:r w:rsidRPr="002634EC">
        <w:t xml:space="preserve"> 90.1215 by revising the introductory text</w:t>
      </w:r>
      <w:r>
        <w:t xml:space="preserve"> and</w:t>
      </w:r>
      <w:r w:rsidRPr="002634EC">
        <w:t xml:space="preserve"> paragraph (a)(1) and adding paragraph (f) to read as follows: </w:t>
      </w:r>
    </w:p>
    <w:p w:rsidR="000D0249" w:rsidRPr="002634EC" w:rsidP="005B66C2" w14:paraId="48516D26" w14:textId="77777777">
      <w:pPr>
        <w:autoSpaceDE w:val="0"/>
        <w:autoSpaceDN w:val="0"/>
        <w:adjustRightInd w:val="0"/>
        <w:spacing w:after="120"/>
        <w:rPr>
          <w:b/>
          <w:szCs w:val="22"/>
        </w:rPr>
      </w:pPr>
      <w:r w:rsidRPr="002634EC">
        <w:rPr>
          <w:b/>
          <w:bCs/>
          <w:szCs w:val="22"/>
        </w:rPr>
        <w:t>§ 90.1215 Power limits.</w:t>
      </w:r>
    </w:p>
    <w:p w:rsidR="000D0249" w:rsidRPr="002634EC" w:rsidP="005B66C2" w14:paraId="76D51CB3" w14:textId="77777777">
      <w:pPr>
        <w:spacing w:after="120"/>
        <w:ind w:firstLine="720"/>
        <w:rPr>
          <w:szCs w:val="22"/>
        </w:rPr>
      </w:pPr>
      <w:r w:rsidRPr="002634EC">
        <w:rPr>
          <w:szCs w:val="22"/>
        </w:rPr>
        <w:t>Except as provided in paragraph (f)</w:t>
      </w:r>
      <w:r>
        <w:rPr>
          <w:szCs w:val="22"/>
        </w:rPr>
        <w:t xml:space="preserve"> of this section</w:t>
      </w:r>
      <w:r w:rsidRPr="002634EC">
        <w:rPr>
          <w:szCs w:val="22"/>
        </w:rPr>
        <w:t>, the transmitting power of stations operating in the 4940-4990 MHz band must not exceed the maximum limits in this section.</w:t>
      </w:r>
    </w:p>
    <w:p w:rsidR="000D0249" w:rsidP="005B66C2" w14:paraId="68BAED52" w14:textId="77777777">
      <w:pPr>
        <w:spacing w:after="120"/>
        <w:ind w:firstLine="720"/>
        <w:rPr>
          <w:szCs w:val="22"/>
        </w:rPr>
      </w:pPr>
      <w:r w:rsidRPr="002634EC">
        <w:rPr>
          <w:szCs w:val="22"/>
        </w:rPr>
        <w:t>(a)(1) For base, mobile, and temporary fixed operations, the maximum conducted output power must not exceed:</w:t>
      </w:r>
    </w:p>
    <w:p w:rsidR="000D0249" w:rsidRPr="00C233DE" w:rsidP="005B66C2" w14:paraId="662F4B03" w14:textId="77777777">
      <w:pPr>
        <w:spacing w:after="120"/>
        <w:jc w:val="center"/>
        <w:rPr>
          <w:b/>
          <w:szCs w:val="22"/>
        </w:rPr>
      </w:pPr>
      <w:r w:rsidRPr="00C233DE">
        <w:rPr>
          <w:b/>
          <w:szCs w:val="22"/>
        </w:rPr>
        <w:t>Table 1 to Paragraph (a)(1)</w:t>
      </w:r>
    </w:p>
    <w:tbl>
      <w:tblPr>
        <w:tblW w:w="3511"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
      <w:tblGrid>
        <w:gridCol w:w="1786"/>
        <w:gridCol w:w="2346"/>
        <w:gridCol w:w="2429"/>
      </w:tblGrid>
      <w:tr w14:paraId="038B1BFE" w14:textId="77777777" w:rsidTr="002501B9">
        <w:tblPrEx>
          <w:tblW w:w="3511"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vAlign w:val="bottom"/>
            <w:hideMark/>
          </w:tcPr>
          <w:p w:rsidR="000D0249" w:rsidRPr="002634EC" w:rsidP="005B66C2" w14:paraId="3F5DA554" w14:textId="77777777">
            <w:pPr>
              <w:spacing w:after="120"/>
              <w:jc w:val="center"/>
              <w:rPr>
                <w:b/>
                <w:bCs/>
                <w:szCs w:val="22"/>
              </w:rPr>
            </w:pPr>
            <w:r w:rsidRPr="002634EC">
              <w:rPr>
                <w:b/>
                <w:bCs/>
                <w:szCs w:val="22"/>
              </w:rPr>
              <w:t>Channel bandwidth (MHz)</w:t>
            </w:r>
          </w:p>
        </w:tc>
        <w:tc>
          <w:tcPr>
            <w:tcW w:w="1788" w:type="pct"/>
            <w:tcBorders>
              <w:top w:val="single" w:sz="6" w:space="0" w:color="000000"/>
              <w:left w:val="single" w:sz="6" w:space="0" w:color="000000"/>
              <w:bottom w:val="single" w:sz="6" w:space="0" w:color="000000"/>
              <w:right w:val="single" w:sz="6" w:space="0" w:color="000000"/>
            </w:tcBorders>
            <w:tcMar>
              <w:top w:w="14" w:type="dxa"/>
            </w:tcMar>
            <w:vAlign w:val="bottom"/>
            <w:hideMark/>
          </w:tcPr>
          <w:p w:rsidR="000D0249" w:rsidRPr="002634EC" w:rsidP="005B66C2" w14:paraId="069C6F4C" w14:textId="77777777">
            <w:pPr>
              <w:spacing w:after="120"/>
              <w:jc w:val="center"/>
              <w:rPr>
                <w:b/>
                <w:bCs/>
                <w:szCs w:val="22"/>
              </w:rPr>
            </w:pPr>
            <w:r w:rsidRPr="002634EC">
              <w:rPr>
                <w:b/>
                <w:bCs/>
                <w:szCs w:val="22"/>
              </w:rPr>
              <w:t>Low power</w:t>
            </w:r>
            <w:r w:rsidRPr="002634EC">
              <w:rPr>
                <w:b/>
                <w:bCs/>
                <w:szCs w:val="22"/>
              </w:rPr>
              <w:br/>
              <w:t>maximum conducted</w:t>
            </w:r>
            <w:r w:rsidRPr="002634EC">
              <w:rPr>
                <w:b/>
                <w:bCs/>
                <w:szCs w:val="22"/>
              </w:rPr>
              <w:br/>
              <w:t>output power (dBm)</w:t>
            </w:r>
          </w:p>
        </w:tc>
        <w:tc>
          <w:tcPr>
            <w:tcW w:w="1851" w:type="pct"/>
            <w:tcBorders>
              <w:top w:val="single" w:sz="6" w:space="0" w:color="000000"/>
              <w:left w:val="single" w:sz="6" w:space="0" w:color="000000"/>
              <w:bottom w:val="single" w:sz="6" w:space="0" w:color="000000"/>
              <w:right w:val="single" w:sz="6" w:space="0" w:color="000000"/>
            </w:tcBorders>
            <w:tcMar>
              <w:top w:w="14" w:type="dxa"/>
            </w:tcMar>
            <w:vAlign w:val="bottom"/>
            <w:hideMark/>
          </w:tcPr>
          <w:p w:rsidR="000D0249" w:rsidRPr="002634EC" w:rsidP="005B66C2" w14:paraId="3A6659AD" w14:textId="77777777">
            <w:pPr>
              <w:spacing w:after="120"/>
              <w:jc w:val="center"/>
              <w:rPr>
                <w:b/>
                <w:bCs/>
                <w:szCs w:val="22"/>
              </w:rPr>
            </w:pPr>
            <w:r w:rsidRPr="002634EC">
              <w:rPr>
                <w:b/>
                <w:bCs/>
                <w:szCs w:val="22"/>
              </w:rPr>
              <w:t>High power maximum</w:t>
            </w:r>
            <w:r w:rsidRPr="002634EC">
              <w:rPr>
                <w:b/>
                <w:bCs/>
                <w:szCs w:val="22"/>
              </w:rPr>
              <w:br/>
              <w:t>conducted output</w:t>
            </w:r>
            <w:r w:rsidRPr="002634EC">
              <w:rPr>
                <w:b/>
                <w:bCs/>
                <w:szCs w:val="22"/>
              </w:rPr>
              <w:br/>
              <w:t>power (dBm)</w:t>
            </w:r>
          </w:p>
        </w:tc>
      </w:tr>
      <w:tr w14:paraId="658D16DC" w14:textId="77777777" w:rsidTr="002501B9">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0ABD8018" w14:textId="77777777">
            <w:pPr>
              <w:spacing w:after="120"/>
              <w:rPr>
                <w:szCs w:val="22"/>
              </w:rPr>
            </w:pPr>
            <w:r w:rsidRPr="002634EC">
              <w:rPr>
                <w:szCs w:val="22"/>
              </w:rPr>
              <w:t>1</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22E7E1A0" w14:textId="77777777">
            <w:pPr>
              <w:spacing w:after="120"/>
              <w:jc w:val="right"/>
              <w:rPr>
                <w:szCs w:val="22"/>
              </w:rPr>
            </w:pPr>
            <w:r w:rsidRPr="002634EC">
              <w:rPr>
                <w:szCs w:val="22"/>
              </w:rPr>
              <w:t>7</w:t>
            </w:r>
          </w:p>
        </w:tc>
        <w:tc>
          <w:tcPr>
            <w:tcW w:w="1851"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34C786DA" w14:textId="77777777">
            <w:pPr>
              <w:spacing w:after="120"/>
              <w:jc w:val="right"/>
              <w:rPr>
                <w:szCs w:val="22"/>
              </w:rPr>
            </w:pPr>
            <w:r w:rsidRPr="002634EC">
              <w:rPr>
                <w:szCs w:val="22"/>
              </w:rPr>
              <w:t>20</w:t>
            </w:r>
          </w:p>
        </w:tc>
      </w:tr>
      <w:tr w14:paraId="598A252C" w14:textId="77777777" w:rsidTr="002501B9">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70B2E291" w14:textId="77777777">
            <w:pPr>
              <w:spacing w:after="120"/>
              <w:rPr>
                <w:szCs w:val="22"/>
              </w:rPr>
            </w:pPr>
            <w:r w:rsidRPr="002634EC">
              <w:rPr>
                <w:szCs w:val="22"/>
              </w:rPr>
              <w:t>5</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19AABD0E" w14:textId="77777777">
            <w:pPr>
              <w:spacing w:after="120"/>
              <w:jc w:val="right"/>
              <w:rPr>
                <w:szCs w:val="22"/>
              </w:rPr>
            </w:pPr>
            <w:r w:rsidRPr="002634EC">
              <w:rPr>
                <w:szCs w:val="22"/>
              </w:rPr>
              <w:t>14</w:t>
            </w:r>
          </w:p>
        </w:tc>
        <w:tc>
          <w:tcPr>
            <w:tcW w:w="1851"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4623769C" w14:textId="77777777">
            <w:pPr>
              <w:spacing w:after="120"/>
              <w:jc w:val="right"/>
              <w:rPr>
                <w:szCs w:val="22"/>
              </w:rPr>
            </w:pPr>
            <w:r w:rsidRPr="002634EC">
              <w:rPr>
                <w:szCs w:val="22"/>
              </w:rPr>
              <w:t>27</w:t>
            </w:r>
          </w:p>
        </w:tc>
      </w:tr>
      <w:tr w14:paraId="43FD3402" w14:textId="77777777" w:rsidTr="002501B9">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23C0F568" w14:textId="77777777">
            <w:pPr>
              <w:spacing w:after="120"/>
              <w:rPr>
                <w:szCs w:val="22"/>
              </w:rPr>
            </w:pPr>
            <w:r w:rsidRPr="002634EC">
              <w:rPr>
                <w:szCs w:val="22"/>
              </w:rPr>
              <w:t>10</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3C936A40" w14:textId="77777777">
            <w:pPr>
              <w:spacing w:after="120"/>
              <w:jc w:val="right"/>
              <w:rPr>
                <w:szCs w:val="22"/>
              </w:rPr>
            </w:pPr>
            <w:r w:rsidRPr="002634EC">
              <w:rPr>
                <w:szCs w:val="22"/>
              </w:rPr>
              <w:t>17</w:t>
            </w:r>
          </w:p>
        </w:tc>
        <w:tc>
          <w:tcPr>
            <w:tcW w:w="1851"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7E60006C" w14:textId="77777777">
            <w:pPr>
              <w:spacing w:after="120"/>
              <w:jc w:val="right"/>
              <w:rPr>
                <w:szCs w:val="22"/>
              </w:rPr>
            </w:pPr>
            <w:r w:rsidRPr="002634EC">
              <w:rPr>
                <w:szCs w:val="22"/>
              </w:rPr>
              <w:t>30</w:t>
            </w:r>
          </w:p>
        </w:tc>
      </w:tr>
      <w:tr w14:paraId="3A716AB8" w14:textId="77777777" w:rsidTr="002501B9">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63C10578" w14:textId="77777777">
            <w:pPr>
              <w:spacing w:after="120"/>
              <w:rPr>
                <w:szCs w:val="22"/>
              </w:rPr>
            </w:pPr>
            <w:r w:rsidRPr="002634EC">
              <w:rPr>
                <w:szCs w:val="22"/>
              </w:rPr>
              <w:t>15</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7EFBB723" w14:textId="77777777">
            <w:pPr>
              <w:spacing w:after="120"/>
              <w:jc w:val="right"/>
              <w:rPr>
                <w:szCs w:val="22"/>
              </w:rPr>
            </w:pPr>
            <w:r w:rsidRPr="002634EC">
              <w:rPr>
                <w:szCs w:val="22"/>
              </w:rPr>
              <w:t>18.8</w:t>
            </w:r>
          </w:p>
        </w:tc>
        <w:tc>
          <w:tcPr>
            <w:tcW w:w="1851"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19ADC529" w14:textId="77777777">
            <w:pPr>
              <w:spacing w:after="120"/>
              <w:jc w:val="right"/>
              <w:rPr>
                <w:szCs w:val="22"/>
              </w:rPr>
            </w:pPr>
            <w:r w:rsidRPr="002634EC">
              <w:rPr>
                <w:szCs w:val="22"/>
              </w:rPr>
              <w:t>31.8</w:t>
            </w:r>
          </w:p>
        </w:tc>
      </w:tr>
      <w:tr w14:paraId="32FFB2E6" w14:textId="77777777" w:rsidTr="002501B9">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2C17F0DB" w14:textId="77777777">
            <w:pPr>
              <w:spacing w:after="120"/>
              <w:rPr>
                <w:szCs w:val="22"/>
              </w:rPr>
            </w:pPr>
            <w:r w:rsidRPr="002634EC">
              <w:rPr>
                <w:szCs w:val="22"/>
              </w:rPr>
              <w:t>20</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2D7FDD7F" w14:textId="77777777">
            <w:pPr>
              <w:spacing w:after="120"/>
              <w:jc w:val="right"/>
              <w:rPr>
                <w:szCs w:val="22"/>
              </w:rPr>
            </w:pPr>
            <w:r w:rsidRPr="002634EC">
              <w:rPr>
                <w:szCs w:val="22"/>
              </w:rPr>
              <w:t>20</w:t>
            </w:r>
          </w:p>
        </w:tc>
        <w:tc>
          <w:tcPr>
            <w:tcW w:w="1851" w:type="pct"/>
            <w:tcBorders>
              <w:top w:val="single" w:sz="6" w:space="0" w:color="000000"/>
              <w:left w:val="single" w:sz="6" w:space="0" w:color="000000"/>
              <w:bottom w:val="single" w:sz="6" w:space="0" w:color="000000"/>
              <w:right w:val="single" w:sz="6" w:space="0" w:color="000000"/>
            </w:tcBorders>
            <w:tcMar>
              <w:top w:w="14" w:type="dxa"/>
            </w:tcMar>
            <w:hideMark/>
          </w:tcPr>
          <w:p w:rsidR="000D0249" w:rsidRPr="002634EC" w:rsidP="005B66C2" w14:paraId="1D61261C" w14:textId="77777777">
            <w:pPr>
              <w:spacing w:after="120"/>
              <w:jc w:val="right"/>
              <w:rPr>
                <w:szCs w:val="22"/>
              </w:rPr>
            </w:pPr>
            <w:r w:rsidRPr="002634EC">
              <w:rPr>
                <w:szCs w:val="22"/>
              </w:rPr>
              <w:t>33</w:t>
            </w:r>
          </w:p>
        </w:tc>
      </w:tr>
      <w:tr w14:paraId="39D55988" w14:textId="77777777" w:rsidTr="002501B9">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tcPr>
          <w:p w:rsidR="000D0249" w:rsidRPr="002634EC" w:rsidP="005B66C2" w14:paraId="167EFA46" w14:textId="77777777">
            <w:pPr>
              <w:spacing w:after="120"/>
              <w:rPr>
                <w:szCs w:val="22"/>
              </w:rPr>
            </w:pPr>
            <w:r w:rsidRPr="002634EC">
              <w:rPr>
                <w:szCs w:val="22"/>
              </w:rPr>
              <w:t>30</w:t>
            </w:r>
          </w:p>
        </w:tc>
        <w:tc>
          <w:tcPr>
            <w:tcW w:w="1788" w:type="pct"/>
            <w:tcBorders>
              <w:top w:val="single" w:sz="6" w:space="0" w:color="000000"/>
              <w:left w:val="single" w:sz="6" w:space="0" w:color="000000"/>
              <w:bottom w:val="single" w:sz="6" w:space="0" w:color="000000"/>
              <w:right w:val="single" w:sz="6" w:space="0" w:color="000000"/>
            </w:tcBorders>
            <w:tcMar>
              <w:top w:w="14" w:type="dxa"/>
            </w:tcMar>
          </w:tcPr>
          <w:p w:rsidR="000D0249" w:rsidRPr="002634EC" w:rsidP="005B66C2" w14:paraId="2054054E" w14:textId="77777777">
            <w:pPr>
              <w:spacing w:after="120"/>
              <w:jc w:val="right"/>
              <w:rPr>
                <w:szCs w:val="22"/>
              </w:rPr>
            </w:pPr>
            <w:r w:rsidRPr="002634EC">
              <w:rPr>
                <w:szCs w:val="22"/>
              </w:rPr>
              <w:t>21.8</w:t>
            </w:r>
          </w:p>
        </w:tc>
        <w:tc>
          <w:tcPr>
            <w:tcW w:w="1851" w:type="pct"/>
            <w:tcBorders>
              <w:top w:val="single" w:sz="6" w:space="0" w:color="000000"/>
              <w:left w:val="single" w:sz="6" w:space="0" w:color="000000"/>
              <w:bottom w:val="single" w:sz="6" w:space="0" w:color="000000"/>
              <w:right w:val="single" w:sz="6" w:space="0" w:color="000000"/>
            </w:tcBorders>
            <w:tcMar>
              <w:top w:w="14" w:type="dxa"/>
            </w:tcMar>
          </w:tcPr>
          <w:p w:rsidR="000D0249" w:rsidRPr="002634EC" w:rsidP="005B66C2" w14:paraId="525C4BD0" w14:textId="77777777">
            <w:pPr>
              <w:spacing w:after="120"/>
              <w:jc w:val="right"/>
              <w:rPr>
                <w:szCs w:val="22"/>
              </w:rPr>
            </w:pPr>
            <w:r w:rsidRPr="002634EC">
              <w:rPr>
                <w:szCs w:val="22"/>
              </w:rPr>
              <w:t>34.8</w:t>
            </w:r>
          </w:p>
        </w:tc>
      </w:tr>
      <w:tr w14:paraId="5B83D5D8" w14:textId="77777777" w:rsidTr="002501B9">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tcPr>
          <w:p w:rsidR="000D0249" w:rsidRPr="002634EC" w:rsidP="005B66C2" w14:paraId="48D8909F" w14:textId="77777777">
            <w:pPr>
              <w:spacing w:after="120"/>
              <w:rPr>
                <w:szCs w:val="22"/>
              </w:rPr>
            </w:pPr>
            <w:r w:rsidRPr="002634EC">
              <w:rPr>
                <w:szCs w:val="22"/>
              </w:rPr>
              <w:t>40</w:t>
            </w:r>
          </w:p>
        </w:tc>
        <w:tc>
          <w:tcPr>
            <w:tcW w:w="1788" w:type="pct"/>
            <w:tcBorders>
              <w:top w:val="single" w:sz="6" w:space="0" w:color="000000"/>
              <w:left w:val="single" w:sz="6" w:space="0" w:color="000000"/>
              <w:bottom w:val="single" w:sz="6" w:space="0" w:color="000000"/>
              <w:right w:val="single" w:sz="6" w:space="0" w:color="000000"/>
            </w:tcBorders>
            <w:tcMar>
              <w:top w:w="14" w:type="dxa"/>
            </w:tcMar>
          </w:tcPr>
          <w:p w:rsidR="000D0249" w:rsidRPr="002634EC" w:rsidP="005B66C2" w14:paraId="3730F1EA" w14:textId="77777777">
            <w:pPr>
              <w:spacing w:after="120"/>
              <w:jc w:val="right"/>
              <w:rPr>
                <w:szCs w:val="22"/>
              </w:rPr>
            </w:pPr>
            <w:r w:rsidRPr="002634EC">
              <w:rPr>
                <w:szCs w:val="22"/>
              </w:rPr>
              <w:t>23</w:t>
            </w:r>
          </w:p>
        </w:tc>
        <w:tc>
          <w:tcPr>
            <w:tcW w:w="1851" w:type="pct"/>
            <w:tcBorders>
              <w:top w:val="single" w:sz="6" w:space="0" w:color="000000"/>
              <w:left w:val="single" w:sz="6" w:space="0" w:color="000000"/>
              <w:bottom w:val="single" w:sz="6" w:space="0" w:color="000000"/>
              <w:right w:val="single" w:sz="6" w:space="0" w:color="000000"/>
            </w:tcBorders>
            <w:tcMar>
              <w:top w:w="14" w:type="dxa"/>
            </w:tcMar>
          </w:tcPr>
          <w:p w:rsidR="000D0249" w:rsidRPr="002634EC" w:rsidP="005B66C2" w14:paraId="6BBD62CA" w14:textId="77777777">
            <w:pPr>
              <w:spacing w:after="120"/>
              <w:jc w:val="right"/>
              <w:rPr>
                <w:szCs w:val="22"/>
              </w:rPr>
            </w:pPr>
            <w:r w:rsidRPr="002634EC">
              <w:rPr>
                <w:szCs w:val="22"/>
              </w:rPr>
              <w:t>36</w:t>
            </w:r>
          </w:p>
        </w:tc>
      </w:tr>
      <w:tr w14:paraId="59522464" w14:textId="77777777" w:rsidTr="002501B9">
        <w:tblPrEx>
          <w:tblW w:w="3511" w:type="pct"/>
          <w:jc w:val="center"/>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tcPr>
          <w:p w:rsidR="000D0249" w:rsidRPr="002634EC" w:rsidP="005B66C2" w14:paraId="6BAFA00D" w14:textId="77777777">
            <w:pPr>
              <w:spacing w:after="120"/>
              <w:rPr>
                <w:szCs w:val="22"/>
              </w:rPr>
            </w:pPr>
            <w:r w:rsidRPr="002634EC">
              <w:rPr>
                <w:szCs w:val="22"/>
              </w:rPr>
              <w:t>50</w:t>
            </w:r>
          </w:p>
        </w:tc>
        <w:tc>
          <w:tcPr>
            <w:tcW w:w="1788" w:type="pct"/>
            <w:tcBorders>
              <w:top w:val="single" w:sz="6" w:space="0" w:color="000000"/>
              <w:left w:val="single" w:sz="6" w:space="0" w:color="000000"/>
              <w:bottom w:val="single" w:sz="6" w:space="0" w:color="000000"/>
              <w:right w:val="single" w:sz="6" w:space="0" w:color="000000"/>
            </w:tcBorders>
            <w:tcMar>
              <w:top w:w="14" w:type="dxa"/>
            </w:tcMar>
          </w:tcPr>
          <w:p w:rsidR="000D0249" w:rsidRPr="002634EC" w:rsidP="005B66C2" w14:paraId="4B9BF1BB" w14:textId="77777777">
            <w:pPr>
              <w:spacing w:after="120"/>
              <w:jc w:val="right"/>
              <w:rPr>
                <w:szCs w:val="22"/>
              </w:rPr>
            </w:pPr>
            <w:r w:rsidRPr="002634EC">
              <w:rPr>
                <w:szCs w:val="22"/>
              </w:rPr>
              <w:t>24</w:t>
            </w:r>
          </w:p>
        </w:tc>
        <w:tc>
          <w:tcPr>
            <w:tcW w:w="1851" w:type="pct"/>
            <w:tcBorders>
              <w:top w:val="single" w:sz="6" w:space="0" w:color="000000"/>
              <w:left w:val="single" w:sz="6" w:space="0" w:color="000000"/>
              <w:bottom w:val="single" w:sz="6" w:space="0" w:color="000000"/>
              <w:right w:val="single" w:sz="6" w:space="0" w:color="000000"/>
            </w:tcBorders>
            <w:tcMar>
              <w:top w:w="14" w:type="dxa"/>
            </w:tcMar>
          </w:tcPr>
          <w:p w:rsidR="000D0249" w:rsidRPr="002634EC" w:rsidP="005B66C2" w14:paraId="38957910" w14:textId="77777777">
            <w:pPr>
              <w:spacing w:after="120"/>
              <w:jc w:val="right"/>
              <w:rPr>
                <w:szCs w:val="22"/>
              </w:rPr>
            </w:pPr>
            <w:r w:rsidRPr="002634EC">
              <w:rPr>
                <w:szCs w:val="22"/>
              </w:rPr>
              <w:t>37</w:t>
            </w:r>
          </w:p>
        </w:tc>
      </w:tr>
    </w:tbl>
    <w:p w:rsidR="000D0249" w:rsidRPr="002634EC" w:rsidP="005B66C2" w14:paraId="3F4AF867" w14:textId="77777777">
      <w:pPr>
        <w:spacing w:after="120"/>
        <w:rPr>
          <w:szCs w:val="22"/>
        </w:rPr>
      </w:pPr>
    </w:p>
    <w:p w:rsidR="000D0249" w:rsidRPr="002634EC" w:rsidP="005B66C2" w14:paraId="3A286CB9" w14:textId="77777777">
      <w:pPr>
        <w:spacing w:after="120"/>
        <w:rPr>
          <w:szCs w:val="22"/>
        </w:rPr>
      </w:pPr>
      <w:r w:rsidRPr="002634EC">
        <w:rPr>
          <w:szCs w:val="22"/>
        </w:rPr>
        <w:t>* * * * *</w:t>
      </w:r>
    </w:p>
    <w:p w:rsidR="000D0249" w:rsidRPr="002634EC" w:rsidP="005B66C2" w14:paraId="3BDFBEDD" w14:textId="77777777">
      <w:pPr>
        <w:autoSpaceDE w:val="0"/>
        <w:autoSpaceDN w:val="0"/>
        <w:adjustRightInd w:val="0"/>
        <w:spacing w:after="120"/>
        <w:ind w:firstLine="720"/>
        <w:rPr>
          <w:szCs w:val="22"/>
        </w:rPr>
      </w:pPr>
      <w:r w:rsidRPr="002634EC">
        <w:rPr>
          <w:szCs w:val="22"/>
        </w:rPr>
        <w:t>(f) The transmitting power of permanent fixed point-to-point and point-to-multipoint stations operating in the 4940-4990 MHz band must not exceed the maximum limits in this paragraph</w:t>
      </w:r>
      <w:r>
        <w:rPr>
          <w:szCs w:val="22"/>
        </w:rPr>
        <w:t xml:space="preserve"> (f)</w:t>
      </w:r>
      <w:r w:rsidRPr="002634EC">
        <w:rPr>
          <w:szCs w:val="22"/>
        </w:rPr>
        <w:t>.  Moreover, applicants should request no more power than necessary for a particular use.</w:t>
      </w:r>
    </w:p>
    <w:p w:rsidR="000D0249" w:rsidRPr="002634EC" w:rsidP="005B66C2" w14:paraId="11A9ECF8" w14:textId="77777777">
      <w:pPr>
        <w:autoSpaceDE w:val="0"/>
        <w:autoSpaceDN w:val="0"/>
        <w:adjustRightInd w:val="0"/>
        <w:spacing w:after="120"/>
        <w:ind w:firstLine="720"/>
        <w:rPr>
          <w:szCs w:val="22"/>
        </w:rPr>
      </w:pPr>
      <w:r w:rsidRPr="002634EC">
        <w:rPr>
          <w:szCs w:val="22"/>
        </w:rPr>
        <w:t>(1) T</w:t>
      </w:r>
      <w:r w:rsidRPr="002634EC">
        <w:rPr>
          <w:color w:val="000000"/>
          <w:szCs w:val="22"/>
        </w:rPr>
        <w:t>he</w:t>
      </w:r>
      <w:r w:rsidRPr="002634EC">
        <w:rPr>
          <w:szCs w:val="22"/>
        </w:rPr>
        <w:t xml:space="preserve"> maximum equivalent </w:t>
      </w:r>
      <w:r w:rsidRPr="002634EC">
        <w:rPr>
          <w:szCs w:val="22"/>
        </w:rPr>
        <w:t>isotropically</w:t>
      </w:r>
      <w:r w:rsidRPr="002634EC">
        <w:rPr>
          <w:szCs w:val="22"/>
        </w:rPr>
        <w:t xml:space="preserve"> radiated power (EIRP), as referenced to an isotropic radiator, must not exceed 55 </w:t>
      </w:r>
      <w:r w:rsidRPr="002634EC">
        <w:rPr>
          <w:szCs w:val="22"/>
        </w:rPr>
        <w:t>dBW</w:t>
      </w:r>
      <w:r w:rsidRPr="002634EC">
        <w:rPr>
          <w:szCs w:val="22"/>
        </w:rPr>
        <w:t xml:space="preserve"> (85 dBm).  </w:t>
      </w:r>
    </w:p>
    <w:p w:rsidR="000D0249" w:rsidRPr="002634EC" w:rsidP="005B66C2" w14:paraId="3EF4A0EA" w14:textId="77777777">
      <w:pPr>
        <w:autoSpaceDE w:val="0"/>
        <w:autoSpaceDN w:val="0"/>
        <w:adjustRightInd w:val="0"/>
        <w:spacing w:after="120"/>
        <w:ind w:firstLine="720"/>
        <w:rPr>
          <w:bCs/>
          <w:szCs w:val="22"/>
        </w:rPr>
      </w:pPr>
      <w:r w:rsidRPr="002634EC">
        <w:rPr>
          <w:szCs w:val="22"/>
        </w:rPr>
        <w:t xml:space="preserve">(2) For path lengths shorter than 17 kilometers, the EIRP shall not exceed the value derived from the following equation: New EIRP limit = 55 </w:t>
      </w:r>
      <w:r w:rsidRPr="002634EC">
        <w:rPr>
          <w:szCs w:val="22"/>
        </w:rPr>
        <w:t>dBW</w:t>
      </w:r>
      <w:r w:rsidRPr="002634EC">
        <w:rPr>
          <w:szCs w:val="22"/>
        </w:rPr>
        <w:t xml:space="preserve"> - 40*log(17/B) </w:t>
      </w:r>
      <w:r w:rsidRPr="002634EC">
        <w:rPr>
          <w:szCs w:val="22"/>
        </w:rPr>
        <w:t>dBW</w:t>
      </w:r>
      <w:r w:rsidRPr="002634EC">
        <w:rPr>
          <w:szCs w:val="22"/>
        </w:rPr>
        <w:t>, where B = the actual path length in kilometers.</w:t>
      </w:r>
    </w:p>
    <w:p w:rsidR="000D0249" w:rsidRPr="002634EC" w:rsidP="005B66C2" w14:paraId="49CDFB09" w14:textId="7F64A205">
      <w:pPr>
        <w:pStyle w:val="ParaNum"/>
      </w:pPr>
      <w:r w:rsidRPr="002634EC">
        <w:t xml:space="preserve">Add § 90.1217 </w:t>
      </w:r>
      <w:r>
        <w:t xml:space="preserve">to subpart Y </w:t>
      </w:r>
      <w:r w:rsidRPr="002634EC">
        <w:t>to read as follows:</w:t>
      </w:r>
    </w:p>
    <w:p w:rsidR="000D0249" w:rsidRPr="002634EC" w:rsidP="005B66C2" w14:paraId="7E2473CA" w14:textId="77777777">
      <w:pPr>
        <w:snapToGrid w:val="0"/>
        <w:spacing w:after="120"/>
        <w:rPr>
          <w:b/>
          <w:szCs w:val="22"/>
        </w:rPr>
      </w:pPr>
      <w:r w:rsidRPr="002634EC">
        <w:rPr>
          <w:b/>
          <w:szCs w:val="22"/>
        </w:rPr>
        <w:t>§ 90.1217 4.9 GHz Band Manager.</w:t>
      </w:r>
    </w:p>
    <w:p w:rsidR="000D0249" w:rsidRPr="002634EC" w:rsidP="005B66C2" w14:paraId="577AFF52" w14:textId="77777777">
      <w:pPr>
        <w:autoSpaceDE w:val="0"/>
        <w:autoSpaceDN w:val="0"/>
        <w:adjustRightInd w:val="0"/>
        <w:spacing w:after="120"/>
        <w:ind w:firstLine="720"/>
        <w:rPr>
          <w:szCs w:val="22"/>
        </w:rPr>
      </w:pPr>
      <w:r w:rsidRPr="002634EC">
        <w:rPr>
          <w:szCs w:val="22"/>
        </w:rPr>
        <w:t>The 4.9 GHz Band Manager will have the following three primary responsibilities:</w:t>
      </w:r>
    </w:p>
    <w:p w:rsidR="000D0249" w:rsidRPr="002634EC" w:rsidP="005B66C2" w14:paraId="24A1DF35" w14:textId="77777777">
      <w:pPr>
        <w:autoSpaceDE w:val="0"/>
        <w:autoSpaceDN w:val="0"/>
        <w:adjustRightInd w:val="0"/>
        <w:spacing w:after="120"/>
        <w:ind w:firstLine="720"/>
        <w:rPr>
          <w:szCs w:val="22"/>
        </w:rPr>
      </w:pPr>
      <w:r w:rsidRPr="002634EC">
        <w:rPr>
          <w:szCs w:val="22"/>
        </w:rPr>
        <w:t xml:space="preserve">(a)  Frequency coordination for public safety applications;  </w:t>
      </w:r>
    </w:p>
    <w:p w:rsidR="000D0249" w:rsidRPr="002634EC" w:rsidP="005B66C2" w14:paraId="70FCB5BD" w14:textId="77777777">
      <w:pPr>
        <w:autoSpaceDE w:val="0"/>
        <w:autoSpaceDN w:val="0"/>
        <w:adjustRightInd w:val="0"/>
        <w:spacing w:after="120"/>
        <w:ind w:firstLine="720"/>
        <w:rPr>
          <w:szCs w:val="22"/>
        </w:rPr>
      </w:pPr>
      <w:r w:rsidRPr="002634EC">
        <w:rPr>
          <w:szCs w:val="22"/>
        </w:rPr>
        <w:t>(b) Incentivizing the use of the latest commercially available technologies, including 5G; and</w:t>
      </w:r>
    </w:p>
    <w:p w:rsidR="000D0249" w:rsidRPr="00533281" w:rsidP="005B66C2" w14:paraId="530111D9" w14:textId="52A88DF4">
      <w:pPr>
        <w:autoSpaceDE w:val="0"/>
        <w:autoSpaceDN w:val="0"/>
        <w:adjustRightInd w:val="0"/>
        <w:spacing w:after="120"/>
        <w:ind w:firstLine="720"/>
        <w:rPr>
          <w:b/>
          <w:bCs/>
        </w:rPr>
      </w:pPr>
      <w:r w:rsidRPr="002634EC">
        <w:rPr>
          <w:szCs w:val="22"/>
        </w:rPr>
        <w:t>(c) Facilitating non-public safety use of the 4.9 GHz band.</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01F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473B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B66C2" w14:paraId="20CD622C" w14:textId="275AB87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F0515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7AC0BE" w14:textId="6E378546">
    <w:pPr>
      <w:pStyle w:val="Header"/>
      <w:rPr>
        <w:b w:val="0"/>
      </w:rPr>
    </w:pPr>
    <w:r>
      <w:tab/>
      <w:t>Federal Communications Commission</w:t>
    </w:r>
    <w:r>
      <w:tab/>
    </w:r>
  </w:p>
  <w:p w:rsidR="00D25FB5" w14:paraId="32412393" w14:textId="5DED7D6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7FE7D1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0F8F57" w14:textId="5AE6F6A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3895E5"/>
    <w:multiLevelType w:val="hybridMultilevel"/>
    <w:tmpl w:val="7E6A1D34"/>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615D48"/>
    <w:multiLevelType w:val="hybridMultilevel"/>
    <w:tmpl w:val="96FE3D7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79147D"/>
    <w:multiLevelType w:val="multilevel"/>
    <w:tmpl w:val="11566A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FB2606A"/>
    <w:multiLevelType w:val="multilevel"/>
    <w:tmpl w:val="11566A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42C169C"/>
    <w:multiLevelType w:val="hybridMultilevel"/>
    <w:tmpl w:val="15E662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6AB151A"/>
    <w:multiLevelType w:val="multilevel"/>
    <w:tmpl w:val="453C9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9"/>
  </w:num>
  <w:num w:numId="5">
    <w:abstractNumId w:val="5"/>
  </w:num>
  <w:num w:numId="6">
    <w:abstractNumId w:val="0"/>
  </w:num>
  <w:num w:numId="7">
    <w:abstractNumId w:val="2"/>
  </w:num>
  <w:num w:numId="8">
    <w:abstractNumId w:val="7"/>
  </w:num>
  <w:num w:numId="9">
    <w:abstractNumId w:val="11"/>
  </w:num>
  <w:num w:numId="10">
    <w:abstractNumId w:val="1"/>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C9"/>
    <w:rsid w:val="0000234F"/>
    <w:rsid w:val="0000671A"/>
    <w:rsid w:val="00016320"/>
    <w:rsid w:val="00027435"/>
    <w:rsid w:val="00036039"/>
    <w:rsid w:val="00037F90"/>
    <w:rsid w:val="000479FE"/>
    <w:rsid w:val="00051646"/>
    <w:rsid w:val="00075913"/>
    <w:rsid w:val="0008125C"/>
    <w:rsid w:val="000864D7"/>
    <w:rsid w:val="000875BF"/>
    <w:rsid w:val="00096D8C"/>
    <w:rsid w:val="000A7F51"/>
    <w:rsid w:val="000C0B65"/>
    <w:rsid w:val="000C513F"/>
    <w:rsid w:val="000C5CE9"/>
    <w:rsid w:val="000D0249"/>
    <w:rsid w:val="000D528F"/>
    <w:rsid w:val="000E05FE"/>
    <w:rsid w:val="000E3D42"/>
    <w:rsid w:val="000E7D62"/>
    <w:rsid w:val="000F5C43"/>
    <w:rsid w:val="000F6CFC"/>
    <w:rsid w:val="000F6E20"/>
    <w:rsid w:val="00110DCF"/>
    <w:rsid w:val="00122BD5"/>
    <w:rsid w:val="00124D66"/>
    <w:rsid w:val="00132757"/>
    <w:rsid w:val="00133F79"/>
    <w:rsid w:val="00137A22"/>
    <w:rsid w:val="00194A66"/>
    <w:rsid w:val="001B2673"/>
    <w:rsid w:val="001D6BCF"/>
    <w:rsid w:val="001E01CA"/>
    <w:rsid w:val="001F50AC"/>
    <w:rsid w:val="00213F2C"/>
    <w:rsid w:val="00226646"/>
    <w:rsid w:val="002315E9"/>
    <w:rsid w:val="002501B9"/>
    <w:rsid w:val="00253ADC"/>
    <w:rsid w:val="00257830"/>
    <w:rsid w:val="002613E7"/>
    <w:rsid w:val="0026215B"/>
    <w:rsid w:val="002634EC"/>
    <w:rsid w:val="002648BA"/>
    <w:rsid w:val="0027155C"/>
    <w:rsid w:val="00275CF5"/>
    <w:rsid w:val="0028301F"/>
    <w:rsid w:val="00285017"/>
    <w:rsid w:val="0028550C"/>
    <w:rsid w:val="002A2D2E"/>
    <w:rsid w:val="002C00E8"/>
    <w:rsid w:val="002E6CC7"/>
    <w:rsid w:val="002F6672"/>
    <w:rsid w:val="003042CC"/>
    <w:rsid w:val="00310827"/>
    <w:rsid w:val="00333B4F"/>
    <w:rsid w:val="003365F8"/>
    <w:rsid w:val="00343749"/>
    <w:rsid w:val="00357EB7"/>
    <w:rsid w:val="00365302"/>
    <w:rsid w:val="003660ED"/>
    <w:rsid w:val="00367E8A"/>
    <w:rsid w:val="0037259B"/>
    <w:rsid w:val="00385B69"/>
    <w:rsid w:val="003969B7"/>
    <w:rsid w:val="003A39F3"/>
    <w:rsid w:val="003B0550"/>
    <w:rsid w:val="003B18BA"/>
    <w:rsid w:val="003B694F"/>
    <w:rsid w:val="003B6EE6"/>
    <w:rsid w:val="003D1B9F"/>
    <w:rsid w:val="003D1C09"/>
    <w:rsid w:val="003D3ACE"/>
    <w:rsid w:val="003D792E"/>
    <w:rsid w:val="003F171C"/>
    <w:rsid w:val="003F376D"/>
    <w:rsid w:val="00406D0F"/>
    <w:rsid w:val="00412FC5"/>
    <w:rsid w:val="00422276"/>
    <w:rsid w:val="004242F1"/>
    <w:rsid w:val="00445A00"/>
    <w:rsid w:val="00450B90"/>
    <w:rsid w:val="00451B0F"/>
    <w:rsid w:val="00454579"/>
    <w:rsid w:val="0046080F"/>
    <w:rsid w:val="0047253E"/>
    <w:rsid w:val="00487B4A"/>
    <w:rsid w:val="00491C61"/>
    <w:rsid w:val="004A09AF"/>
    <w:rsid w:val="004C2EE3"/>
    <w:rsid w:val="004C3954"/>
    <w:rsid w:val="004C4BEE"/>
    <w:rsid w:val="004C4DF0"/>
    <w:rsid w:val="004E3DDE"/>
    <w:rsid w:val="004E4A22"/>
    <w:rsid w:val="004F55E5"/>
    <w:rsid w:val="00511968"/>
    <w:rsid w:val="00520E03"/>
    <w:rsid w:val="00526E2F"/>
    <w:rsid w:val="005315DF"/>
    <w:rsid w:val="00533281"/>
    <w:rsid w:val="0055614C"/>
    <w:rsid w:val="00566D06"/>
    <w:rsid w:val="0057293B"/>
    <w:rsid w:val="005A37F8"/>
    <w:rsid w:val="005A7FE6"/>
    <w:rsid w:val="005B4A88"/>
    <w:rsid w:val="005B66C2"/>
    <w:rsid w:val="005C5816"/>
    <w:rsid w:val="005E14C2"/>
    <w:rsid w:val="0060223B"/>
    <w:rsid w:val="00607BA5"/>
    <w:rsid w:val="0061180A"/>
    <w:rsid w:val="00612CFE"/>
    <w:rsid w:val="00623E45"/>
    <w:rsid w:val="00626EB6"/>
    <w:rsid w:val="006301AC"/>
    <w:rsid w:val="006306F6"/>
    <w:rsid w:val="006514E8"/>
    <w:rsid w:val="00651988"/>
    <w:rsid w:val="00655D03"/>
    <w:rsid w:val="00683388"/>
    <w:rsid w:val="00683F84"/>
    <w:rsid w:val="006A6A81"/>
    <w:rsid w:val="006B0AC9"/>
    <w:rsid w:val="006B0FD3"/>
    <w:rsid w:val="006C2FF6"/>
    <w:rsid w:val="006C35F5"/>
    <w:rsid w:val="006E523E"/>
    <w:rsid w:val="006F7393"/>
    <w:rsid w:val="00701449"/>
    <w:rsid w:val="0070224F"/>
    <w:rsid w:val="00707270"/>
    <w:rsid w:val="00710F6F"/>
    <w:rsid w:val="007115F7"/>
    <w:rsid w:val="0072417D"/>
    <w:rsid w:val="00737B4A"/>
    <w:rsid w:val="00746471"/>
    <w:rsid w:val="00774CF0"/>
    <w:rsid w:val="00785689"/>
    <w:rsid w:val="0079754B"/>
    <w:rsid w:val="007A1E6D"/>
    <w:rsid w:val="007B0EB2"/>
    <w:rsid w:val="007C3FA0"/>
    <w:rsid w:val="007D7FB1"/>
    <w:rsid w:val="00810B6F"/>
    <w:rsid w:val="00822CE0"/>
    <w:rsid w:val="00840324"/>
    <w:rsid w:val="00841AB1"/>
    <w:rsid w:val="00861229"/>
    <w:rsid w:val="008776E5"/>
    <w:rsid w:val="00885204"/>
    <w:rsid w:val="00886369"/>
    <w:rsid w:val="008A4E1C"/>
    <w:rsid w:val="008C68F1"/>
    <w:rsid w:val="008D71E6"/>
    <w:rsid w:val="008D77D1"/>
    <w:rsid w:val="008E038C"/>
    <w:rsid w:val="00906033"/>
    <w:rsid w:val="00912B09"/>
    <w:rsid w:val="00914C5C"/>
    <w:rsid w:val="00921803"/>
    <w:rsid w:val="00926503"/>
    <w:rsid w:val="00960708"/>
    <w:rsid w:val="009726D8"/>
    <w:rsid w:val="009B5634"/>
    <w:rsid w:val="009C11C9"/>
    <w:rsid w:val="009C75AB"/>
    <w:rsid w:val="009D472E"/>
    <w:rsid w:val="009D7308"/>
    <w:rsid w:val="009F3A53"/>
    <w:rsid w:val="009F76DB"/>
    <w:rsid w:val="00A055B5"/>
    <w:rsid w:val="00A060B7"/>
    <w:rsid w:val="00A27FEA"/>
    <w:rsid w:val="00A32C3B"/>
    <w:rsid w:val="00A45F4F"/>
    <w:rsid w:val="00A600A9"/>
    <w:rsid w:val="00A7602C"/>
    <w:rsid w:val="00A77C64"/>
    <w:rsid w:val="00A90923"/>
    <w:rsid w:val="00A95D3C"/>
    <w:rsid w:val="00A973C0"/>
    <w:rsid w:val="00AA55B7"/>
    <w:rsid w:val="00AA5853"/>
    <w:rsid w:val="00AA5B9E"/>
    <w:rsid w:val="00AB2407"/>
    <w:rsid w:val="00AB398B"/>
    <w:rsid w:val="00AB4009"/>
    <w:rsid w:val="00AB46F8"/>
    <w:rsid w:val="00AB53DF"/>
    <w:rsid w:val="00AB71DF"/>
    <w:rsid w:val="00AC0BF0"/>
    <w:rsid w:val="00B07E5C"/>
    <w:rsid w:val="00B2257D"/>
    <w:rsid w:val="00B25DCB"/>
    <w:rsid w:val="00B4684D"/>
    <w:rsid w:val="00B52510"/>
    <w:rsid w:val="00B8019B"/>
    <w:rsid w:val="00B811F7"/>
    <w:rsid w:val="00B9372C"/>
    <w:rsid w:val="00BA5DC6"/>
    <w:rsid w:val="00BA6196"/>
    <w:rsid w:val="00BB6C2C"/>
    <w:rsid w:val="00BB7A88"/>
    <w:rsid w:val="00BC6D8C"/>
    <w:rsid w:val="00BD3B87"/>
    <w:rsid w:val="00BD4A7E"/>
    <w:rsid w:val="00BE42E8"/>
    <w:rsid w:val="00BE77FE"/>
    <w:rsid w:val="00BF4B44"/>
    <w:rsid w:val="00C02305"/>
    <w:rsid w:val="00C15E7A"/>
    <w:rsid w:val="00C233DE"/>
    <w:rsid w:val="00C313A6"/>
    <w:rsid w:val="00C34006"/>
    <w:rsid w:val="00C36B4C"/>
    <w:rsid w:val="00C426B1"/>
    <w:rsid w:val="00C42941"/>
    <w:rsid w:val="00C66160"/>
    <w:rsid w:val="00C721AC"/>
    <w:rsid w:val="00C73E17"/>
    <w:rsid w:val="00C90D6A"/>
    <w:rsid w:val="00CA247E"/>
    <w:rsid w:val="00CA2A54"/>
    <w:rsid w:val="00CA6D21"/>
    <w:rsid w:val="00CC46AC"/>
    <w:rsid w:val="00CC72B6"/>
    <w:rsid w:val="00CD31EE"/>
    <w:rsid w:val="00CE273C"/>
    <w:rsid w:val="00CF467B"/>
    <w:rsid w:val="00D0218D"/>
    <w:rsid w:val="00D25FB5"/>
    <w:rsid w:val="00D305D0"/>
    <w:rsid w:val="00D33876"/>
    <w:rsid w:val="00D41709"/>
    <w:rsid w:val="00D44223"/>
    <w:rsid w:val="00D51DDE"/>
    <w:rsid w:val="00D62C95"/>
    <w:rsid w:val="00D90F02"/>
    <w:rsid w:val="00D93315"/>
    <w:rsid w:val="00DA0F7A"/>
    <w:rsid w:val="00DA2529"/>
    <w:rsid w:val="00DB12DA"/>
    <w:rsid w:val="00DB130A"/>
    <w:rsid w:val="00DB2EBB"/>
    <w:rsid w:val="00DC10A1"/>
    <w:rsid w:val="00DC1DF8"/>
    <w:rsid w:val="00DC655F"/>
    <w:rsid w:val="00DD0B59"/>
    <w:rsid w:val="00DD7EBD"/>
    <w:rsid w:val="00DE585C"/>
    <w:rsid w:val="00DF62B6"/>
    <w:rsid w:val="00E01F04"/>
    <w:rsid w:val="00E049D2"/>
    <w:rsid w:val="00E07225"/>
    <w:rsid w:val="00E151CE"/>
    <w:rsid w:val="00E47C64"/>
    <w:rsid w:val="00E5409F"/>
    <w:rsid w:val="00E677BD"/>
    <w:rsid w:val="00E7747A"/>
    <w:rsid w:val="00EB6065"/>
    <w:rsid w:val="00EE6488"/>
    <w:rsid w:val="00EF60B6"/>
    <w:rsid w:val="00F021FA"/>
    <w:rsid w:val="00F06BA5"/>
    <w:rsid w:val="00F13759"/>
    <w:rsid w:val="00F4087B"/>
    <w:rsid w:val="00F44A2A"/>
    <w:rsid w:val="00F62E97"/>
    <w:rsid w:val="00F64209"/>
    <w:rsid w:val="00F663E1"/>
    <w:rsid w:val="00F74D2B"/>
    <w:rsid w:val="00F93BF5"/>
    <w:rsid w:val="00FB57D6"/>
    <w:rsid w:val="00FC0B62"/>
    <w:rsid w:val="00FE6435"/>
    <w:rsid w:val="054D8002"/>
    <w:rsid w:val="09EC15D1"/>
    <w:rsid w:val="1F43A35E"/>
    <w:rsid w:val="55C45CE8"/>
    <w:rsid w:val="5B47C8FF"/>
    <w:rsid w:val="67055490"/>
    <w:rsid w:val="7FCA13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46D2F1"/>
  <w15:chartTrackingRefBased/>
  <w15:docId w15:val="{19FF76C6-0806-482C-93E0-BBCB1388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9"/>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1">
    <w:name w:val="ParaNum Char1"/>
    <w:link w:val="ParaNum"/>
    <w:locked/>
    <w:rsid w:val="000C5CE9"/>
    <w:rPr>
      <w:snapToGrid w:val="0"/>
      <w:kern w:val="28"/>
      <w:sz w:val="22"/>
    </w:rPr>
  </w:style>
  <w:style w:type="character" w:styleId="CommentReference">
    <w:name w:val="annotation reference"/>
    <w:basedOn w:val="DefaultParagraphFont"/>
    <w:uiPriority w:val="99"/>
    <w:unhideWhenUsed/>
    <w:rsid w:val="003D3ACE"/>
    <w:rPr>
      <w:sz w:val="16"/>
      <w:szCs w:val="16"/>
    </w:rPr>
  </w:style>
  <w:style w:type="paragraph" w:styleId="CommentText">
    <w:name w:val="annotation text"/>
    <w:basedOn w:val="Normal"/>
    <w:link w:val="CommentTextChar"/>
    <w:uiPriority w:val="99"/>
    <w:unhideWhenUsed/>
    <w:rsid w:val="003D3ACE"/>
    <w:pPr>
      <w:widowControl/>
    </w:pPr>
    <w:rPr>
      <w:snapToGrid/>
      <w:kern w:val="0"/>
      <w:sz w:val="20"/>
    </w:rPr>
  </w:style>
  <w:style w:type="character" w:customStyle="1" w:styleId="CommentTextChar">
    <w:name w:val="Comment Text Char"/>
    <w:basedOn w:val="DefaultParagraphFont"/>
    <w:link w:val="CommentText"/>
    <w:uiPriority w:val="99"/>
    <w:rsid w:val="003D3ACE"/>
  </w:style>
  <w:style w:type="paragraph" w:styleId="CommentSubject">
    <w:name w:val="annotation subject"/>
    <w:basedOn w:val="CommentText"/>
    <w:next w:val="CommentText"/>
    <w:link w:val="CommentSubjectChar"/>
    <w:rsid w:val="00F663E1"/>
    <w:pPr>
      <w:widowControl w:val="0"/>
    </w:pPr>
    <w:rPr>
      <w:b/>
      <w:bCs/>
      <w:snapToGrid w:val="0"/>
      <w:kern w:val="28"/>
    </w:rPr>
  </w:style>
  <w:style w:type="character" w:customStyle="1" w:styleId="CommentSubjectChar">
    <w:name w:val="Comment Subject Char"/>
    <w:basedOn w:val="CommentTextChar"/>
    <w:link w:val="CommentSubject"/>
    <w:rsid w:val="00F663E1"/>
    <w:rPr>
      <w:b/>
      <w:bCs/>
      <w:snapToGrid w:val="0"/>
      <w:kern w:val="28"/>
    </w:rPr>
  </w:style>
  <w:style w:type="character" w:styleId="Mention">
    <w:name w:val="Mention"/>
    <w:basedOn w:val="DefaultParagraphFont"/>
    <w:uiPriority w:val="99"/>
    <w:unhideWhenUsed/>
    <w:rsid w:val="00F663E1"/>
    <w:rPr>
      <w:color w:val="2B579A"/>
      <w:shd w:val="clear" w:color="auto" w:fill="E1DFDD"/>
    </w:rPr>
  </w:style>
  <w:style w:type="paragraph" w:styleId="Revision">
    <w:name w:val="Revision"/>
    <w:hidden/>
    <w:uiPriority w:val="99"/>
    <w:semiHidden/>
    <w:rsid w:val="003A39F3"/>
    <w:rPr>
      <w:snapToGrid w:val="0"/>
      <w:kern w:val="28"/>
      <w:sz w:val="22"/>
    </w:rPr>
  </w:style>
  <w:style w:type="paragraph" w:styleId="ListParagraph">
    <w:name w:val="List Paragraph"/>
    <w:basedOn w:val="Normal"/>
    <w:uiPriority w:val="34"/>
    <w:qFormat/>
    <w:rsid w:val="00861229"/>
    <w:pPr>
      <w:ind w:left="720"/>
      <w:contextualSpacing/>
    </w:pPr>
  </w:style>
  <w:style w:type="character" w:styleId="UnresolvedMention">
    <w:name w:val="Unresolved Mention"/>
    <w:basedOn w:val="DefaultParagraphFont"/>
    <w:uiPriority w:val="99"/>
    <w:semiHidden/>
    <w:unhideWhenUsed/>
    <w:rsid w:val="006306F6"/>
    <w:rPr>
      <w:color w:val="605E5C"/>
      <w:shd w:val="clear" w:color="auto" w:fill="E1DFDD"/>
    </w:rPr>
  </w:style>
  <w:style w:type="character" w:styleId="FollowedHyperlink">
    <w:name w:val="FollowedHyperlink"/>
    <w:basedOn w:val="DefaultParagraphFont"/>
    <w:rsid w:val="00701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