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7F42" w:rsidRPr="00946687" w:rsidP="00EB7F42" w14:paraId="3155122B" w14:textId="77777777">
      <w:pPr>
        <w:spacing w:before="0" w:beforeAutospacing="0" w:after="0" w:afterAutospacing="0"/>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EB7F42" w:rsidP="00EB7F42" w14:paraId="27A6CB0C" w14:textId="77777777">
      <w:pPr>
        <w:spacing w:before="0" w:beforeAutospacing="0" w:after="0" w:afterAutospacing="0"/>
        <w:jc w:val="center"/>
        <w:rPr>
          <w:rFonts w:ascii="TimesNewRomanPS" w:eastAsia="Times New Roman" w:hAnsi="TimesNewRomanPS" w:cs="Times New Roman"/>
          <w:b/>
          <w:bCs/>
          <w:sz w:val="28"/>
          <w:szCs w:val="28"/>
        </w:rPr>
      </w:pPr>
    </w:p>
    <w:p w:rsidR="00EB7F42" w:rsidRPr="00A26B54" w:rsidP="00EB7F42" w14:paraId="44C85384" w14:textId="497A48A0">
      <w:pPr>
        <w:spacing w:before="0" w:beforeAutospacing="0" w:after="0" w:afterAutospacing="0"/>
        <w:jc w:val="center"/>
        <w:rPr>
          <w:rFonts w:ascii="TimesNewRomanPS" w:eastAsia="Times New Roman" w:hAnsi="TimesNewRomanPS" w:cs="Times New Roman"/>
          <w:b/>
          <w:bCs/>
          <w:sz w:val="26"/>
          <w:szCs w:val="26"/>
        </w:rPr>
      </w:pPr>
      <w:r w:rsidRPr="00A26B54">
        <w:rPr>
          <w:rFonts w:ascii="TimesNewRomanPS" w:eastAsia="Times New Roman" w:hAnsi="TimesNewRomanPS" w:cs="Times New Roman"/>
          <w:b/>
          <w:bCs/>
          <w:sz w:val="26"/>
          <w:szCs w:val="26"/>
        </w:rPr>
        <w:t>Joint Statement of Commissioner Carr and Commissioner Simington</w:t>
      </w:r>
    </w:p>
    <w:p w:rsidR="00A26B54" w:rsidRPr="00A26B54" w:rsidP="00EB7F42" w14:paraId="7340F8F7" w14:textId="4522916B">
      <w:pPr>
        <w:spacing w:before="0" w:beforeAutospacing="0" w:after="0" w:afterAutospacing="0"/>
        <w:jc w:val="center"/>
        <w:rPr>
          <w:rFonts w:ascii="TimesNewRomanPS" w:eastAsia="Times New Roman" w:hAnsi="TimesNewRomanPS" w:cs="Times New Roman"/>
          <w:i/>
          <w:iCs/>
          <w:sz w:val="22"/>
          <w:szCs w:val="22"/>
        </w:rPr>
      </w:pPr>
      <w:r w:rsidRPr="00A26B54">
        <w:rPr>
          <w:rFonts w:ascii="TimesNewRomanPS" w:eastAsia="Times New Roman" w:hAnsi="TimesNewRomanPS" w:cs="Times New Roman"/>
          <w:i/>
          <w:iCs/>
          <w:sz w:val="22"/>
          <w:szCs w:val="22"/>
        </w:rPr>
        <w:t>On TEGNA Hearing Designation Order</w:t>
      </w:r>
    </w:p>
    <w:p w:rsidR="00EB7F42" w:rsidP="004C4AA7" w14:paraId="543FE740" w14:textId="6160185B">
      <w:pPr>
        <w:rPr>
          <w:rFonts w:ascii="TimesNewRomanPSMT" w:eastAsia="Times New Roman" w:hAnsi="TimesNewRomanPSMT" w:cs="Times New Roman"/>
          <w:sz w:val="22"/>
          <w:szCs w:val="22"/>
        </w:rPr>
      </w:pPr>
      <w:r w:rsidRPr="00946687">
        <w:rPr>
          <w:rFonts w:ascii="TimesNewRomanPSMT" w:eastAsia="Times New Roman" w:hAnsi="TimesNewRomanPSMT" w:cs="Times New Roman"/>
          <w:sz w:val="22"/>
          <w:szCs w:val="22"/>
        </w:rPr>
        <w:t xml:space="preserve">WASHINGTON, DC, </w:t>
      </w:r>
      <w:r>
        <w:rPr>
          <w:rFonts w:ascii="TimesNewRomanPSMT" w:eastAsia="Times New Roman" w:hAnsi="TimesNewRomanPSMT" w:cs="Times New Roman"/>
          <w:sz w:val="22"/>
          <w:szCs w:val="22"/>
        </w:rPr>
        <w:t>February</w:t>
      </w:r>
      <w:r w:rsidRPr="00946687">
        <w:rPr>
          <w:rFonts w:ascii="TimesNewRomanPSMT" w:eastAsia="Times New Roman" w:hAnsi="TimesNewRomanPSMT" w:cs="Times New Roman"/>
          <w:sz w:val="22"/>
          <w:szCs w:val="22"/>
        </w:rPr>
        <w:t xml:space="preserve"> </w:t>
      </w:r>
      <w:r w:rsidR="004C4AA7">
        <w:rPr>
          <w:rFonts w:ascii="TimesNewRomanPSMT" w:eastAsia="Times New Roman" w:hAnsi="TimesNewRomanPSMT" w:cs="Times New Roman"/>
          <w:sz w:val="22"/>
          <w:szCs w:val="22"/>
        </w:rPr>
        <w:t>24</w:t>
      </w:r>
      <w:r w:rsidRPr="00946687">
        <w:rPr>
          <w:rFonts w:ascii="TimesNewRomanPSMT" w:eastAsia="Times New Roman" w:hAnsi="TimesNewRomanPSMT" w:cs="Times New Roman"/>
          <w:sz w:val="22"/>
          <w:szCs w:val="22"/>
        </w:rPr>
        <w:t>, 202</w:t>
      </w:r>
      <w:r>
        <w:rPr>
          <w:rFonts w:ascii="TimesNewRomanPSMT" w:eastAsia="Times New Roman" w:hAnsi="TimesNewRomanPSMT" w:cs="Times New Roman"/>
          <w:sz w:val="22"/>
          <w:szCs w:val="22"/>
        </w:rPr>
        <w:t>3</w:t>
      </w:r>
      <w:r w:rsidRPr="00946687">
        <w:rPr>
          <w:rFonts w:ascii="TimesNewRomanPSMT" w:eastAsia="Times New Roman" w:hAnsi="TimesNewRomanPSMT" w:cs="Times New Roman"/>
          <w:sz w:val="22"/>
          <w:szCs w:val="22"/>
        </w:rPr>
        <w:t>—</w:t>
      </w:r>
      <w:r w:rsidR="004C4AA7">
        <w:rPr>
          <w:rFonts w:ascii="TimesNewRomanPSMT" w:eastAsia="Times New Roman" w:hAnsi="TimesNewRomanPSMT" w:cs="Times New Roman"/>
          <w:sz w:val="22"/>
          <w:szCs w:val="22"/>
        </w:rPr>
        <w:t>Today, t</w:t>
      </w:r>
      <w:r w:rsidRPr="004C4AA7" w:rsidR="004C4AA7">
        <w:rPr>
          <w:rFonts w:ascii="TimesNewRomanPSMT" w:eastAsia="Times New Roman" w:hAnsi="TimesNewRomanPSMT" w:cs="Times New Roman"/>
          <w:sz w:val="22"/>
          <w:szCs w:val="22"/>
        </w:rPr>
        <w:t xml:space="preserve">he </w:t>
      </w:r>
      <w:r w:rsidR="004C4AA7">
        <w:rPr>
          <w:rFonts w:ascii="TimesNewRomanPSMT" w:eastAsia="Times New Roman" w:hAnsi="TimesNewRomanPSMT" w:cs="Times New Roman"/>
          <w:sz w:val="22"/>
          <w:szCs w:val="22"/>
        </w:rPr>
        <w:t xml:space="preserve">FCC’s Media Bureau </w:t>
      </w:r>
      <w:r w:rsidRPr="004C4AA7" w:rsidR="004C4AA7">
        <w:rPr>
          <w:rFonts w:ascii="TimesNewRomanPSMT" w:eastAsia="Times New Roman" w:hAnsi="TimesNewRomanPSMT" w:cs="Times New Roman"/>
          <w:sz w:val="22"/>
          <w:szCs w:val="22"/>
        </w:rPr>
        <w:t xml:space="preserve">announced that </w:t>
      </w:r>
      <w:r w:rsidR="004C4AA7">
        <w:rPr>
          <w:rFonts w:ascii="TimesNewRomanPSMT" w:eastAsia="Times New Roman" w:hAnsi="TimesNewRomanPSMT" w:cs="Times New Roman"/>
          <w:sz w:val="22"/>
          <w:szCs w:val="22"/>
        </w:rPr>
        <w:t xml:space="preserve">it </w:t>
      </w:r>
      <w:r w:rsidRPr="004C4AA7" w:rsidR="004C4AA7">
        <w:rPr>
          <w:rFonts w:ascii="TimesNewRomanPSMT" w:eastAsia="Times New Roman" w:hAnsi="TimesNewRomanPSMT" w:cs="Times New Roman"/>
          <w:sz w:val="22"/>
          <w:szCs w:val="22"/>
        </w:rPr>
        <w:t xml:space="preserve">designated certain questions related to the pending applications involving Standard General, TEGNA, and Cox Media Group to </w:t>
      </w:r>
      <w:r w:rsidR="00AE26FC">
        <w:rPr>
          <w:rFonts w:ascii="TimesNewRomanPSMT" w:eastAsia="Times New Roman" w:hAnsi="TimesNewRomanPSMT" w:cs="Times New Roman"/>
          <w:sz w:val="22"/>
          <w:szCs w:val="22"/>
        </w:rPr>
        <w:t>the</w:t>
      </w:r>
      <w:r w:rsidRPr="004C4AA7" w:rsidR="004C4AA7">
        <w:rPr>
          <w:rFonts w:ascii="TimesNewRomanPSMT" w:eastAsia="Times New Roman" w:hAnsi="TimesNewRomanPSMT" w:cs="Times New Roman"/>
          <w:sz w:val="22"/>
          <w:szCs w:val="22"/>
        </w:rPr>
        <w:t xml:space="preserve"> </w:t>
      </w:r>
      <w:r w:rsidR="00AE1F7C">
        <w:rPr>
          <w:rFonts w:ascii="TimesNewRomanPSMT" w:eastAsia="Times New Roman" w:hAnsi="TimesNewRomanPSMT" w:cs="Times New Roman"/>
          <w:sz w:val="22"/>
          <w:szCs w:val="22"/>
        </w:rPr>
        <w:t>A</w:t>
      </w:r>
      <w:r w:rsidRPr="004C4AA7" w:rsidR="004C4AA7">
        <w:rPr>
          <w:rFonts w:ascii="TimesNewRomanPSMT" w:eastAsia="Times New Roman" w:hAnsi="TimesNewRomanPSMT" w:cs="Times New Roman"/>
          <w:sz w:val="22"/>
          <w:szCs w:val="22"/>
        </w:rPr>
        <w:t xml:space="preserve">dministrative </w:t>
      </w:r>
      <w:r w:rsidR="00AE1F7C">
        <w:rPr>
          <w:rFonts w:ascii="TimesNewRomanPSMT" w:eastAsia="Times New Roman" w:hAnsi="TimesNewRomanPSMT" w:cs="Times New Roman"/>
          <w:sz w:val="22"/>
          <w:szCs w:val="22"/>
        </w:rPr>
        <w:t>L</w:t>
      </w:r>
      <w:r w:rsidRPr="004C4AA7" w:rsidR="004C4AA7">
        <w:rPr>
          <w:rFonts w:ascii="TimesNewRomanPSMT" w:eastAsia="Times New Roman" w:hAnsi="TimesNewRomanPSMT" w:cs="Times New Roman"/>
          <w:sz w:val="22"/>
          <w:szCs w:val="22"/>
        </w:rPr>
        <w:t xml:space="preserve">aw </w:t>
      </w:r>
      <w:r w:rsidR="00AE1F7C">
        <w:rPr>
          <w:rFonts w:ascii="TimesNewRomanPSMT" w:eastAsia="Times New Roman" w:hAnsi="TimesNewRomanPSMT" w:cs="Times New Roman"/>
          <w:sz w:val="22"/>
          <w:szCs w:val="22"/>
        </w:rPr>
        <w:t>J</w:t>
      </w:r>
      <w:r w:rsidRPr="004C4AA7" w:rsidR="004C4AA7">
        <w:rPr>
          <w:rFonts w:ascii="TimesNewRomanPSMT" w:eastAsia="Times New Roman" w:hAnsi="TimesNewRomanPSMT" w:cs="Times New Roman"/>
          <w:sz w:val="22"/>
          <w:szCs w:val="22"/>
        </w:rPr>
        <w:t>udge.  The pending applications involve a series of transactions that would result in Standard General’s acquisition of 64 full-power TV stations and two full-power radio stations currently owned and operated by TEGNA.</w:t>
      </w:r>
    </w:p>
    <w:p w:rsidR="004C4AA7" w:rsidP="004C4AA7" w14:paraId="194B0D10" w14:textId="452EFEE0">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The following is a joint statement from Commissioners Carr and Simington</w:t>
      </w:r>
      <w:r w:rsidR="00A26B54">
        <w:rPr>
          <w:rFonts w:ascii="TimesNewRomanPSMT" w:eastAsia="Times New Roman" w:hAnsi="TimesNewRomanPSMT" w:cs="Times New Roman"/>
          <w:sz w:val="22"/>
          <w:szCs w:val="22"/>
        </w:rPr>
        <w:t xml:space="preserve"> upon learning about the Bureau’s Hearing Designation Order</w:t>
      </w:r>
      <w:r>
        <w:rPr>
          <w:rFonts w:ascii="TimesNewRomanPSMT" w:eastAsia="Times New Roman" w:hAnsi="TimesNewRomanPSMT" w:cs="Times New Roman"/>
          <w:sz w:val="22"/>
          <w:szCs w:val="22"/>
        </w:rPr>
        <w:t>:</w:t>
      </w:r>
    </w:p>
    <w:p w:rsidR="004C4AA7" w:rsidRPr="00946687" w:rsidP="004C4AA7" w14:paraId="27AD3194" w14:textId="68CE1010">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w:t>
      </w:r>
      <w:r w:rsidRPr="004C4AA7">
        <w:rPr>
          <w:rFonts w:ascii="TimesNewRomanPSMT" w:eastAsia="Times New Roman" w:hAnsi="TimesNewRomanPSMT" w:cs="Times New Roman"/>
          <w:sz w:val="22"/>
          <w:szCs w:val="22"/>
        </w:rPr>
        <w:t xml:space="preserve">Hundreds of local newspapers have shut down over the last few years alone.  This trend is part of a broader decline in the investments necessary to sustain the journalists and reporters that are vital to communities across the country.  Many of the nation’s local TV stations are trying to step up and expand their news gathering operations.  At this moment, the FCC should be working to encourage more of the investment necessary for these local broadcasters to innovate and thrive.  It does the opposite today.  After a protracted, nearly </w:t>
      </w:r>
      <w:r w:rsidRPr="004C4AA7" w:rsidR="009033E8">
        <w:rPr>
          <w:rFonts w:ascii="TimesNewRomanPSMT" w:eastAsia="Times New Roman" w:hAnsi="TimesNewRomanPSMT" w:cs="Times New Roman"/>
          <w:sz w:val="22"/>
          <w:szCs w:val="22"/>
        </w:rPr>
        <w:t>yearlong</w:t>
      </w:r>
      <w:r w:rsidRPr="004C4AA7">
        <w:rPr>
          <w:rFonts w:ascii="TimesNewRomanPSMT" w:eastAsia="Times New Roman" w:hAnsi="TimesNewRomanPSMT" w:cs="Times New Roman"/>
          <w:sz w:val="22"/>
          <w:szCs w:val="22"/>
        </w:rPr>
        <w:t xml:space="preserve"> review, the Commission should be providing the parties with a decision on the merits—not an uncertain future.</w:t>
      </w:r>
      <w:r>
        <w:rPr>
          <w:rFonts w:ascii="TimesNewRomanPSMT" w:eastAsia="Times New Roman" w:hAnsi="TimesNewRomanPSMT" w:cs="Times New Roman"/>
          <w:sz w:val="22"/>
          <w:szCs w:val="22"/>
        </w:rPr>
        <w:t>”</w:t>
      </w:r>
    </w:p>
    <w:p w:rsidR="00EB7F42" w:rsidRPr="00A3658B" w:rsidP="00EB7F42" w14:paraId="32976B60"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476477F9" w14:textId="77777777" w:rsidTr="006B475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B7F42" w:rsidRPr="007B6125" w:rsidP="006B4754" w14:paraId="75FF15A4" w14:textId="77777777">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Office of Commissioner Brendan Carr</w:t>
            </w:r>
          </w:p>
          <w:p w:rsidR="00EB7F42" w:rsidRPr="007B6125" w:rsidP="006B4754" w14:paraId="55EE37A0" w14:textId="77777777">
            <w:pPr>
              <w:spacing w:before="0" w:beforeAutospacing="0" w:after="0" w:afterAutospacing="0" w:line="235" w:lineRule="auto"/>
              <w:jc w:val="center"/>
              <w:rPr>
                <w:rFonts w:ascii="Times New Roman" w:eastAsia="Times New Roman" w:hAnsi="Times New Roman" w:cs="Times New Roman"/>
                <w:sz w:val="22"/>
                <w:szCs w:val="22"/>
              </w:rPr>
            </w:pPr>
            <w:r w:rsidRPr="007B6125">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6982D51A" w14:textId="77777777" w:rsidTr="006B475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EB7F42" w:rsidRPr="007B6125" w:rsidP="006B4754" w14:paraId="2ED8E97D" w14:textId="619F907D">
                  <w:pPr>
                    <w:spacing w:before="0" w:beforeAutospacing="0" w:after="0" w:afterAutospacing="0" w:line="235" w:lineRule="auto"/>
                    <w:jc w:val="center"/>
                    <w:rPr>
                      <w:rFonts w:ascii="Times New Roman" w:eastAsia="Times New Roman" w:hAnsi="Times New Roman" w:cs="Times New Roman"/>
                      <w:b/>
                      <w:sz w:val="22"/>
                      <w:szCs w:val="22"/>
                    </w:rPr>
                  </w:pPr>
                  <w:r w:rsidRPr="007B6125">
                    <w:rPr>
                      <w:rFonts w:ascii="Times New Roman" w:eastAsia="Times New Roman" w:hAnsi="Times New Roman" w:cs="Times New Roman"/>
                      <w:b/>
                      <w:sz w:val="22"/>
                      <w:szCs w:val="22"/>
                    </w:rPr>
                    <w:t xml:space="preserve">Media Contact:  </w:t>
                  </w:r>
                  <w:r w:rsidR="004C4AA7">
                    <w:rPr>
                      <w:rFonts w:ascii="Times New Roman" w:eastAsia="Times New Roman" w:hAnsi="Times New Roman" w:cs="Times New Roman"/>
                      <w:b/>
                      <w:sz w:val="22"/>
                      <w:szCs w:val="22"/>
                    </w:rPr>
                    <w:t>Ben Arden</w:t>
                  </w:r>
                </w:p>
                <w:p w:rsidR="00EB7F42" w:rsidRPr="007B6125" w:rsidP="006B4754" w14:paraId="52823D9F" w14:textId="3DC0EB52">
                  <w:pPr>
                    <w:spacing w:before="0" w:beforeAutospacing="0" w:after="0" w:afterAutospacing="0" w:line="235"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(202) 418-0288 or </w:t>
                  </w:r>
                  <w:r w:rsidR="004C4AA7">
                    <w:rPr>
                      <w:rFonts w:ascii="Times New Roman" w:eastAsia="Times New Roman" w:hAnsi="Times New Roman" w:cs="Times New Roman"/>
                      <w:b/>
                      <w:sz w:val="22"/>
                      <w:szCs w:val="22"/>
                    </w:rPr>
                    <w:t>Ben</w:t>
                  </w:r>
                  <w:r>
                    <w:rPr>
                      <w:rFonts w:ascii="Times New Roman" w:eastAsia="Times New Roman" w:hAnsi="Times New Roman" w:cs="Times New Roman"/>
                      <w:b/>
                      <w:sz w:val="22"/>
                      <w:szCs w:val="22"/>
                    </w:rPr>
                    <w:t>jamin</w:t>
                  </w:r>
                  <w:r w:rsidRPr="007B6125" w:rsidR="00A26B54">
                    <w:rPr>
                      <w:rFonts w:ascii="Times New Roman" w:eastAsia="Times New Roman" w:hAnsi="Times New Roman" w:cs="Times New Roman"/>
                      <w:b/>
                      <w:sz w:val="22"/>
                      <w:szCs w:val="22"/>
                    </w:rPr>
                    <w:t>.</w:t>
                  </w:r>
                  <w:r w:rsidR="004C4AA7">
                    <w:rPr>
                      <w:rFonts w:ascii="Times New Roman" w:eastAsia="Times New Roman" w:hAnsi="Times New Roman" w:cs="Times New Roman"/>
                      <w:b/>
                      <w:sz w:val="22"/>
                      <w:szCs w:val="22"/>
                    </w:rPr>
                    <w:t>Arden</w:t>
                  </w:r>
                  <w:r w:rsidRPr="007B6125" w:rsidR="00A26B54">
                    <w:rPr>
                      <w:rFonts w:ascii="Times New Roman" w:eastAsia="Times New Roman" w:hAnsi="Times New Roman" w:cs="Times New Roman"/>
                      <w:b/>
                      <w:sz w:val="22"/>
                      <w:szCs w:val="22"/>
                    </w:rPr>
                    <w:t>@fcc.gov</w:t>
                  </w:r>
                </w:p>
              </w:tc>
            </w:tr>
          </w:tbl>
          <w:p w:rsidR="00EB7F42" w:rsidRPr="007B6125" w:rsidP="006B4754" w14:paraId="5B362634"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EB7F42" w14:paraId="745B788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42"/>
    <w:rsid w:val="002C6CE2"/>
    <w:rsid w:val="004C4AA7"/>
    <w:rsid w:val="006B4754"/>
    <w:rsid w:val="007818F5"/>
    <w:rsid w:val="007B6125"/>
    <w:rsid w:val="007F175F"/>
    <w:rsid w:val="009033E8"/>
    <w:rsid w:val="00946687"/>
    <w:rsid w:val="00957E0E"/>
    <w:rsid w:val="009A025F"/>
    <w:rsid w:val="009F2106"/>
    <w:rsid w:val="00A26B54"/>
    <w:rsid w:val="00A3658B"/>
    <w:rsid w:val="00AE1F7C"/>
    <w:rsid w:val="00AE26FC"/>
    <w:rsid w:val="00D73D0B"/>
    <w:rsid w:val="00E737FF"/>
    <w:rsid w:val="00EB7F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F51569"/>
  <w15:chartTrackingRefBased/>
  <w15:docId w15:val="{3FA107CC-549B-4E9C-955F-64EB1BFB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F42"/>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