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D25F9" w14:paraId="404D782B" w14:textId="77777777">
      <w:pPr>
        <w:suppressAutoHyphens/>
        <w:jc w:val="both"/>
        <w:rPr>
          <w:rFonts w:ascii="Times New Roman" w:hAnsi="Times New Roman"/>
          <w:spacing w:val="-3"/>
        </w:rPr>
      </w:pPr>
    </w:p>
    <w:p w:rsidR="001D25F9" w14:paraId="7707D658" w14:textId="77777777">
      <w:pPr>
        <w:framePr w:w="2820" w:h="2880" w:hRule="atLeast" w:hSpace="240" w:vSpace="240" w:wrap="auto" w:vAnchor="page" w:hAnchor="page" w:x="4994" w:y="2548"/>
        <w:tabs>
          <w:tab w:val="left" w:pos="-720"/>
          <w:tab w:val="left" w:pos="90"/>
        </w:tabs>
        <w:suppressAutoHyphens/>
        <w:jc w:val="both"/>
        <w:rPr>
          <w:rFonts w:ascii="Times New Roman" w:hAnsi="Times New Roman"/>
          <w:b/>
          <w:spacing w:val="-6"/>
          <w:sz w:val="2"/>
        </w:rPr>
      </w:pPr>
    </w:p>
    <w:p w:rsidR="001D25F9" w:rsidRPr="006D21DA" w:rsidP="006D21DA" w14:paraId="02B6EE2D" w14:textId="77777777">
      <w:pPr>
        <w:suppressAutoHyphens/>
        <w:rPr>
          <w:rFonts w:ascii="Times New Roman" w:hAnsi="Times New Roman"/>
          <w:b/>
          <w:bCs/>
          <w:spacing w:val="-3"/>
          <w:sz w:val="28"/>
          <w:szCs w:val="28"/>
        </w:rPr>
      </w:pPr>
      <w:r w:rsidRPr="006D21DA">
        <w:rPr>
          <w:rFonts w:ascii="Times New Roman" w:hAnsi="Times New Roman"/>
          <w:b/>
          <w:bCs/>
          <w:spacing w:val="-3"/>
          <w:sz w:val="28"/>
          <w:szCs w:val="28"/>
        </w:rPr>
        <w:t>Federal Communications Commission</w:t>
      </w:r>
    </w:p>
    <w:p w:rsidR="006D21DA" w:rsidRPr="006D21DA" w:rsidP="006D21DA" w14:paraId="3EDBDFBB" w14:textId="77777777">
      <w:pPr>
        <w:suppressAutoHyphens/>
        <w:rPr>
          <w:rFonts w:ascii="Times New Roman" w:hAnsi="Times New Roman"/>
          <w:b/>
          <w:bCs/>
          <w:spacing w:val="-3"/>
          <w:sz w:val="28"/>
          <w:szCs w:val="28"/>
        </w:rPr>
      </w:pPr>
      <w:r w:rsidRPr="006D21DA">
        <w:rPr>
          <w:rFonts w:ascii="Times New Roman" w:hAnsi="Times New Roman"/>
          <w:b/>
          <w:bCs/>
          <w:spacing w:val="-3"/>
          <w:sz w:val="28"/>
          <w:szCs w:val="28"/>
        </w:rPr>
        <w:t>Wireline Competition Bureau</w:t>
      </w:r>
    </w:p>
    <w:p w:rsidR="006D21DA" w:rsidRPr="006D21DA" w:rsidP="006D21DA" w14:paraId="1422E94C" w14:textId="77777777">
      <w:pPr>
        <w:suppressAutoHyphens/>
        <w:rPr>
          <w:rFonts w:ascii="Times New Roman" w:hAnsi="Times New Roman"/>
          <w:b/>
          <w:bCs/>
          <w:spacing w:val="-3"/>
          <w:sz w:val="28"/>
          <w:szCs w:val="28"/>
        </w:rPr>
      </w:pPr>
      <w:r w:rsidRPr="006D21DA">
        <w:rPr>
          <w:rFonts w:ascii="Times New Roman" w:hAnsi="Times New Roman"/>
          <w:b/>
          <w:bCs/>
          <w:spacing w:val="-3"/>
          <w:sz w:val="28"/>
          <w:szCs w:val="28"/>
        </w:rPr>
        <w:t>Common Carrier Services</w:t>
      </w:r>
    </w:p>
    <w:p w:rsidR="006D21DA" w:rsidRPr="006D21DA" w:rsidP="006D21DA" w14:paraId="1A5CC35B" w14:textId="77777777">
      <w:pPr>
        <w:suppressAutoHyphens/>
        <w:rPr>
          <w:rFonts w:ascii="Times New Roman" w:hAnsi="Times New Roman"/>
          <w:b/>
          <w:bCs/>
          <w:spacing w:val="-3"/>
          <w:sz w:val="28"/>
          <w:szCs w:val="28"/>
        </w:rPr>
      </w:pPr>
      <w:r w:rsidRPr="006D21DA">
        <w:rPr>
          <w:rFonts w:ascii="Times New Roman" w:hAnsi="Times New Roman"/>
          <w:b/>
          <w:bCs/>
          <w:spacing w:val="-3"/>
          <w:sz w:val="28"/>
          <w:szCs w:val="28"/>
        </w:rPr>
        <w:t>Fee Filing Guide</w:t>
      </w:r>
    </w:p>
    <w:tbl>
      <w:tblPr>
        <w:tblW w:w="0" w:type="auto"/>
        <w:tblInd w:w="404" w:type="dxa"/>
        <w:tblLayout w:type="fixed"/>
        <w:tblCellMar>
          <w:left w:w="120" w:type="dxa"/>
          <w:right w:w="120" w:type="dxa"/>
        </w:tblCellMar>
        <w:tblLook w:val="0000"/>
      </w:tblPr>
      <w:tblGrid>
        <w:gridCol w:w="9076"/>
      </w:tblGrid>
      <w:tr w14:paraId="70489E1E" w14:textId="77777777">
        <w:tblPrEx>
          <w:tblW w:w="0" w:type="auto"/>
          <w:tblInd w:w="404" w:type="dxa"/>
          <w:tblLayout w:type="fixed"/>
          <w:tblCellMar>
            <w:left w:w="120" w:type="dxa"/>
            <w:right w:w="120" w:type="dxa"/>
          </w:tblCellMar>
          <w:tblLook w:val="0000"/>
        </w:tblPrEx>
        <w:tc>
          <w:tcPr>
            <w:tcW w:w="9076" w:type="dxa"/>
            <w:tcBorders>
              <w:top w:val="double" w:sz="7" w:space="0" w:color="auto"/>
              <w:left w:val="double" w:sz="7" w:space="0" w:color="auto"/>
              <w:bottom w:val="double" w:sz="7" w:space="0" w:color="auto"/>
              <w:right w:val="double" w:sz="7" w:space="0" w:color="auto"/>
            </w:tcBorders>
          </w:tcPr>
          <w:p w:rsidR="001D25F9" w14:paraId="73BF3D1E" w14:textId="476BBB83">
            <w:pPr>
              <w:tabs>
                <w:tab w:val="center" w:pos="3840"/>
              </w:tabs>
              <w:suppressAutoHyphens/>
              <w:spacing w:before="90"/>
              <w:rPr>
                <w:rFonts w:ascii="Times New Roman" w:hAnsi="Times New Roman"/>
                <w:b/>
                <w:sz w:val="36"/>
              </w:rPr>
            </w:pPr>
            <w:r>
              <w:rPr>
                <w:rFonts w:ascii="Times New Roman" w:hAnsi="Times New Roman"/>
                <w:b/>
                <w:sz w:val="36"/>
              </w:rPr>
              <w:tab/>
            </w:r>
            <w:r>
              <w:rPr>
                <w:rFonts w:ascii="Times New Roman" w:hAnsi="Times New Roman"/>
                <w:b/>
                <w:sz w:val="36"/>
                <w:u w:val="single"/>
              </w:rPr>
              <w:t>SECTION 8 FEES</w:t>
            </w:r>
          </w:p>
          <w:p w:rsidR="001D25F9" w14:paraId="0A98978C" w14:textId="77777777">
            <w:pPr>
              <w:tabs>
                <w:tab w:val="center" w:pos="3840"/>
              </w:tabs>
              <w:suppressAutoHyphens/>
              <w:rPr>
                <w:rFonts w:ascii="Times New Roman" w:hAnsi="Times New Roman"/>
                <w:b/>
                <w:sz w:val="36"/>
              </w:rPr>
            </w:pPr>
            <w:r>
              <w:rPr>
                <w:rFonts w:ascii="Times New Roman" w:hAnsi="Times New Roman"/>
                <w:b/>
                <w:sz w:val="36"/>
              </w:rPr>
              <w:tab/>
              <w:t>(PROCESSING FEES)</w:t>
            </w:r>
          </w:p>
          <w:p w:rsidR="001D25F9" w14:paraId="1AFA7BDA" w14:textId="77777777">
            <w:pPr>
              <w:tabs>
                <w:tab w:val="left" w:pos="-720"/>
              </w:tabs>
              <w:suppressAutoHyphens/>
              <w:rPr>
                <w:rFonts w:ascii="Times New Roman" w:hAnsi="Times New Roman"/>
                <w:b/>
                <w:sz w:val="36"/>
              </w:rPr>
            </w:pPr>
            <w:r>
              <w:rPr>
                <w:rFonts w:ascii="Times New Roman" w:hAnsi="Times New Roman"/>
                <w:b/>
                <w:sz w:val="36"/>
              </w:rPr>
              <w:t>FOR:</w:t>
            </w:r>
          </w:p>
          <w:p w:rsidR="001D25F9" w14:paraId="166E1132" w14:textId="77777777">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Section 214 Applications</w:t>
            </w:r>
            <w:r w:rsidR="00D932B1">
              <w:rPr>
                <w:rFonts w:ascii="Times New Roman" w:hAnsi="Times New Roman"/>
                <w:b/>
                <w:sz w:val="36"/>
              </w:rPr>
              <w:t xml:space="preserve"> (Transfer of Control, STA, and Discontinuance)</w:t>
            </w:r>
          </w:p>
          <w:p w:rsidR="00D954E3" w14:paraId="17966B15" w14:textId="77777777">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VoIP Numbering Applications</w:t>
            </w:r>
          </w:p>
          <w:p w:rsidR="001D25F9" w14:paraId="0096B5C9" w14:textId="77777777">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Tariff Filings</w:t>
            </w:r>
          </w:p>
          <w:p w:rsidR="001D25F9" w14:paraId="30C8997E" w14:textId="77777777">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Accounting</w:t>
            </w:r>
          </w:p>
          <w:p w:rsidR="00453407" w14:paraId="1AB53677" w14:textId="77777777">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Universal Service Fund Auction</w:t>
            </w:r>
            <w:r w:rsidR="00445CB9">
              <w:rPr>
                <w:rFonts w:ascii="Times New Roman" w:hAnsi="Times New Roman"/>
                <w:b/>
                <w:sz w:val="36"/>
              </w:rPr>
              <w:t>s</w:t>
            </w:r>
          </w:p>
          <w:p w:rsidR="001D25F9" w14:paraId="34F74158" w14:textId="77777777">
            <w:pPr>
              <w:tabs>
                <w:tab w:val="left" w:pos="777"/>
                <w:tab w:val="center" w:pos="3840"/>
              </w:tabs>
              <w:suppressAutoHyphens/>
              <w:rPr>
                <w:rFonts w:ascii="Times New Roman" w:hAnsi="Times New Roman"/>
                <w:b/>
                <w:sz w:val="36"/>
              </w:rPr>
            </w:pPr>
          </w:p>
          <w:p w:rsidR="001D25F9" w14:paraId="0C92A174" w14:textId="77777777">
            <w:pPr>
              <w:pStyle w:val="BodyText2"/>
            </w:pPr>
          </w:p>
        </w:tc>
      </w:tr>
    </w:tbl>
    <w:p w:rsidR="001D25F9" w14:paraId="2CE6C538" w14:textId="77777777">
      <w:pPr>
        <w:tabs>
          <w:tab w:val="left" w:pos="-720"/>
        </w:tabs>
        <w:suppressAutoHyphens/>
        <w:ind w:left="1440" w:right="1440"/>
        <w:jc w:val="both"/>
        <w:rPr>
          <w:rFonts w:ascii="Times New Roman" w:hAnsi="Times New Roman"/>
        </w:rPr>
      </w:pPr>
    </w:p>
    <w:p w:rsidR="001D25F9" w14:paraId="2C28CF2F" w14:textId="77777777">
      <w:pPr>
        <w:tabs>
          <w:tab w:val="left" w:pos="-720"/>
        </w:tabs>
        <w:suppressAutoHyphens/>
        <w:ind w:right="720"/>
        <w:jc w:val="both"/>
        <w:rPr>
          <w:rFonts w:ascii="Times New Roman" w:hAnsi="Times New Roman"/>
          <w:sz w:val="14"/>
        </w:rPr>
      </w:pPr>
    </w:p>
    <w:p w:rsidR="001D25F9" w14:paraId="34A10FBF" w14:textId="75D940B2">
      <w:pPr>
        <w:tabs>
          <w:tab w:val="left" w:pos="-720"/>
        </w:tabs>
        <w:suppressAutoHyphens/>
        <w:ind w:right="720"/>
        <w:jc w:val="both"/>
        <w:rPr>
          <w:rFonts w:ascii="Times New Roman" w:hAnsi="Times New Roman"/>
          <w:sz w:val="14"/>
        </w:rPr>
      </w:pPr>
      <w:r>
        <w:rPr>
          <w:rFonts w:ascii="Times New Roman" w:hAnsi="Times New Roman"/>
          <w:sz w:val="14"/>
        </w:rPr>
        <w:t>This is an unofficial compilation of the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w:t>
      </w:r>
      <w:r w:rsidR="00E90800">
        <w:rPr>
          <w:rFonts w:ascii="Times New Roman" w:hAnsi="Times New Roman"/>
          <w:sz w:val="14"/>
        </w:rPr>
        <w:t xml:space="preserve">, </w:t>
      </w:r>
      <w:r w:rsidRPr="00024877" w:rsidR="00E90800">
        <w:rPr>
          <w:rFonts w:ascii="Times New Roman" w:hAnsi="Times New Roman"/>
          <w:i/>
          <w:iCs/>
          <w:sz w:val="14"/>
        </w:rPr>
        <w:t>see Amendment of Schedule of Application Fees Set Forth in Sections 1.1102 through 1.1109 of the Commission’s Rules</w:t>
      </w:r>
      <w:r w:rsidR="00E90800">
        <w:rPr>
          <w:rFonts w:ascii="Times New Roman" w:hAnsi="Times New Roman"/>
          <w:sz w:val="14"/>
        </w:rPr>
        <w:t xml:space="preserve">, MD Docket No. 20-270, 35 FCC Rcd 15089, </w:t>
      </w:r>
      <w:r w:rsidR="00445CB9">
        <w:rPr>
          <w:rFonts w:ascii="Times New Roman" w:hAnsi="Times New Roman"/>
          <w:sz w:val="14"/>
        </w:rPr>
        <w:t>15127-</w:t>
      </w:r>
      <w:r w:rsidR="00E90800">
        <w:rPr>
          <w:rFonts w:ascii="Times New Roman" w:hAnsi="Times New Roman"/>
          <w:sz w:val="14"/>
        </w:rPr>
        <w:t>32</w:t>
      </w:r>
      <w:r w:rsidR="00445CB9">
        <w:rPr>
          <w:rFonts w:ascii="Times New Roman" w:hAnsi="Times New Roman"/>
          <w:sz w:val="14"/>
        </w:rPr>
        <w:t>, paras. 118-35 (2020)</w:t>
      </w:r>
      <w:r w:rsidR="004C0C2D">
        <w:rPr>
          <w:rFonts w:ascii="Times New Roman" w:hAnsi="Times New Roman"/>
          <w:sz w:val="14"/>
        </w:rPr>
        <w:t>; Order, FCC 22-94 (2022).</w:t>
      </w:r>
      <w:r>
        <w:rPr>
          <w:rFonts w:ascii="Times New Roman" w:hAnsi="Times New Roman"/>
          <w:sz w:val="14"/>
        </w:rPr>
        <w:t>.</w:t>
      </w:r>
    </w:p>
    <w:p w:rsidR="001D25F9" w14:paraId="21E5EBC7" w14:textId="77777777">
      <w:pPr>
        <w:tabs>
          <w:tab w:val="right" w:pos="10080"/>
        </w:tabs>
        <w:suppressAutoHyphens/>
        <w:ind w:right="720"/>
        <w:jc w:val="both"/>
        <w:rPr>
          <w:rFonts w:ascii="Times New Roman" w:hAnsi="Times New Roman"/>
          <w:b/>
          <w:i/>
        </w:rPr>
      </w:pPr>
    </w:p>
    <w:p w:rsidR="001D25F9" w14:paraId="0C92FF86" w14:textId="77777777">
      <w:pPr>
        <w:tabs>
          <w:tab w:val="right" w:pos="10080"/>
        </w:tabs>
        <w:suppressAutoHyphens/>
        <w:ind w:right="720"/>
        <w:jc w:val="both"/>
        <w:rPr>
          <w:rFonts w:ascii="Times New Roman" w:hAnsi="Times New Roman"/>
          <w:b/>
          <w:i/>
        </w:rPr>
      </w:pPr>
    </w:p>
    <w:p w:rsidR="001D25F9" w14:paraId="7E615D11" w14:textId="0B056FD4">
      <w:pPr>
        <w:tabs>
          <w:tab w:val="left" w:pos="6390"/>
          <w:tab w:val="right" w:pos="10080"/>
        </w:tabs>
        <w:suppressAutoHyphens/>
        <w:ind w:right="-90"/>
        <w:jc w:val="right"/>
        <w:rPr>
          <w:rFonts w:ascii="Times New Roman" w:hAnsi="Times New Roman"/>
          <w:b/>
        </w:rPr>
      </w:pPr>
      <w:r>
        <w:rPr>
          <w:rFonts w:ascii="Times New Roman" w:hAnsi="Times New Roman"/>
          <w:b/>
          <w:i/>
        </w:rPr>
        <w:tab/>
        <w:t xml:space="preserve">Effective </w:t>
      </w:r>
      <w:r w:rsidR="008B4F1F">
        <w:rPr>
          <w:rFonts w:ascii="Times New Roman" w:hAnsi="Times New Roman"/>
          <w:b/>
          <w:i/>
        </w:rPr>
        <w:t>March 2, 2023</w:t>
      </w:r>
    </w:p>
    <w:p w:rsidR="001D25F9" w14:paraId="783C4783" w14:textId="77777777">
      <w:pPr>
        <w:tabs>
          <w:tab w:val="left" w:pos="-720"/>
        </w:tabs>
        <w:suppressAutoHyphens/>
        <w:ind w:left="810" w:right="720"/>
        <w:jc w:val="both"/>
        <w:rPr>
          <w:rFonts w:ascii="Times New Roman" w:hAnsi="Times New Roman"/>
          <w:sz w:val="22"/>
        </w:rPr>
      </w:pPr>
      <w:r>
        <w:rPr>
          <w:rFonts w:ascii="Times New Roman" w:hAnsi="Times New Roman"/>
        </w:rPr>
        <w:br w:type="page"/>
      </w:r>
    </w:p>
    <w:p w:rsidR="001D25F9" w14:paraId="3B9073FC" w14:textId="77777777">
      <w:pPr>
        <w:tabs>
          <w:tab w:val="center" w:pos="4680"/>
        </w:tabs>
        <w:suppressAutoHyphens/>
        <w:jc w:val="both"/>
        <w:rPr>
          <w:rFonts w:ascii="Times New Roman" w:hAnsi="Times New Roman"/>
          <w:b/>
          <w:i/>
          <w:sz w:val="22"/>
        </w:rPr>
      </w:pPr>
    </w:p>
    <w:p w:rsidR="001D25F9" w:rsidRPr="006D21DA" w14:paraId="2FBE6D14" w14:textId="77777777">
      <w:pPr>
        <w:pStyle w:val="Heading2"/>
        <w:ind w:hanging="1080"/>
        <w:jc w:val="center"/>
        <w:rPr>
          <w:sz w:val="24"/>
          <w:u w:val="single"/>
        </w:rPr>
      </w:pPr>
      <w:r w:rsidRPr="006D21DA">
        <w:rPr>
          <w:sz w:val="24"/>
          <w:u w:val="single"/>
        </w:rPr>
        <w:t>INTRODUCTION</w:t>
      </w:r>
    </w:p>
    <w:p w:rsidR="001D25F9" w14:paraId="376B6CA3" w14:textId="77777777">
      <w:pPr>
        <w:tabs>
          <w:tab w:val="left" w:pos="-720"/>
        </w:tabs>
        <w:suppressAutoHyphens/>
        <w:rPr>
          <w:rFonts w:ascii="Times New Roman" w:hAnsi="Times New Roman"/>
        </w:rPr>
      </w:pPr>
    </w:p>
    <w:p w:rsidR="001D25F9" w14:paraId="2F3370EC" w14:textId="77777777">
      <w:pPr>
        <w:tabs>
          <w:tab w:val="left" w:pos="-720"/>
        </w:tabs>
        <w:suppressAutoHyphens/>
        <w:rPr>
          <w:rFonts w:ascii="Times New Roman" w:hAnsi="Times New Roman"/>
        </w:rPr>
      </w:pPr>
    </w:p>
    <w:p w:rsidR="001D25F9" w14:paraId="637FE10E" w14:textId="77777777">
      <w:pPr>
        <w:tabs>
          <w:tab w:val="left" w:pos="-720"/>
        </w:tabs>
        <w:suppressAutoHyphens/>
        <w:ind w:left="720"/>
        <w:rPr>
          <w:rFonts w:ascii="Times New Roman" w:hAnsi="Times New Roman"/>
          <w:sz w:val="22"/>
          <w:szCs w:val="22"/>
        </w:rPr>
      </w:pPr>
      <w:r>
        <w:rPr>
          <w:rFonts w:ascii="Times New Roman" w:hAnsi="Times New Roman"/>
          <w:sz w:val="22"/>
          <w:szCs w:val="22"/>
        </w:rPr>
        <w:t>The authority of the Federal Communications Commission (</w:t>
      </w:r>
      <w:r w:rsidR="00D954E3">
        <w:rPr>
          <w:rFonts w:ascii="Times New Roman" w:hAnsi="Times New Roman"/>
          <w:sz w:val="22"/>
          <w:szCs w:val="22"/>
        </w:rPr>
        <w:t xml:space="preserve">FCC or </w:t>
      </w:r>
      <w:r>
        <w:rPr>
          <w:rFonts w:ascii="Times New Roman" w:hAnsi="Times New Roman"/>
          <w:sz w:val="22"/>
          <w:szCs w:val="22"/>
        </w:rPr>
        <w:t>Commission) to impose and collect fees and associated charges is contained in Title III, Section 3001 of the Omnibus Budget Reconciliation Act of 1989 (Public Law 101-39), Section 8, revising 47 U.S.C. 158, which directs the Commission to prescribe charges for certain types of applications and other filings by communications entities over which it has jurisdiction.  Application processing fees are deposited in the U.S. Treasury.</w:t>
      </w:r>
    </w:p>
    <w:p w:rsidR="001D25F9" w14:paraId="3BE9AF53" w14:textId="77777777">
      <w:pPr>
        <w:tabs>
          <w:tab w:val="left" w:pos="-720"/>
        </w:tabs>
        <w:suppressAutoHyphens/>
        <w:ind w:left="720"/>
        <w:rPr>
          <w:rFonts w:ascii="Times New Roman" w:hAnsi="Times New Roman"/>
          <w:sz w:val="22"/>
          <w:szCs w:val="22"/>
        </w:rPr>
      </w:pPr>
    </w:p>
    <w:p w:rsidR="001D25F9" w14:paraId="0EF7E9CF" w14:textId="77777777">
      <w:pPr>
        <w:tabs>
          <w:tab w:val="left" w:pos="-720"/>
        </w:tabs>
        <w:suppressAutoHyphens/>
        <w:ind w:left="720"/>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filing requirements for the Wireline Competition Bureau.  It is meant to be a handy reference of the services and requests for </w:t>
      </w:r>
      <w:r w:rsidR="00D932B1">
        <w:rPr>
          <w:rFonts w:ascii="Times New Roman" w:hAnsi="Times New Roman"/>
          <w:sz w:val="22"/>
          <w:szCs w:val="22"/>
        </w:rPr>
        <w:t xml:space="preserve">FCC </w:t>
      </w:r>
      <w:r>
        <w:rPr>
          <w:rFonts w:ascii="Times New Roman" w:hAnsi="Times New Roman"/>
          <w:sz w:val="22"/>
          <w:szCs w:val="22"/>
        </w:rPr>
        <w:t xml:space="preserve">actions for which the Wireline Competition Bureau has responsibility </w:t>
      </w:r>
      <w:r w:rsidR="00B81787">
        <w:rPr>
          <w:rFonts w:ascii="Times New Roman" w:hAnsi="Times New Roman"/>
          <w:sz w:val="22"/>
          <w:szCs w:val="22"/>
        </w:rPr>
        <w:t xml:space="preserve">and </w:t>
      </w:r>
      <w:r>
        <w:rPr>
          <w:rFonts w:ascii="Times New Roman" w:hAnsi="Times New Roman"/>
          <w:sz w:val="22"/>
          <w:szCs w:val="22"/>
        </w:rPr>
        <w:t xml:space="preserve">that are subject to a fee.  The guide consists of two parts, Parts A and B, as well as a breakdown of the types of applications, form numbers, fee amounts, </w:t>
      </w:r>
      <w:r w:rsidR="00EB2C4F">
        <w:rPr>
          <w:rFonts w:ascii="Times New Roman" w:hAnsi="Times New Roman"/>
          <w:sz w:val="22"/>
          <w:szCs w:val="22"/>
        </w:rPr>
        <w:t xml:space="preserve">and </w:t>
      </w:r>
      <w:r>
        <w:rPr>
          <w:rFonts w:ascii="Times New Roman" w:hAnsi="Times New Roman"/>
          <w:sz w:val="22"/>
          <w:szCs w:val="22"/>
        </w:rPr>
        <w:t xml:space="preserve">payment type codes for each service provided.  </w:t>
      </w:r>
    </w:p>
    <w:p w:rsidR="001D25F9" w14:paraId="57D157D4" w14:textId="77777777">
      <w:pPr>
        <w:tabs>
          <w:tab w:val="left" w:pos="-720"/>
        </w:tabs>
        <w:suppressAutoHyphens/>
        <w:ind w:left="720"/>
        <w:rPr>
          <w:rFonts w:ascii="Times New Roman" w:hAnsi="Times New Roman"/>
          <w:sz w:val="22"/>
          <w:szCs w:val="22"/>
        </w:rPr>
      </w:pPr>
    </w:p>
    <w:p w:rsidR="001D25F9" w14:paraId="1523519C" w14:textId="77777777">
      <w:pPr>
        <w:tabs>
          <w:tab w:val="left" w:pos="-720"/>
        </w:tabs>
        <w:suppressAutoHyphens/>
        <w:ind w:left="720"/>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 provides specific information pertaining to the Wireline Competition Bureau’s Section 8 (application) fees.  </w:t>
      </w:r>
    </w:p>
    <w:p w:rsidR="001D25F9" w14:paraId="06FE8F3D" w14:textId="77777777">
      <w:pPr>
        <w:tabs>
          <w:tab w:val="left" w:pos="-720"/>
        </w:tabs>
        <w:suppressAutoHyphens/>
        <w:ind w:left="720"/>
        <w:rPr>
          <w:rFonts w:ascii="Times New Roman" w:hAnsi="Times New Roman"/>
          <w:sz w:val="22"/>
          <w:szCs w:val="22"/>
        </w:rPr>
      </w:pPr>
    </w:p>
    <w:p w:rsidR="001D25F9" w14:paraId="6EC9C829" w14:textId="77777777">
      <w:pPr>
        <w:tabs>
          <w:tab w:val="left" w:pos="-720"/>
        </w:tabs>
        <w:suppressAutoHyphens/>
        <w:ind w:left="720"/>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w:t>
      </w:r>
      <w:r w:rsidR="00EB2C4F">
        <w:rPr>
          <w:rFonts w:ascii="Times New Roman" w:hAnsi="Times New Roman"/>
          <w:sz w:val="22"/>
          <w:szCs w:val="22"/>
        </w:rPr>
        <w:t>5</w:t>
      </w:r>
      <w:r>
        <w:rPr>
          <w:rFonts w:ascii="Times New Roman" w:hAnsi="Times New Roman"/>
          <w:sz w:val="22"/>
          <w:szCs w:val="22"/>
        </w:rPr>
        <w:t xml:space="preserve"> of the Code of Federal Regulations (CFR). </w:t>
      </w:r>
      <w:r w:rsidRPr="001F01FA">
        <w:rPr>
          <w:rFonts w:ascii="Times New Roman" w:hAnsi="Times New Roman"/>
          <w:color w:val="0000FF"/>
          <w:sz w:val="22"/>
          <w:szCs w:val="22"/>
        </w:rPr>
        <w:t xml:space="preserve"> </w:t>
      </w:r>
      <w:r>
        <w:rPr>
          <w:rFonts w:ascii="Times New Roman" w:hAnsi="Times New Roman"/>
          <w:sz w:val="22"/>
          <w:szCs w:val="22"/>
        </w:rPr>
        <w:t>All fees are subject to modification as required by Congress.  An electronic version of the CFR, including updates, is available at www.ecfr.gov.</w:t>
      </w:r>
    </w:p>
    <w:p w:rsidR="001D25F9" w:rsidRPr="006D21DA" w14:paraId="4E10C527" w14:textId="77777777">
      <w:pPr>
        <w:jc w:val="center"/>
        <w:rPr>
          <w:rFonts w:ascii="Times New Roman" w:hAnsi="Times New Roman"/>
          <w:b/>
          <w:sz w:val="36"/>
          <w:szCs w:val="36"/>
          <w:u w:val="single"/>
        </w:rPr>
      </w:pPr>
      <w:r>
        <w:rPr>
          <w:rFonts w:ascii="Times New Roman" w:hAnsi="Times New Roman"/>
          <w:sz w:val="22"/>
          <w:szCs w:val="22"/>
        </w:rPr>
        <w:br w:type="page"/>
      </w:r>
      <w:r w:rsidRPr="006D21DA">
        <w:rPr>
          <w:rFonts w:ascii="Times New Roman" w:hAnsi="Times New Roman"/>
          <w:b/>
          <w:sz w:val="36"/>
          <w:szCs w:val="36"/>
          <w:u w:val="single"/>
        </w:rPr>
        <w:t>PART A</w:t>
      </w:r>
    </w:p>
    <w:p w:rsidR="001D25F9" w:rsidRPr="006D21DA" w14:paraId="74685789" w14:textId="77777777">
      <w:pPr>
        <w:jc w:val="center"/>
        <w:rPr>
          <w:rFonts w:ascii="Times New Roman" w:hAnsi="Times New Roman"/>
          <w:b/>
          <w:sz w:val="36"/>
          <w:szCs w:val="36"/>
        </w:rPr>
      </w:pPr>
    </w:p>
    <w:p w:rsidR="001D25F9" w:rsidRPr="006D21DA" w14:paraId="61F311F6" w14:textId="77777777">
      <w:pPr>
        <w:jc w:val="center"/>
        <w:rPr>
          <w:rFonts w:ascii="Times New Roman" w:hAnsi="Times New Roman"/>
          <w:b/>
          <w:sz w:val="36"/>
          <w:szCs w:val="36"/>
        </w:rPr>
      </w:pPr>
      <w:r w:rsidRPr="006D21DA">
        <w:rPr>
          <w:rFonts w:ascii="Times New Roman" w:hAnsi="Times New Roman"/>
          <w:b/>
          <w:sz w:val="36"/>
          <w:szCs w:val="36"/>
        </w:rPr>
        <w:t>IMPORTANT</w:t>
      </w:r>
      <w:r w:rsidRPr="006D21DA">
        <w:rPr>
          <w:rFonts w:ascii="Times New Roman" w:hAnsi="Times New Roman"/>
          <w:sz w:val="36"/>
          <w:szCs w:val="36"/>
        </w:rPr>
        <w:t xml:space="preserve"> </w:t>
      </w:r>
      <w:r w:rsidRPr="006D21DA">
        <w:rPr>
          <w:rFonts w:ascii="Times New Roman" w:hAnsi="Times New Roman"/>
          <w:b/>
          <w:sz w:val="36"/>
          <w:szCs w:val="36"/>
        </w:rPr>
        <w:t xml:space="preserve">NOTICE FOR APPLICANTS/LICENSEES </w:t>
      </w:r>
    </w:p>
    <w:p w:rsidR="001D25F9" w:rsidRPr="006D21DA" w14:paraId="4504F97C" w14:textId="77777777">
      <w:pPr>
        <w:jc w:val="center"/>
        <w:rPr>
          <w:rFonts w:ascii="Times New Roman" w:hAnsi="Times New Roman"/>
          <w:b/>
          <w:sz w:val="36"/>
          <w:szCs w:val="36"/>
        </w:rPr>
      </w:pPr>
      <w:r w:rsidRPr="006D21DA">
        <w:rPr>
          <w:rFonts w:ascii="Times New Roman" w:hAnsi="Times New Roman"/>
          <w:b/>
          <w:sz w:val="36"/>
          <w:szCs w:val="36"/>
        </w:rPr>
        <w:t>WHO SUBMIT FEEABLE</w:t>
      </w:r>
      <w:r w:rsidRPr="006D21DA">
        <w:rPr>
          <w:rFonts w:ascii="Times New Roman" w:hAnsi="Times New Roman"/>
          <w:sz w:val="36"/>
          <w:szCs w:val="36"/>
        </w:rPr>
        <w:t xml:space="preserve"> </w:t>
      </w:r>
      <w:r w:rsidRPr="006D21DA">
        <w:rPr>
          <w:rFonts w:ascii="Times New Roman" w:hAnsi="Times New Roman"/>
          <w:b/>
          <w:sz w:val="36"/>
          <w:szCs w:val="36"/>
        </w:rPr>
        <w:t>FILINGS</w:t>
      </w:r>
    </w:p>
    <w:p w:rsidR="001D25F9" w14:paraId="6AE3F232" w14:textId="77777777">
      <w:pPr>
        <w:tabs>
          <w:tab w:val="left" w:pos="-720"/>
        </w:tabs>
        <w:suppressAutoHyphens/>
        <w:jc w:val="both"/>
        <w:rPr>
          <w:rFonts w:ascii="Times New Roman" w:hAnsi="Times New Roman"/>
          <w:sz w:val="22"/>
        </w:rPr>
      </w:pPr>
    </w:p>
    <w:p w:rsidR="001D25F9" w14:paraId="45CF546F" w14:textId="0E881B5F">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w:t>
      </w:r>
      <w:r w:rsidR="00D954E3">
        <w:rPr>
          <w:sz w:val="22"/>
          <w:szCs w:val="22"/>
        </w:rPr>
        <w:t xml:space="preserve">to the FCC. </w:t>
      </w:r>
      <w:r w:rsidR="00EB2C4F">
        <w:rPr>
          <w:sz w:val="22"/>
          <w:szCs w:val="22"/>
        </w:rPr>
        <w:t xml:space="preserve"> </w:t>
      </w:r>
      <w:r w:rsidR="00EB2C4F">
        <w:rPr>
          <w:b/>
          <w:sz w:val="22"/>
          <w:szCs w:val="22"/>
        </w:rPr>
        <w:t>P</w:t>
      </w:r>
      <w:r>
        <w:rPr>
          <w:b/>
          <w:sz w:val="22"/>
          <w:szCs w:val="22"/>
        </w:rPr>
        <w:t>lease have the FRN available when contacting or submitting documents to the FCC.</w:t>
      </w:r>
    </w:p>
    <w:p w:rsidR="001D25F9" w14:paraId="3DE7124C" w14:textId="77777777">
      <w:pPr>
        <w:rPr>
          <w:rFonts w:ascii="Times New Roman" w:hAnsi="Times New Roman"/>
          <w:sz w:val="22"/>
          <w:szCs w:val="22"/>
        </w:rPr>
      </w:pPr>
    </w:p>
    <w:p w:rsidR="001D25F9" w14:paraId="64B5BDA2" w14:textId="77777777">
      <w:pPr>
        <w:rPr>
          <w:rFonts w:ascii="Times New Roman" w:hAnsi="Times New Roman"/>
          <w:sz w:val="22"/>
          <w:szCs w:val="22"/>
        </w:rPr>
      </w:pPr>
      <w:r>
        <w:rPr>
          <w:rFonts w:ascii="Times New Roman" w:hAnsi="Times New Roman"/>
          <w:sz w:val="22"/>
          <w:szCs w:val="22"/>
        </w:rPr>
        <w:t>Ways to obtain a</w:t>
      </w:r>
      <w:r w:rsidR="00EB2C4F">
        <w:rPr>
          <w:rFonts w:ascii="Times New Roman" w:hAnsi="Times New Roman"/>
          <w:sz w:val="22"/>
          <w:szCs w:val="22"/>
        </w:rPr>
        <w:t>n</w:t>
      </w:r>
      <w:r>
        <w:rPr>
          <w:rFonts w:ascii="Times New Roman" w:hAnsi="Times New Roman"/>
          <w:sz w:val="22"/>
          <w:szCs w:val="22"/>
        </w:rPr>
        <w:t xml:space="preserve"> FCC Form 159:</w:t>
      </w:r>
    </w:p>
    <w:p w:rsidR="001D25F9" w:rsidP="007C11AF" w14:paraId="2B38C964" w14:textId="77777777">
      <w:pPr>
        <w:numPr>
          <w:ilvl w:val="0"/>
          <w:numId w:val="28"/>
        </w:numPr>
        <w:rPr>
          <w:rFonts w:ascii="Times New Roman" w:hAnsi="Times New Roman"/>
          <w:sz w:val="22"/>
          <w:szCs w:val="22"/>
        </w:rPr>
      </w:pPr>
      <w:r>
        <w:rPr>
          <w:rFonts w:ascii="Times New Roman" w:hAnsi="Times New Roman"/>
          <w:sz w:val="22"/>
          <w:szCs w:val="22"/>
        </w:rPr>
        <w:t xml:space="preserve">Go to </w:t>
      </w:r>
      <w:hyperlink r:id="rId5" w:history="1">
        <w:r w:rsidRPr="00D94B5E">
          <w:rPr>
            <w:rStyle w:val="Hyperlink"/>
            <w:rFonts w:ascii="Times New Roman" w:hAnsi="Times New Roman"/>
            <w:sz w:val="22"/>
            <w:szCs w:val="22"/>
          </w:rPr>
          <w:t>http://www.fcc.gov/formpage.html</w:t>
        </w:r>
      </w:hyperlink>
      <w:r>
        <w:rPr>
          <w:rFonts w:ascii="Times New Roman" w:hAnsi="Times New Roman"/>
          <w:sz w:val="22"/>
          <w:szCs w:val="22"/>
        </w:rPr>
        <w:t>.</w:t>
      </w:r>
    </w:p>
    <w:p w:rsidR="007C11AF" w:rsidP="007C11AF" w14:paraId="3C92DD7E" w14:textId="77777777">
      <w:pPr>
        <w:numPr>
          <w:ilvl w:val="0"/>
          <w:numId w:val="28"/>
        </w:numPr>
        <w:rPr>
          <w:rFonts w:ascii="Times New Roman" w:hAnsi="Times New Roman"/>
          <w:sz w:val="22"/>
          <w:szCs w:val="22"/>
        </w:rPr>
      </w:pPr>
      <w:r>
        <w:rPr>
          <w:rFonts w:ascii="Times New Roman" w:hAnsi="Times New Roman"/>
          <w:sz w:val="22"/>
          <w:szCs w:val="22"/>
        </w:rPr>
        <w:t xml:space="preserve">Call CORES </w:t>
      </w:r>
      <w:r w:rsidR="00B4487B">
        <w:rPr>
          <w:rFonts w:ascii="Times New Roman" w:hAnsi="Times New Roman"/>
          <w:sz w:val="22"/>
          <w:szCs w:val="22"/>
        </w:rPr>
        <w:t xml:space="preserve">Financial </w:t>
      </w:r>
      <w:r>
        <w:rPr>
          <w:rFonts w:ascii="Times New Roman" w:hAnsi="Times New Roman"/>
          <w:sz w:val="22"/>
          <w:szCs w:val="22"/>
        </w:rPr>
        <w:t>Helpdesk at 1-877-480-3201, Option 6.</w:t>
      </w:r>
    </w:p>
    <w:p w:rsidR="005A715D" w:rsidP="005A715D" w14:paraId="6947EE48" w14:textId="77777777">
      <w:pPr>
        <w:rPr>
          <w:rFonts w:ascii="Times New Roman" w:hAnsi="Times New Roman"/>
          <w:sz w:val="22"/>
          <w:szCs w:val="22"/>
        </w:rPr>
      </w:pPr>
      <w:bookmarkStart w:id="0" w:name="_Hlk76475838"/>
    </w:p>
    <w:p w:rsidR="005A715D" w:rsidRPr="006F0FD3" w:rsidP="005A715D" w14:paraId="078D3340" w14:textId="77777777">
      <w:pPr>
        <w:rPr>
          <w:rFonts w:ascii="Times New Roman" w:hAnsi="Times New Roman"/>
          <w:sz w:val="22"/>
          <w:szCs w:val="22"/>
        </w:rPr>
      </w:pPr>
      <w:r w:rsidRPr="006F0FD3">
        <w:rPr>
          <w:rFonts w:ascii="Times New Roman" w:hAnsi="Times New Roman"/>
          <w:sz w:val="22"/>
          <w:szCs w:val="22"/>
        </w:rPr>
        <w:t>Ways to obtain an FCC Registration Number (FRN):</w:t>
      </w:r>
    </w:p>
    <w:p w:rsidR="005A715D" w:rsidRPr="006F0FD3" w:rsidP="005A715D" w14:paraId="4EF3D1BA" w14:textId="77777777">
      <w:pPr>
        <w:pStyle w:val="BodyText2"/>
        <w:numPr>
          <w:ilvl w:val="0"/>
          <w:numId w:val="29"/>
        </w:numPr>
        <w:tabs>
          <w:tab w:val="clear" w:pos="777"/>
          <w:tab w:val="left" w:pos="1080"/>
          <w:tab w:val="left" w:pos="1170"/>
          <w:tab w:val="clear" w:pos="3840"/>
        </w:tabs>
        <w:ind w:right="720"/>
        <w:rPr>
          <w:sz w:val="22"/>
          <w:szCs w:val="22"/>
        </w:rPr>
      </w:pPr>
      <w:r w:rsidRPr="006F0FD3">
        <w:rPr>
          <w:sz w:val="22"/>
          <w:szCs w:val="22"/>
        </w:rPr>
        <w:t xml:space="preserve">Go to </w:t>
      </w:r>
      <w:hyperlink r:id="rId6" w:history="1">
        <w:r w:rsidRPr="006F0FD3">
          <w:rPr>
            <w:rStyle w:val="Hyperlink"/>
            <w:sz w:val="22"/>
            <w:szCs w:val="22"/>
          </w:rPr>
          <w:t>www.fcc.gov/cores</w:t>
        </w:r>
      </w:hyperlink>
      <w:r w:rsidRPr="006F0FD3">
        <w:rPr>
          <w:sz w:val="22"/>
          <w:szCs w:val="22"/>
        </w:rPr>
        <w:t xml:space="preserve"> and click Register link.</w:t>
      </w:r>
    </w:p>
    <w:p w:rsidR="005A715D" w:rsidRPr="006F0FD3" w:rsidP="005A715D" w14:paraId="7AC19E3D" w14:textId="77777777">
      <w:pPr>
        <w:pStyle w:val="BodyText2"/>
        <w:numPr>
          <w:ilvl w:val="0"/>
          <w:numId w:val="29"/>
        </w:numPr>
        <w:tabs>
          <w:tab w:val="clear" w:pos="777"/>
          <w:tab w:val="left" w:pos="1080"/>
          <w:tab w:val="left" w:pos="1170"/>
          <w:tab w:val="clear" w:pos="3840"/>
        </w:tabs>
        <w:ind w:right="720"/>
        <w:rPr>
          <w:sz w:val="22"/>
          <w:szCs w:val="22"/>
        </w:rPr>
      </w:pPr>
      <w:r w:rsidRPr="006F0FD3">
        <w:rPr>
          <w:sz w:val="22"/>
          <w:szCs w:val="22"/>
        </w:rPr>
        <w:t>Calling the FCC’s CORES Helpdesk at 1-877-480-3201, Option 1.</w:t>
      </w:r>
    </w:p>
    <w:bookmarkEnd w:id="0"/>
    <w:p w:rsidR="001D25F9" w14:paraId="70E089E9" w14:textId="77777777">
      <w:pPr>
        <w:pStyle w:val="BodyText2"/>
        <w:ind w:left="720"/>
        <w:rPr>
          <w:i/>
          <w:sz w:val="22"/>
          <w:szCs w:val="22"/>
        </w:rPr>
      </w:pPr>
    </w:p>
    <w:p w:rsidR="001D25F9" w:rsidRPr="00024877" w14:paraId="7117A44E" w14:textId="77777777">
      <w:pPr>
        <w:rPr>
          <w:rFonts w:ascii="Times New Roman" w:hAnsi="Times New Roman"/>
          <w:b/>
          <w:sz w:val="22"/>
          <w:szCs w:val="22"/>
          <w:u w:val="single"/>
        </w:rPr>
      </w:pPr>
      <w:r w:rsidRPr="00024877">
        <w:rPr>
          <w:rFonts w:ascii="Times New Roman" w:hAnsi="Times New Roman"/>
          <w:b/>
          <w:sz w:val="22"/>
          <w:szCs w:val="22"/>
          <w:u w:val="single"/>
        </w:rPr>
        <w:t>DEBT COLLECTION IMPROVEMENT ACT</w:t>
      </w:r>
    </w:p>
    <w:p w:rsidR="001D25F9" w14:paraId="33073D7F" w14:textId="77777777">
      <w:pPr>
        <w:rPr>
          <w:rFonts w:ascii="Times New Roman" w:hAnsi="Times New Roman"/>
          <w:b/>
          <w:sz w:val="22"/>
          <w:szCs w:val="22"/>
        </w:rPr>
      </w:pPr>
    </w:p>
    <w:p w:rsidR="001D25F9" w14:paraId="37CF0009" w14:textId="77777777">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9C3C43" w14:paraId="1B413D60" w14:textId="77777777">
      <w:pPr>
        <w:tabs>
          <w:tab w:val="left" w:pos="9360"/>
        </w:tabs>
        <w:outlineLvl w:val="0"/>
        <w:rPr>
          <w:rFonts w:ascii="Times New Roman" w:hAnsi="Times New Roman"/>
          <w:b/>
          <w:sz w:val="22"/>
          <w:szCs w:val="22"/>
        </w:rPr>
      </w:pPr>
    </w:p>
    <w:p w:rsidR="00C8471C" w:rsidRPr="00024877" w:rsidP="00C8471C" w14:paraId="30DC5921"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REMINDER REGARDING LOCKBOX CLOSURES</w:t>
      </w:r>
    </w:p>
    <w:p w:rsidR="00C8471C" w:rsidP="00C8471C" w14:paraId="105404E2" w14:textId="77777777">
      <w:pPr>
        <w:tabs>
          <w:tab w:val="left" w:pos="9360"/>
        </w:tabs>
        <w:rPr>
          <w:rFonts w:ascii="Times New Roman" w:hAnsi="Times New Roman"/>
          <w:b/>
          <w:sz w:val="22"/>
          <w:szCs w:val="22"/>
        </w:rPr>
      </w:pPr>
    </w:p>
    <w:p w:rsidR="001D25F9" w:rsidP="00C8471C" w14:paraId="024C06EE" w14:textId="36E9B871">
      <w:pPr>
        <w:tabs>
          <w:tab w:val="left" w:pos="9360"/>
        </w:tabs>
        <w:rPr>
          <w:rFonts w:ascii="Times New Roman" w:hAnsi="Times New Roman"/>
          <w:sz w:val="22"/>
          <w:szCs w:val="22"/>
        </w:rPr>
      </w:pPr>
      <w:r>
        <w:rPr>
          <w:rFonts w:ascii="Times New Roman" w:hAnsi="Times New Roman"/>
          <w:sz w:val="22"/>
          <w:szCs w:val="22"/>
        </w:rPr>
        <w:t xml:space="preserve">The </w:t>
      </w:r>
      <w:r w:rsidRPr="00CE1859" w:rsidR="0095794F">
        <w:rPr>
          <w:rFonts w:ascii="Times New Roman" w:hAnsi="Times New Roman"/>
          <w:sz w:val="22"/>
          <w:szCs w:val="22"/>
        </w:rPr>
        <w:t xml:space="preserve">Commission has </w:t>
      </w:r>
      <w:r>
        <w:rPr>
          <w:rFonts w:ascii="Times New Roman" w:hAnsi="Times New Roman"/>
          <w:sz w:val="22"/>
          <w:szCs w:val="22"/>
        </w:rPr>
        <w:t>closed</w:t>
      </w:r>
      <w:r w:rsidRPr="00CE1859" w:rsidR="0095794F">
        <w:rPr>
          <w:rFonts w:ascii="Times New Roman" w:hAnsi="Times New Roman"/>
          <w:sz w:val="22"/>
          <w:szCs w:val="22"/>
        </w:rPr>
        <w:t xml:space="preserve"> P.O. Boxes for the collection of fees and has </w:t>
      </w:r>
      <w:r>
        <w:rPr>
          <w:rFonts w:ascii="Times New Roman" w:hAnsi="Times New Roman"/>
          <w:sz w:val="22"/>
          <w:szCs w:val="22"/>
        </w:rPr>
        <w:t>required</w:t>
      </w:r>
      <w:r w:rsidRPr="00CE1859" w:rsidR="0095794F">
        <w:rPr>
          <w:rFonts w:ascii="Times New Roman" w:hAnsi="Times New Roman"/>
          <w:sz w:val="22"/>
          <w:szCs w:val="22"/>
        </w:rPr>
        <w:t xml:space="preserve"> the use of electronic payment systems for all application and regulatory fees.</w:t>
      </w:r>
      <w:r>
        <w:rPr>
          <w:rFonts w:ascii="Times New Roman" w:hAnsi="Times New Roman"/>
          <w:sz w:val="22"/>
          <w:szCs w:val="22"/>
          <w:vertAlign w:val="superscript"/>
        </w:rPr>
        <w:footnoteReference w:id="2"/>
      </w:r>
      <w:r w:rsidRPr="00CE1859" w:rsidR="0095794F">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 w:val="22"/>
          <w:szCs w:val="22"/>
          <w:vertAlign w:val="superscript"/>
        </w:rPr>
        <w:footnoteReference w:id="3"/>
      </w:r>
      <w:r w:rsidRPr="00CE1859" w:rsidR="0095794F">
        <w:rPr>
          <w:rFonts w:ascii="Times New Roman" w:hAnsi="Times New Roman"/>
          <w:sz w:val="22"/>
          <w:szCs w:val="22"/>
        </w:rPr>
        <w:t xml:space="preserve">  As part of this process, the Commission has closed Lockbox 979091 (used to submit fees and petitions related to services provided by the Wireline Competition Bureau).</w:t>
      </w:r>
      <w:r>
        <w:rPr>
          <w:rStyle w:val="FootnoteReference"/>
          <w:rFonts w:ascii="Times New Roman" w:hAnsi="Times New Roman"/>
          <w:sz w:val="22"/>
          <w:szCs w:val="22"/>
        </w:rPr>
        <w:footnoteReference w:id="4"/>
      </w:r>
      <w:r w:rsidRPr="00CE1859" w:rsidR="0095794F">
        <w:rPr>
          <w:rFonts w:ascii="Times New Roman" w:hAnsi="Times New Roman"/>
          <w:sz w:val="22"/>
          <w:szCs w:val="22"/>
        </w:rPr>
        <w:t xml:space="preserve">  </w:t>
      </w:r>
      <w:r>
        <w:rPr>
          <w:rFonts w:ascii="Times New Roman" w:hAnsi="Times New Roman"/>
          <w:sz w:val="22"/>
          <w:szCs w:val="22"/>
        </w:rPr>
        <w:t xml:space="preserve">As a result, applications should be submitted electronically in accordance with the instructions below.  </w:t>
      </w:r>
    </w:p>
    <w:p w:rsidR="005A715D" w:rsidP="00C8471C" w14:paraId="39B28E1C" w14:textId="77777777">
      <w:pPr>
        <w:tabs>
          <w:tab w:val="left" w:pos="9360"/>
        </w:tabs>
        <w:rPr>
          <w:rFonts w:ascii="Times New Roman" w:hAnsi="Times New Roman"/>
          <w:sz w:val="22"/>
          <w:szCs w:val="22"/>
        </w:rPr>
      </w:pPr>
    </w:p>
    <w:p w:rsidR="00EB2C4F" w:rsidP="00C8471C" w14:paraId="1202A41D" w14:textId="77777777">
      <w:pPr>
        <w:tabs>
          <w:tab w:val="left" w:pos="9360"/>
        </w:tabs>
        <w:rPr>
          <w:rFonts w:ascii="Times New Roman" w:hAnsi="Times New Roman"/>
          <w:b/>
          <w:bCs/>
          <w:sz w:val="22"/>
          <w:szCs w:val="22"/>
        </w:rPr>
      </w:pPr>
    </w:p>
    <w:p w:rsidR="00EB2C4F" w:rsidP="00C8471C" w14:paraId="0A5EB226" w14:textId="77777777">
      <w:pPr>
        <w:tabs>
          <w:tab w:val="left" w:pos="9360"/>
        </w:tabs>
        <w:rPr>
          <w:rFonts w:ascii="Times New Roman" w:hAnsi="Times New Roman"/>
          <w:b/>
          <w:bCs/>
          <w:sz w:val="22"/>
          <w:szCs w:val="22"/>
        </w:rPr>
      </w:pPr>
    </w:p>
    <w:p w:rsidR="005A715D" w:rsidRPr="00B81787" w:rsidP="00C8471C" w14:paraId="6DE50576" w14:textId="77777777">
      <w:pPr>
        <w:tabs>
          <w:tab w:val="left" w:pos="9360"/>
        </w:tabs>
        <w:rPr>
          <w:rFonts w:ascii="Times New Roman" w:hAnsi="Times New Roman"/>
          <w:b/>
          <w:bCs/>
          <w:sz w:val="22"/>
          <w:szCs w:val="22"/>
          <w:u w:val="single"/>
        </w:rPr>
      </w:pPr>
      <w:r w:rsidRPr="00B81787">
        <w:rPr>
          <w:rFonts w:ascii="Times New Roman" w:hAnsi="Times New Roman"/>
          <w:b/>
          <w:bCs/>
          <w:sz w:val="22"/>
          <w:szCs w:val="22"/>
          <w:u w:val="single"/>
        </w:rPr>
        <w:t>APPLICATION FILING AND PAYMENT INSTRUCTIONS</w:t>
      </w:r>
    </w:p>
    <w:p w:rsidR="005A715D" w:rsidP="00C8471C" w14:paraId="060F7FC6" w14:textId="77777777">
      <w:pPr>
        <w:tabs>
          <w:tab w:val="left" w:pos="9360"/>
        </w:tabs>
        <w:rPr>
          <w:rFonts w:ascii="Times New Roman" w:hAnsi="Times New Roman"/>
          <w:b/>
          <w:bCs/>
          <w:sz w:val="22"/>
          <w:szCs w:val="22"/>
        </w:rPr>
      </w:pPr>
    </w:p>
    <w:p w:rsidR="005A715D" w:rsidRPr="00024877" w:rsidP="005A715D" w14:paraId="1BA584CE" w14:textId="77777777">
      <w:pPr>
        <w:pStyle w:val="BodyText"/>
        <w:spacing w:before="44"/>
        <w:rPr>
          <w:b/>
          <w:bCs/>
          <w:sz w:val="22"/>
          <w:szCs w:val="22"/>
          <w:u w:val="single"/>
        </w:rPr>
      </w:pPr>
      <w:r w:rsidRPr="00024877">
        <w:rPr>
          <w:b/>
          <w:bCs/>
          <w:sz w:val="22"/>
          <w:szCs w:val="22"/>
          <w:u w:val="single"/>
        </w:rPr>
        <w:t xml:space="preserve">Section 214 and VoIP Numbering Authorization Applications  </w:t>
      </w:r>
    </w:p>
    <w:p w:rsidR="005A715D" w:rsidRPr="00024877" w:rsidP="00024877" w14:paraId="37E49D51" w14:textId="4A5D8D8D">
      <w:pPr>
        <w:pStyle w:val="BodyText"/>
        <w:spacing w:before="44"/>
        <w:rPr>
          <w:sz w:val="22"/>
          <w:szCs w:val="22"/>
        </w:rPr>
      </w:pPr>
      <w:r w:rsidRPr="00024877">
        <w:rPr>
          <w:sz w:val="22"/>
          <w:szCs w:val="22"/>
        </w:rPr>
        <w:t>Applicants must electronically file section 214 transfer of control and</w:t>
      </w:r>
      <w:r>
        <w:rPr>
          <w:sz w:val="22"/>
          <w:szCs w:val="22"/>
        </w:rPr>
        <w:t xml:space="preserve"> special temporary authority (</w:t>
      </w:r>
      <w:r w:rsidRPr="00024877">
        <w:rPr>
          <w:sz w:val="22"/>
          <w:szCs w:val="22"/>
        </w:rPr>
        <w:t>STA</w:t>
      </w:r>
      <w:r>
        <w:rPr>
          <w:sz w:val="22"/>
          <w:szCs w:val="22"/>
        </w:rPr>
        <w:t>)</w:t>
      </w:r>
      <w:r w:rsidRPr="00024877">
        <w:rPr>
          <w:sz w:val="22"/>
          <w:szCs w:val="22"/>
        </w:rPr>
        <w:t xml:space="preserve"> applications, section 214 discontinuance applications, and VoIP numbering authorization applications </w:t>
      </w:r>
      <w:bookmarkStart w:id="1" w:name="_Hlk89170807"/>
      <w:r w:rsidRPr="00024877">
        <w:rPr>
          <w:sz w:val="22"/>
          <w:szCs w:val="22"/>
        </w:rPr>
        <w:t>by accessing the appropriate “</w:t>
      </w:r>
      <w:r w:rsidRPr="00024877">
        <w:rPr>
          <w:color w:val="020100"/>
          <w:spacing w:val="-8"/>
          <w:sz w:val="22"/>
          <w:szCs w:val="22"/>
        </w:rPr>
        <w:t xml:space="preserve">Inbox” in the </w:t>
      </w:r>
      <w:r w:rsidRPr="00024877">
        <w:rPr>
          <w:color w:val="020100"/>
          <w:sz w:val="22"/>
          <w:szCs w:val="22"/>
        </w:rPr>
        <w:t>“Submit</w:t>
      </w:r>
      <w:r w:rsidRPr="00024877">
        <w:rPr>
          <w:color w:val="020100"/>
          <w:spacing w:val="-7"/>
          <w:sz w:val="22"/>
          <w:szCs w:val="22"/>
        </w:rPr>
        <w:t xml:space="preserve"> </w:t>
      </w:r>
      <w:r w:rsidRPr="00024877">
        <w:rPr>
          <w:color w:val="020100"/>
          <w:sz w:val="22"/>
          <w:szCs w:val="22"/>
        </w:rPr>
        <w:t>a</w:t>
      </w:r>
      <w:r w:rsidRPr="00024877">
        <w:rPr>
          <w:color w:val="020100"/>
          <w:spacing w:val="-8"/>
          <w:sz w:val="22"/>
          <w:szCs w:val="22"/>
        </w:rPr>
        <w:t xml:space="preserve"> </w:t>
      </w:r>
      <w:r w:rsidRPr="00024877">
        <w:rPr>
          <w:color w:val="020100"/>
          <w:spacing w:val="4"/>
          <w:sz w:val="22"/>
          <w:szCs w:val="22"/>
        </w:rPr>
        <w:t>Non-</w:t>
      </w:r>
      <w:r w:rsidRPr="00024877">
        <w:rPr>
          <w:color w:val="020100"/>
          <w:sz w:val="22"/>
          <w:szCs w:val="22"/>
        </w:rPr>
        <w:t>Docketed</w:t>
      </w:r>
      <w:r w:rsidRPr="00024877">
        <w:rPr>
          <w:color w:val="020100"/>
          <w:spacing w:val="-6"/>
          <w:sz w:val="22"/>
          <w:szCs w:val="22"/>
        </w:rPr>
        <w:t xml:space="preserve"> </w:t>
      </w:r>
      <w:r w:rsidRPr="00024877">
        <w:rPr>
          <w:color w:val="020100"/>
          <w:sz w:val="22"/>
          <w:szCs w:val="22"/>
        </w:rPr>
        <w:t>Filing”</w:t>
      </w:r>
      <w:r w:rsidRPr="00024877">
        <w:rPr>
          <w:color w:val="020100"/>
          <w:spacing w:val="-6"/>
          <w:sz w:val="22"/>
          <w:szCs w:val="22"/>
        </w:rPr>
        <w:t xml:space="preserve"> </w:t>
      </w:r>
      <w:r w:rsidRPr="00024877">
        <w:rPr>
          <w:color w:val="020100"/>
          <w:sz w:val="22"/>
          <w:szCs w:val="22"/>
        </w:rPr>
        <w:t>module</w:t>
      </w:r>
      <w:bookmarkEnd w:id="1"/>
      <w:r w:rsidRPr="00024877">
        <w:rPr>
          <w:color w:val="020100"/>
          <w:spacing w:val="-5"/>
          <w:sz w:val="22"/>
          <w:szCs w:val="22"/>
        </w:rPr>
        <w:t xml:space="preserve"> </w:t>
      </w:r>
      <w:r w:rsidRPr="00024877">
        <w:rPr>
          <w:color w:val="020100"/>
          <w:sz w:val="22"/>
          <w:szCs w:val="22"/>
        </w:rPr>
        <w:t>of</w:t>
      </w:r>
      <w:r w:rsidRPr="00024877">
        <w:rPr>
          <w:color w:val="020100"/>
          <w:spacing w:val="-6"/>
          <w:sz w:val="22"/>
          <w:szCs w:val="22"/>
        </w:rPr>
        <w:t xml:space="preserve"> </w:t>
      </w:r>
      <w:r w:rsidRPr="00024877">
        <w:rPr>
          <w:sz w:val="22"/>
          <w:szCs w:val="22"/>
        </w:rPr>
        <w:t>the Commission’s Electronic Comment Filing System (ECFS) (</w:t>
      </w:r>
      <w:hyperlink r:id="rId7" w:history="1">
        <w:r w:rsidRPr="00024877">
          <w:rPr>
            <w:rStyle w:val="Hyperlink"/>
            <w:sz w:val="22"/>
            <w:szCs w:val="22"/>
          </w:rPr>
          <w:t>https://www.fcc.gov/ecfs/</w:t>
        </w:r>
      </w:hyperlink>
      <w:r w:rsidRPr="00024877">
        <w:rPr>
          <w:sz w:val="22"/>
          <w:szCs w:val="22"/>
        </w:rPr>
        <w:t>).</w:t>
      </w:r>
      <w:r>
        <w:rPr>
          <w:rStyle w:val="FootnoteReference"/>
          <w:sz w:val="22"/>
          <w:szCs w:val="22"/>
        </w:rPr>
        <w:footnoteReference w:id="5"/>
      </w:r>
      <w:r w:rsidRPr="00024877">
        <w:rPr>
          <w:sz w:val="22"/>
          <w:szCs w:val="22"/>
        </w:rPr>
        <w:t xml:space="preserve">  At the same time as submitting an application in ECFS, </w:t>
      </w:r>
      <w:bookmarkStart w:id="2" w:name="_Hlk89441165"/>
      <w:r w:rsidRPr="00024877">
        <w:rPr>
          <w:sz w:val="22"/>
          <w:szCs w:val="22"/>
        </w:rPr>
        <w:t xml:space="preserve">Applicants must separately pay the associated application processing fee through the Commission’s Registration System (CORES) (the Commission’s Management and Financial system), </w:t>
      </w:r>
      <w:bookmarkEnd w:id="2"/>
      <w:r w:rsidRPr="00024877">
        <w:rPr>
          <w:sz w:val="22"/>
          <w:szCs w:val="22"/>
        </w:rPr>
        <w:t xml:space="preserve">which can be reached either at </w:t>
      </w:r>
      <w:hyperlink r:id="rId8" w:history="1">
        <w:r w:rsidRPr="00024877">
          <w:rPr>
            <w:rStyle w:val="Hyperlink"/>
            <w:sz w:val="22"/>
            <w:szCs w:val="22"/>
          </w:rPr>
          <w:t>https://apps.fcc.gov/cores/userLogin.do</w:t>
        </w:r>
      </w:hyperlink>
      <w:r w:rsidRPr="00024877">
        <w:rPr>
          <w:sz w:val="22"/>
          <w:szCs w:val="22"/>
        </w:rPr>
        <w:t xml:space="preserve"> using an existing FCC Username account, or through the CORES’ FCC Registration Number (FRN) access page at </w:t>
      </w:r>
      <w:hyperlink r:id="rId9" w:history="1">
        <w:r w:rsidRPr="00024877">
          <w:rPr>
            <w:rStyle w:val="Hyperlink"/>
            <w:sz w:val="22"/>
            <w:szCs w:val="22"/>
          </w:rPr>
          <w:t>https://apps.fcc.gov/cores/paymentFrnLogin.do</w:t>
        </w:r>
      </w:hyperlink>
      <w:r w:rsidRPr="00024877">
        <w:rPr>
          <w:sz w:val="22"/>
          <w:szCs w:val="22"/>
        </w:rPr>
        <w:t xml:space="preserve">.  </w:t>
      </w:r>
    </w:p>
    <w:p w:rsidR="005A715D" w:rsidRPr="00024877" w:rsidP="005A715D" w14:paraId="5873F508" w14:textId="77777777">
      <w:pPr>
        <w:pStyle w:val="BodyText"/>
        <w:spacing w:before="44"/>
        <w:rPr>
          <w:b/>
          <w:bCs/>
          <w:sz w:val="22"/>
          <w:szCs w:val="22"/>
          <w:u w:val="single"/>
        </w:rPr>
      </w:pPr>
    </w:p>
    <w:p w:rsidR="005A715D" w:rsidRPr="00024877" w:rsidP="005A715D" w14:paraId="738C0E1E" w14:textId="77777777">
      <w:pPr>
        <w:pStyle w:val="BodyText"/>
        <w:spacing w:before="44"/>
        <w:rPr>
          <w:b/>
          <w:bCs/>
          <w:sz w:val="22"/>
          <w:szCs w:val="22"/>
          <w:u w:val="single"/>
        </w:rPr>
      </w:pPr>
      <w:r w:rsidRPr="00024877">
        <w:rPr>
          <w:b/>
          <w:bCs/>
          <w:sz w:val="22"/>
          <w:szCs w:val="22"/>
          <w:u w:val="single"/>
        </w:rPr>
        <w:t>Tariff Filings and Accounting Waivers</w:t>
      </w:r>
    </w:p>
    <w:p w:rsidR="005A715D" w:rsidRPr="00024877" w:rsidP="00024877" w14:paraId="5F068969" w14:textId="77777777">
      <w:pPr>
        <w:pStyle w:val="BodyText"/>
        <w:spacing w:before="44"/>
        <w:rPr>
          <w:sz w:val="22"/>
          <w:szCs w:val="22"/>
        </w:rPr>
      </w:pPr>
      <w:bookmarkStart w:id="3" w:name="_Hlk89100305"/>
      <w:r w:rsidRPr="00024877">
        <w:rPr>
          <w:sz w:val="22"/>
          <w:szCs w:val="22"/>
        </w:rPr>
        <w:t>Applicants must submit standard tariff filings, complex tariff filings (large), complex tariff filings (small), and applications for special permission for waiver of Commission rules by logging into the Commission’s Electronic Tariff Filing System (ETFS) (</w:t>
      </w:r>
      <w:hyperlink r:id="rId10" w:history="1">
        <w:r w:rsidRPr="00024877">
          <w:rPr>
            <w:rStyle w:val="Hyperlink"/>
            <w:sz w:val="22"/>
            <w:szCs w:val="22"/>
          </w:rPr>
          <w:t>https://apps.fcc.gov/etfs/etfsHome.action</w:t>
        </w:r>
      </w:hyperlink>
      <w:r w:rsidRPr="00024877">
        <w:rPr>
          <w:sz w:val="22"/>
          <w:szCs w:val="22"/>
        </w:rPr>
        <w:t>) and accessing the appropriate “Filing Type.”  At the same time as submitting a tariff filing or application on ETFS, Applicants must separately pay the associated processing fee using the CORES payment module.  Finally, Applicants must electronically file applications for waiver of accounting rules by accessing the appropriate “</w:t>
      </w:r>
      <w:r w:rsidRPr="00024877">
        <w:rPr>
          <w:color w:val="020100"/>
          <w:spacing w:val="-8"/>
          <w:sz w:val="22"/>
          <w:szCs w:val="22"/>
        </w:rPr>
        <w:t xml:space="preserve">Inbox” in the </w:t>
      </w:r>
      <w:r w:rsidRPr="00024877">
        <w:rPr>
          <w:color w:val="020100"/>
          <w:sz w:val="22"/>
          <w:szCs w:val="22"/>
        </w:rPr>
        <w:t>“Submit</w:t>
      </w:r>
      <w:r w:rsidRPr="00024877">
        <w:rPr>
          <w:color w:val="020100"/>
          <w:spacing w:val="-7"/>
          <w:sz w:val="22"/>
          <w:szCs w:val="22"/>
        </w:rPr>
        <w:t xml:space="preserve"> </w:t>
      </w:r>
      <w:r w:rsidRPr="00024877">
        <w:rPr>
          <w:color w:val="020100"/>
          <w:sz w:val="22"/>
          <w:szCs w:val="22"/>
        </w:rPr>
        <w:t>a</w:t>
      </w:r>
      <w:r w:rsidRPr="00024877">
        <w:rPr>
          <w:color w:val="020100"/>
          <w:spacing w:val="-8"/>
          <w:sz w:val="22"/>
          <w:szCs w:val="22"/>
        </w:rPr>
        <w:t xml:space="preserve"> </w:t>
      </w:r>
      <w:r w:rsidRPr="00024877">
        <w:rPr>
          <w:color w:val="020100"/>
          <w:spacing w:val="4"/>
          <w:sz w:val="22"/>
          <w:szCs w:val="22"/>
        </w:rPr>
        <w:t>Non-</w:t>
      </w:r>
      <w:r w:rsidRPr="00024877">
        <w:rPr>
          <w:color w:val="020100"/>
          <w:sz w:val="22"/>
          <w:szCs w:val="22"/>
        </w:rPr>
        <w:t>Docketed</w:t>
      </w:r>
      <w:r w:rsidRPr="00024877">
        <w:rPr>
          <w:color w:val="020100"/>
          <w:spacing w:val="-6"/>
          <w:sz w:val="22"/>
          <w:szCs w:val="22"/>
        </w:rPr>
        <w:t xml:space="preserve"> </w:t>
      </w:r>
      <w:r w:rsidRPr="00024877">
        <w:rPr>
          <w:color w:val="020100"/>
          <w:sz w:val="22"/>
          <w:szCs w:val="22"/>
        </w:rPr>
        <w:t>Filing”</w:t>
      </w:r>
      <w:r w:rsidRPr="00024877">
        <w:rPr>
          <w:color w:val="020100"/>
          <w:spacing w:val="-6"/>
          <w:sz w:val="22"/>
          <w:szCs w:val="22"/>
        </w:rPr>
        <w:t xml:space="preserve"> </w:t>
      </w:r>
      <w:r w:rsidRPr="00024877">
        <w:rPr>
          <w:color w:val="020100"/>
          <w:sz w:val="22"/>
          <w:szCs w:val="22"/>
        </w:rPr>
        <w:t>module</w:t>
      </w:r>
      <w:r w:rsidRPr="00024877">
        <w:rPr>
          <w:sz w:val="22"/>
          <w:szCs w:val="22"/>
        </w:rPr>
        <w:t xml:space="preserve"> in ECFS (INBOX-1.1105) and </w:t>
      </w:r>
      <w:bookmarkStart w:id="4" w:name="_Hlk89171481"/>
      <w:r w:rsidRPr="00024877">
        <w:rPr>
          <w:sz w:val="22"/>
          <w:szCs w:val="22"/>
        </w:rPr>
        <w:t>using the CORES payment module to pay the associated processing fee</w:t>
      </w:r>
      <w:bookmarkEnd w:id="3"/>
      <w:bookmarkEnd w:id="4"/>
      <w:r w:rsidRPr="00024877">
        <w:rPr>
          <w:sz w:val="22"/>
          <w:szCs w:val="22"/>
        </w:rPr>
        <w:t>.</w:t>
      </w:r>
    </w:p>
    <w:p w:rsidR="001D25F9" w14:paraId="18D26C5F" w14:textId="77777777">
      <w:pPr>
        <w:tabs>
          <w:tab w:val="left" w:pos="9360"/>
        </w:tabs>
        <w:outlineLvl w:val="0"/>
        <w:rPr>
          <w:rFonts w:ascii="Times New Roman" w:hAnsi="Times New Roman"/>
          <w:b/>
          <w:sz w:val="22"/>
          <w:szCs w:val="22"/>
        </w:rPr>
      </w:pPr>
    </w:p>
    <w:p w:rsidR="001D25F9" w:rsidRPr="00024877" w14:paraId="5B942937"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 xml:space="preserve">METHOD OF PAYMENT </w:t>
      </w:r>
    </w:p>
    <w:p w:rsidR="001D25F9" w14:paraId="5DFDFF5E" w14:textId="77777777">
      <w:pPr>
        <w:tabs>
          <w:tab w:val="left" w:pos="9360"/>
        </w:tabs>
        <w:rPr>
          <w:rFonts w:ascii="Times New Roman" w:hAnsi="Times New Roman"/>
          <w:b/>
          <w:sz w:val="22"/>
          <w:szCs w:val="22"/>
        </w:rPr>
      </w:pPr>
    </w:p>
    <w:p w:rsidR="001D25F9" w14:paraId="743A9190" w14:textId="77777777">
      <w:pPr>
        <w:tabs>
          <w:tab w:val="left" w:pos="9360"/>
        </w:tabs>
        <w:rPr>
          <w:rFonts w:ascii="Times New Roman" w:hAnsi="Times New Roman"/>
          <w:b/>
          <w:sz w:val="22"/>
          <w:szCs w:val="22"/>
        </w:rPr>
      </w:pPr>
      <w:r w:rsidRPr="00365EA9">
        <w:rPr>
          <w:rFonts w:ascii="Times New Roman" w:hAnsi="Times New Roman"/>
          <w:b/>
          <w:sz w:val="22"/>
          <w:szCs w:val="22"/>
        </w:rPr>
        <w:t>Payment of fees by check or money order are no longer accepted</w:t>
      </w:r>
      <w:r>
        <w:rPr>
          <w:rFonts w:ascii="Times New Roman" w:hAnsi="Times New Roman"/>
          <w:sz w:val="22"/>
          <w:szCs w:val="22"/>
        </w:rPr>
        <w:t xml:space="preserve">.  The Commission accepts Visa, MasterCard, American Express, and Discover credit cards when making payments for </w:t>
      </w:r>
      <w:r w:rsidRPr="00227BE0">
        <w:rPr>
          <w:rFonts w:ascii="Times New Roman" w:hAnsi="Times New Roman"/>
          <w:sz w:val="22"/>
          <w:szCs w:val="22"/>
          <w:u w:val="single"/>
        </w:rPr>
        <w:t xml:space="preserve">online </w:t>
      </w:r>
      <w:r>
        <w:rPr>
          <w:rFonts w:ascii="Times New Roman" w:hAnsi="Times New Roman"/>
          <w:sz w:val="22"/>
          <w:szCs w:val="22"/>
        </w:rPr>
        <w:t>applications.</w:t>
      </w:r>
    </w:p>
    <w:p w:rsidR="001D25F9" w14:paraId="05EF280B" w14:textId="77777777">
      <w:pPr>
        <w:tabs>
          <w:tab w:val="left" w:pos="9360"/>
        </w:tabs>
        <w:rPr>
          <w:rFonts w:ascii="Times New Roman" w:hAnsi="Times New Roman"/>
          <w:b/>
          <w:sz w:val="22"/>
          <w:szCs w:val="22"/>
        </w:rPr>
      </w:pPr>
    </w:p>
    <w:p w:rsidR="001D25F9" w14:paraId="42DFE2AC" w14:textId="77777777">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bookmarkStart w:id="5" w:name="_Hlk521674470"/>
      <w:r>
        <w:rPr>
          <w:rFonts w:ascii="Times New Roman" w:hAnsi="Times New Roman"/>
          <w:sz w:val="22"/>
          <w:szCs w:val="22"/>
        </w:rPr>
        <w:t>For further instructions in making payment by wire see our website at http://www.fcc.gov/fees/wiretran.html.</w:t>
      </w:r>
      <w:bookmarkEnd w:id="5"/>
      <w:r>
        <w:rPr>
          <w:rFonts w:ascii="Times New Roman" w:hAnsi="Times New Roman"/>
          <w:sz w:val="22"/>
          <w:szCs w:val="22"/>
        </w:rPr>
        <w:t xml:space="preserve">  </w:t>
      </w:r>
    </w:p>
    <w:p w:rsidR="001D25F9" w14:paraId="2207AE90" w14:textId="77777777">
      <w:pPr>
        <w:tabs>
          <w:tab w:val="left" w:pos="9360"/>
        </w:tabs>
        <w:rPr>
          <w:rFonts w:ascii="Times New Roman" w:hAnsi="Times New Roman"/>
          <w:sz w:val="22"/>
          <w:szCs w:val="22"/>
        </w:rPr>
      </w:pPr>
    </w:p>
    <w:p w:rsidR="004C0C2D" w:rsidP="004C0C2D" w14:paraId="79DC7F36" w14:textId="031841C0">
      <w:pPr>
        <w:tabs>
          <w:tab w:val="left" w:pos="9360"/>
        </w:tabs>
        <w:rPr>
          <w:rFonts w:ascii="Times New Roman" w:hAnsi="Times New Roman"/>
          <w:sz w:val="22"/>
          <w:szCs w:val="22"/>
        </w:rPr>
      </w:pPr>
      <w:r>
        <w:rPr>
          <w:rFonts w:ascii="Times New Roman" w:hAnsi="Times New Roman"/>
          <w:sz w:val="22"/>
          <w:szCs w:val="22"/>
        </w:rPr>
        <w:t>Payment of fees, fines, and other debts may also be made by electronic payment.   This is designed specifically for larger corporations capable of CPU/CPU communication.  To obtain more information about electronic payment and how it works, please contact the Revenue and Receivables Operations Group at (202) 418-1995.  For further information on making payment by electronic transfer see our website at</w:t>
      </w:r>
      <w:r>
        <w:rPr>
          <w:rStyle w:val="Hyperlink"/>
          <w:rFonts w:ascii="Times New Roman" w:hAnsi="Times New Roman"/>
          <w:sz w:val="22"/>
          <w:szCs w:val="22"/>
        </w:rPr>
        <w:t xml:space="preserve"> </w:t>
      </w:r>
      <w:hyperlink r:id="rId11" w:history="1">
        <w:r w:rsidRPr="004A623C">
          <w:rPr>
            <w:rStyle w:val="Hyperlink"/>
            <w:rFonts w:ascii="Times New Roman" w:hAnsi="Times New Roman"/>
            <w:sz w:val="22"/>
            <w:szCs w:val="22"/>
          </w:rPr>
          <w:t>https://www</w:t>
        </w:r>
      </w:hyperlink>
      <w:r w:rsidRPr="004C0C2D">
        <w:rPr>
          <w:rStyle w:val="Hyperlink"/>
          <w:rFonts w:ascii="Times New Roman" w:hAnsi="Times New Roman"/>
          <w:sz w:val="22"/>
          <w:szCs w:val="22"/>
        </w:rPr>
        <w:t>.fcc.gov/licensing-databases/fees/wire-transfer</w:t>
      </w:r>
      <w:r>
        <w:rPr>
          <w:rFonts w:ascii="Times New Roman" w:hAnsi="Times New Roman"/>
          <w:sz w:val="22"/>
          <w:szCs w:val="22"/>
        </w:rPr>
        <w:t>.</w:t>
      </w:r>
    </w:p>
    <w:p w:rsidR="001D25F9" w:rsidP="00E60262" w14:paraId="1BC08822" w14:textId="2A838C7C">
      <w:pPr>
        <w:tabs>
          <w:tab w:val="left" w:pos="9360"/>
        </w:tabs>
        <w:rPr>
          <w:rFonts w:ascii="Times New Roman" w:hAnsi="Times New Roman"/>
          <w:sz w:val="22"/>
          <w:szCs w:val="22"/>
        </w:rPr>
      </w:pPr>
      <w:r>
        <w:rPr>
          <w:rFonts w:ascii="Times New Roman" w:hAnsi="Times New Roman"/>
          <w:sz w:val="22"/>
          <w:szCs w:val="22"/>
        </w:rPr>
        <w:t xml:space="preserve"> </w:t>
      </w:r>
    </w:p>
    <w:p w:rsidR="001D25F9" w:rsidRPr="00024877" w14:paraId="7A808762" w14:textId="3705D9CF">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NONFEEABLE APPLICATIONS</w:t>
      </w:r>
    </w:p>
    <w:p w:rsidR="001D25F9" w14:paraId="2FD6BC87" w14:textId="77777777">
      <w:pPr>
        <w:tabs>
          <w:tab w:val="left" w:pos="9360"/>
        </w:tabs>
        <w:rPr>
          <w:rFonts w:ascii="Times New Roman" w:hAnsi="Times New Roman"/>
          <w:sz w:val="22"/>
          <w:szCs w:val="22"/>
        </w:rPr>
      </w:pPr>
    </w:p>
    <w:p w:rsidR="001D25F9" w14:paraId="5C0B5FAF" w14:textId="77777777">
      <w:pPr>
        <w:tabs>
          <w:tab w:val="left" w:pos="9360"/>
        </w:tabs>
        <w:rPr>
          <w:rFonts w:ascii="Times New Roman" w:hAnsi="Times New Roman"/>
          <w:sz w:val="22"/>
          <w:szCs w:val="22"/>
        </w:rPr>
      </w:pPr>
      <w:r>
        <w:rPr>
          <w:rFonts w:ascii="Times New Roman" w:hAnsi="Times New Roman"/>
          <w:sz w:val="22"/>
          <w:szCs w:val="22"/>
        </w:rPr>
        <w:t xml:space="preserve">All nonfeeable applications filed in Washington, DC must be filed directly with the Secretary's Office, </w:t>
      </w:r>
      <w:r w:rsidR="00D932B1">
        <w:rPr>
          <w:rFonts w:ascii="Times New Roman" w:hAnsi="Times New Roman"/>
          <w:sz w:val="22"/>
          <w:szCs w:val="22"/>
        </w:rPr>
        <w:t>45 L Street, N.E.</w:t>
      </w:r>
      <w:r>
        <w:rPr>
          <w:rFonts w:ascii="Times New Roman" w:hAnsi="Times New Roman"/>
          <w:sz w:val="22"/>
          <w:szCs w:val="22"/>
        </w:rPr>
        <w:t xml:space="preserve">, Washington, DC 20554 and should be captioned Attention: Wireline Competition Bureau.  </w:t>
      </w:r>
    </w:p>
    <w:p w:rsidR="00EB2C4F" w14:paraId="4F81DA11" w14:textId="77777777">
      <w:pPr>
        <w:tabs>
          <w:tab w:val="left" w:pos="9360"/>
        </w:tabs>
        <w:outlineLvl w:val="0"/>
        <w:rPr>
          <w:rFonts w:ascii="Times New Roman" w:hAnsi="Times New Roman"/>
          <w:b/>
          <w:sz w:val="22"/>
          <w:szCs w:val="22"/>
          <w:u w:val="single"/>
        </w:rPr>
      </w:pPr>
    </w:p>
    <w:p w:rsidR="009A552E" w14:paraId="78494FF5" w14:textId="77777777">
      <w:pPr>
        <w:tabs>
          <w:tab w:val="left" w:pos="9360"/>
        </w:tabs>
        <w:outlineLvl w:val="0"/>
        <w:rPr>
          <w:rFonts w:ascii="Times New Roman" w:hAnsi="Times New Roman"/>
          <w:b/>
          <w:sz w:val="22"/>
          <w:szCs w:val="22"/>
          <w:u w:val="single"/>
        </w:rPr>
      </w:pPr>
    </w:p>
    <w:p w:rsidR="009A552E" w14:paraId="6075164F" w14:textId="77777777">
      <w:pPr>
        <w:tabs>
          <w:tab w:val="left" w:pos="9360"/>
        </w:tabs>
        <w:outlineLvl w:val="0"/>
        <w:rPr>
          <w:rFonts w:ascii="Times New Roman" w:hAnsi="Times New Roman"/>
          <w:b/>
          <w:sz w:val="22"/>
          <w:szCs w:val="22"/>
          <w:u w:val="single"/>
        </w:rPr>
      </w:pPr>
    </w:p>
    <w:p w:rsidR="001D25F9" w:rsidRPr="00024877" w14:paraId="4397ACC5" w14:textId="2F8D72AD">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FEE EXEMPT APPLICATIONS</w:t>
      </w:r>
    </w:p>
    <w:p w:rsidR="001D25F9" w14:paraId="2CCBDF4E" w14:textId="77777777">
      <w:pPr>
        <w:tabs>
          <w:tab w:val="left" w:pos="9360"/>
        </w:tabs>
        <w:rPr>
          <w:rFonts w:ascii="Times New Roman" w:hAnsi="Times New Roman"/>
          <w:b/>
          <w:sz w:val="22"/>
          <w:szCs w:val="22"/>
        </w:rPr>
      </w:pPr>
    </w:p>
    <w:p w:rsidR="001D25F9" w14:paraId="24426FBB" w14:textId="77777777">
      <w:pPr>
        <w:tabs>
          <w:tab w:val="left" w:pos="9360"/>
        </w:tabs>
        <w:rPr>
          <w:rFonts w:ascii="Times New Roman" w:hAnsi="Times New Roman"/>
          <w:sz w:val="22"/>
          <w:szCs w:val="22"/>
        </w:rPr>
      </w:pPr>
      <w:r>
        <w:rPr>
          <w:rFonts w:ascii="Times New Roman" w:hAnsi="Times New Roman"/>
          <w:sz w:val="22"/>
          <w:szCs w:val="22"/>
        </w:rPr>
        <w:t>As applicable, provide</w:t>
      </w:r>
      <w:r w:rsidR="0095794F">
        <w:rPr>
          <w:rFonts w:ascii="Times New Roman" w:hAnsi="Times New Roman"/>
          <w:sz w:val="22"/>
          <w:szCs w:val="22"/>
        </w:rPr>
        <w:t xml:space="preserve"> the proper documentation, as required, to certify that your application is fee exempt.  47 CFR, Part 1, Section 1.1114 of the Commission's rules explains who qualifies as fee exempt.</w:t>
      </w:r>
    </w:p>
    <w:p w:rsidR="001D25F9" w14:paraId="23C51BD9" w14:textId="77777777">
      <w:pPr>
        <w:tabs>
          <w:tab w:val="left" w:pos="9360"/>
        </w:tabs>
        <w:rPr>
          <w:rFonts w:ascii="Times New Roman" w:hAnsi="Times New Roman"/>
          <w:sz w:val="22"/>
          <w:szCs w:val="22"/>
        </w:rPr>
      </w:pPr>
    </w:p>
    <w:p w:rsidR="00D932B1" w:rsidRPr="00024877" w:rsidP="00D932B1" w14:paraId="5BCA0F2D" w14:textId="77777777">
      <w:pPr>
        <w:tabs>
          <w:tab w:val="left" w:pos="9360"/>
        </w:tabs>
        <w:rPr>
          <w:rFonts w:ascii="Times New Roman" w:hAnsi="Times New Roman"/>
          <w:b/>
          <w:sz w:val="22"/>
          <w:szCs w:val="22"/>
          <w:u w:val="single"/>
        </w:rPr>
      </w:pPr>
      <w:r w:rsidRPr="00024877">
        <w:rPr>
          <w:rFonts w:ascii="Times New Roman" w:hAnsi="Times New Roman"/>
          <w:b/>
          <w:sz w:val="22"/>
          <w:szCs w:val="22"/>
          <w:u w:val="single"/>
        </w:rPr>
        <w:t>REQUESTS FOR WAIVER, FEE DETERMINATION, AND DEFERRAL, PETITIONS FOR RECONSIDERATION AND APPLICATIONS FOR REVIEW</w:t>
      </w:r>
      <w:r w:rsidR="00386F71">
        <w:rPr>
          <w:rFonts w:ascii="Times New Roman" w:hAnsi="Times New Roman"/>
          <w:b/>
          <w:sz w:val="22"/>
          <w:szCs w:val="22"/>
          <w:u w:val="single"/>
        </w:rPr>
        <w:t xml:space="preserve"> OF FEE DECISIONS</w:t>
      </w:r>
      <w:r w:rsidRPr="00024877">
        <w:rPr>
          <w:rFonts w:ascii="Times New Roman" w:hAnsi="Times New Roman"/>
          <w:b/>
          <w:sz w:val="22"/>
          <w:szCs w:val="22"/>
          <w:u w:val="single"/>
        </w:rPr>
        <w:t xml:space="preserve"> </w:t>
      </w:r>
    </w:p>
    <w:p w:rsidR="00D932B1" w:rsidRPr="009A552E" w:rsidP="00D932B1" w14:paraId="71B505CA" w14:textId="77777777">
      <w:pPr>
        <w:tabs>
          <w:tab w:val="left" w:pos="9360"/>
        </w:tabs>
        <w:rPr>
          <w:rFonts w:ascii="Times New Roman" w:hAnsi="Times New Roman"/>
          <w:b/>
          <w:color w:val="000000" w:themeColor="text1"/>
          <w:sz w:val="22"/>
          <w:szCs w:val="22"/>
        </w:rPr>
      </w:pPr>
    </w:p>
    <w:p w:rsidR="00D932B1" w:rsidRPr="009A552E" w:rsidP="00D932B1" w14:paraId="48AC0B6C" w14:textId="77777777">
      <w:pPr>
        <w:tabs>
          <w:tab w:val="left" w:pos="9360"/>
        </w:tabs>
        <w:rPr>
          <w:rFonts w:ascii="Times New Roman" w:hAnsi="Times New Roman"/>
          <w:color w:val="000000" w:themeColor="text1"/>
          <w:sz w:val="22"/>
          <w:szCs w:val="22"/>
        </w:rPr>
      </w:pPr>
      <w:r w:rsidRPr="009A552E">
        <w:rPr>
          <w:rFonts w:ascii="Times New Roman" w:hAnsi="Times New Roman"/>
          <w:color w:val="000000" w:themeColor="text1"/>
          <w:sz w:val="22"/>
          <w:szCs w:val="22"/>
        </w:rPr>
        <w:t>Waiver, deferral and fee determination requests, petitions for reconsideration</w:t>
      </w:r>
      <w:r w:rsidRPr="009A552E" w:rsidR="00EB2C4F">
        <w:rPr>
          <w:rFonts w:ascii="Times New Roman" w:hAnsi="Times New Roman"/>
          <w:color w:val="000000" w:themeColor="text1"/>
          <w:sz w:val="22"/>
          <w:szCs w:val="22"/>
        </w:rPr>
        <w:t>,</w:t>
      </w:r>
      <w:r w:rsidRPr="009A552E">
        <w:rPr>
          <w:rFonts w:ascii="Times New Roman" w:hAnsi="Times New Roman"/>
          <w:color w:val="000000" w:themeColor="text1"/>
          <w:sz w:val="22"/>
          <w:szCs w:val="22"/>
        </w:rPr>
        <w:t xml:space="preserve">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[General Docket 86-285].</w:t>
      </w:r>
    </w:p>
    <w:p w:rsidR="00D932B1" w:rsidRPr="009A552E" w14:paraId="0B3EFD96" w14:textId="77777777">
      <w:pPr>
        <w:tabs>
          <w:tab w:val="left" w:pos="9360"/>
        </w:tabs>
        <w:outlineLvl w:val="0"/>
        <w:rPr>
          <w:rFonts w:ascii="Times New Roman" w:hAnsi="Times New Roman"/>
          <w:b/>
          <w:color w:val="000000" w:themeColor="text1"/>
          <w:sz w:val="22"/>
          <w:szCs w:val="22"/>
        </w:rPr>
      </w:pPr>
    </w:p>
    <w:p w:rsidR="001D25F9" w:rsidRPr="009A552E" w14:paraId="0A9324AF" w14:textId="77777777">
      <w:pPr>
        <w:tabs>
          <w:tab w:val="left" w:pos="9360"/>
        </w:tabs>
        <w:outlineLvl w:val="0"/>
        <w:rPr>
          <w:rFonts w:ascii="Times New Roman" w:hAnsi="Times New Roman"/>
          <w:b/>
          <w:color w:val="000000" w:themeColor="text1"/>
          <w:sz w:val="22"/>
          <w:szCs w:val="22"/>
          <w:u w:val="single"/>
        </w:rPr>
      </w:pPr>
      <w:r w:rsidRPr="009A552E">
        <w:rPr>
          <w:rFonts w:ascii="Times New Roman" w:hAnsi="Times New Roman"/>
          <w:b/>
          <w:color w:val="000000" w:themeColor="text1"/>
          <w:sz w:val="22"/>
          <w:szCs w:val="22"/>
          <w:u w:val="single"/>
        </w:rPr>
        <w:t>REFUND PROCESS</w:t>
      </w:r>
    </w:p>
    <w:p w:rsidR="001D25F9" w:rsidRPr="009A552E" w14:paraId="49F30219" w14:textId="77777777">
      <w:pPr>
        <w:tabs>
          <w:tab w:val="left" w:pos="9360"/>
        </w:tabs>
        <w:rPr>
          <w:rFonts w:ascii="Times New Roman" w:hAnsi="Times New Roman"/>
          <w:b/>
          <w:color w:val="000000" w:themeColor="text1"/>
          <w:sz w:val="22"/>
          <w:szCs w:val="22"/>
        </w:rPr>
      </w:pPr>
    </w:p>
    <w:p w:rsidR="000A1C8C" w:rsidRPr="009A552E" w:rsidP="000A1C8C" w14:paraId="2D4C9BF9" w14:textId="42BCCCFB">
      <w:pPr>
        <w:rPr>
          <w:rFonts w:ascii="Times New Roman" w:hAnsi="Times New Roman"/>
          <w:snapToGrid/>
          <w:color w:val="000000" w:themeColor="text1"/>
          <w:sz w:val="22"/>
          <w:szCs w:val="22"/>
        </w:rPr>
      </w:pPr>
      <w:r w:rsidRPr="009A552E">
        <w:rPr>
          <w:rFonts w:ascii="Times New Roman" w:hAnsi="Times New Roman"/>
          <w:color w:val="000000" w:themeColor="text1"/>
          <w:sz w:val="22"/>
          <w:szCs w:val="22"/>
        </w:rPr>
        <w:t xml:space="preserve">Email refund request to </w:t>
      </w:r>
      <w:hyperlink r:id="rId12" w:history="1">
        <w:r w:rsidRPr="009A552E">
          <w:rPr>
            <w:rStyle w:val="Hyperlink"/>
            <w:rFonts w:ascii="Times New Roman" w:hAnsi="Times New Roman"/>
            <w:color w:val="000000" w:themeColor="text1"/>
            <w:sz w:val="22"/>
            <w:szCs w:val="22"/>
          </w:rPr>
          <w:t>ARINQUIRIES@fcc.gov</w:t>
        </w:r>
      </w:hyperlink>
      <w:r w:rsidRPr="009A552E">
        <w:rPr>
          <w:rFonts w:ascii="Times New Roman" w:hAnsi="Times New Roman"/>
          <w:color w:val="000000" w:themeColor="text1"/>
          <w:sz w:val="22"/>
          <w:szCs w:val="22"/>
        </w:rPr>
        <w:t xml:space="preserve">; or call 877-480-3201 for guidance.  State the applicant/licensee name, payor FCC Registration Number (FRN) , payment date of Regulatory Fee, amount of refund being requested, payment confirmation, detailed reason for the refund request, email address (for credit card payment receipts), and </w:t>
      </w:r>
      <w:r w:rsidR="00227BE0">
        <w:rPr>
          <w:rFonts w:ascii="Times New Roman" w:hAnsi="Times New Roman"/>
          <w:color w:val="000000" w:themeColor="text1"/>
          <w:sz w:val="22"/>
          <w:szCs w:val="22"/>
        </w:rPr>
        <w:t xml:space="preserve">any </w:t>
      </w:r>
      <w:r w:rsidRPr="009A552E">
        <w:rPr>
          <w:rFonts w:ascii="Times New Roman" w:hAnsi="Times New Roman"/>
          <w:color w:val="000000" w:themeColor="text1"/>
          <w:sz w:val="22"/>
          <w:szCs w:val="22"/>
        </w:rPr>
        <w:t>support</w:t>
      </w:r>
      <w:r w:rsidR="00227BE0">
        <w:rPr>
          <w:rFonts w:ascii="Times New Roman" w:hAnsi="Times New Roman"/>
          <w:color w:val="000000" w:themeColor="text1"/>
          <w:sz w:val="22"/>
          <w:szCs w:val="22"/>
        </w:rPr>
        <w:t>ing</w:t>
      </w:r>
      <w:r w:rsidRPr="009A552E">
        <w:rPr>
          <w:rFonts w:ascii="Times New Roman" w:hAnsi="Times New Roman"/>
          <w:color w:val="000000" w:themeColor="text1"/>
          <w:sz w:val="22"/>
          <w:szCs w:val="22"/>
        </w:rPr>
        <w:t xml:space="preserve"> documentation.  The appropriate Bureau/Office will review the refund request. When a Bureau/Office determines that a refund is warranted, it is forwarded to the Office of the Managing Director, Revenue and Receivables Operations Group (RROG) for processing.  The RROG processes all approved refund requests.  For further information on return or refund of charges, refer to 47 CFR, Part 1, Section 1.1115 of the Commission’s Rules.</w:t>
      </w:r>
    </w:p>
    <w:p w:rsidR="000A1C8C" w14:paraId="0E0EE61B" w14:textId="77777777">
      <w:pPr>
        <w:tabs>
          <w:tab w:val="left" w:pos="9360"/>
        </w:tabs>
        <w:rPr>
          <w:rFonts w:ascii="Times New Roman" w:hAnsi="Times New Roman"/>
          <w:sz w:val="22"/>
          <w:szCs w:val="22"/>
        </w:rPr>
      </w:pPr>
    </w:p>
    <w:p w:rsidR="000A1C8C" w14:paraId="166143F4" w14:textId="77777777">
      <w:pPr>
        <w:tabs>
          <w:tab w:val="left" w:pos="9360"/>
        </w:tabs>
        <w:rPr>
          <w:rFonts w:ascii="Times New Roman" w:hAnsi="Times New Roman"/>
          <w:sz w:val="22"/>
          <w:szCs w:val="22"/>
        </w:rPr>
      </w:pPr>
    </w:p>
    <w:p w:rsidR="001D25F9" w:rsidRPr="00024877" w14:paraId="48A1CBB1" w14:textId="77777777">
      <w:pPr>
        <w:tabs>
          <w:tab w:val="left" w:pos="9360"/>
        </w:tabs>
        <w:outlineLvl w:val="0"/>
        <w:rPr>
          <w:rFonts w:ascii="Times New Roman" w:hAnsi="Times New Roman"/>
          <w:b/>
          <w:sz w:val="22"/>
          <w:szCs w:val="22"/>
          <w:u w:val="single"/>
        </w:rPr>
      </w:pPr>
      <w:r w:rsidRPr="00024877">
        <w:rPr>
          <w:rFonts w:ascii="Times New Roman" w:hAnsi="Times New Roman"/>
          <w:b/>
          <w:sz w:val="22"/>
          <w:szCs w:val="22"/>
          <w:u w:val="single"/>
        </w:rPr>
        <w:t>QUESTIONS</w:t>
      </w:r>
    </w:p>
    <w:p w:rsidR="001D25F9" w:rsidRPr="00024877" w14:paraId="02102C7B" w14:textId="77777777">
      <w:pPr>
        <w:tabs>
          <w:tab w:val="left" w:pos="9360"/>
        </w:tabs>
        <w:rPr>
          <w:rFonts w:ascii="Times New Roman" w:hAnsi="Times New Roman"/>
          <w:b/>
          <w:sz w:val="22"/>
          <w:szCs w:val="22"/>
          <w:u w:val="single"/>
        </w:rPr>
      </w:pPr>
    </w:p>
    <w:p w:rsidR="00D932B1" w:rsidRPr="00D932B1" w14:paraId="418722BB" w14:textId="77777777">
      <w:pPr>
        <w:tabs>
          <w:tab w:val="left" w:pos="9360"/>
        </w:tabs>
        <w:rPr>
          <w:rFonts w:ascii="Times New Roman" w:hAnsi="Times New Roman"/>
          <w:sz w:val="22"/>
          <w:szCs w:val="22"/>
        </w:rPr>
      </w:pPr>
      <w:r w:rsidRPr="00024877">
        <w:rPr>
          <w:rFonts w:ascii="Times New Roman" w:hAnsi="Times New Roman"/>
          <w:sz w:val="22"/>
          <w:szCs w:val="22"/>
        </w:rPr>
        <w:t xml:space="preserve">For technical assistance with the new CORES payment module, please submit a help request through </w:t>
      </w:r>
      <w:hyperlink r:id="rId13" w:history="1">
        <w:r w:rsidRPr="00024877">
          <w:rPr>
            <w:rStyle w:val="Hyperlink"/>
            <w:rFonts w:ascii="Times New Roman" w:hAnsi="Times New Roman"/>
            <w:sz w:val="22"/>
            <w:szCs w:val="22"/>
          </w:rPr>
          <w:t>https://www.fcc.gov/available-support-services</w:t>
        </w:r>
      </w:hyperlink>
      <w:r w:rsidRPr="00024877">
        <w:rPr>
          <w:rFonts w:ascii="Times New Roman" w:hAnsi="Times New Roman"/>
          <w:sz w:val="22"/>
          <w:szCs w:val="22"/>
        </w:rPr>
        <w:t xml:space="preserve">, or </w:t>
      </w:r>
      <w:r w:rsidRPr="00024877">
        <w:rPr>
          <w:rStyle w:val="text-black-small"/>
          <w:rFonts w:ascii="Times New Roman" w:hAnsi="Times New Roman"/>
          <w:sz w:val="22"/>
          <w:szCs w:val="22"/>
        </w:rPr>
        <w:t>call 877-480-3201, or send an email to</w:t>
      </w:r>
      <w:r w:rsidRPr="00024877">
        <w:rPr>
          <w:rFonts w:ascii="Times New Roman" w:hAnsi="Times New Roman"/>
          <w:sz w:val="22"/>
          <w:szCs w:val="22"/>
        </w:rPr>
        <w:t xml:space="preserve"> </w:t>
      </w:r>
      <w:hyperlink r:id="rId12" w:history="1">
        <w:r w:rsidRPr="00024877">
          <w:rPr>
            <w:rStyle w:val="Hyperlink"/>
            <w:rFonts w:ascii="Times New Roman" w:hAnsi="Times New Roman"/>
            <w:sz w:val="22"/>
            <w:szCs w:val="22"/>
          </w:rPr>
          <w:t>ARINQUIRIES@fcc.gov</w:t>
        </w:r>
      </w:hyperlink>
      <w:r>
        <w:rPr>
          <w:rStyle w:val="Hyperlink"/>
          <w:rFonts w:ascii="Times New Roman" w:hAnsi="Times New Roman"/>
          <w:sz w:val="22"/>
          <w:szCs w:val="22"/>
        </w:rPr>
        <w:t>.</w:t>
      </w:r>
    </w:p>
    <w:p w:rsidR="009C3C43" w14:paraId="784C34AD" w14:textId="77777777">
      <w:pPr>
        <w:tabs>
          <w:tab w:val="left" w:pos="-720"/>
        </w:tabs>
        <w:suppressAutoHyphens/>
        <w:jc w:val="both"/>
        <w:rPr>
          <w:rFonts w:ascii="Times New Roman" w:hAnsi="Times New Roman"/>
          <w:b/>
          <w:sz w:val="36"/>
        </w:rPr>
      </w:pPr>
    </w:p>
    <w:p w:rsidR="00EB2C4F" w14:paraId="1E8DD267" w14:textId="77777777">
      <w:pPr>
        <w:widowControl/>
        <w:rPr>
          <w:rFonts w:ascii="Times New Roman" w:hAnsi="Times New Roman"/>
          <w:b/>
          <w:sz w:val="36"/>
        </w:rPr>
      </w:pPr>
      <w:r>
        <w:rPr>
          <w:rFonts w:ascii="Times New Roman" w:hAnsi="Times New Roman"/>
          <w:b/>
          <w:sz w:val="36"/>
        </w:rPr>
        <w:br w:type="page"/>
      </w:r>
    </w:p>
    <w:p w:rsidR="001D25F9" w14:paraId="41CD6F24" w14:textId="77777777">
      <w:pPr>
        <w:tabs>
          <w:tab w:val="left" w:pos="-720"/>
        </w:tabs>
        <w:suppressAutoHyphens/>
        <w:jc w:val="both"/>
        <w:rPr>
          <w:rFonts w:ascii="Times New Roman" w:hAnsi="Times New Roman"/>
        </w:rPr>
      </w:pPr>
      <w:r>
        <w:rPr>
          <w:rFonts w:ascii="Times New Roman" w:hAnsi="Times New Roman"/>
          <w:b/>
          <w:sz w:val="36"/>
        </w:rPr>
        <w:t>PART B:  SECTION 8 FEES</w:t>
      </w:r>
    </w:p>
    <w:tbl>
      <w:tblPr>
        <w:tblW w:w="0" w:type="auto"/>
        <w:tblInd w:w="120" w:type="dxa"/>
        <w:tblLayout w:type="fixed"/>
        <w:tblCellMar>
          <w:left w:w="120" w:type="dxa"/>
          <w:right w:w="120" w:type="dxa"/>
        </w:tblCellMar>
        <w:tblLook w:val="0000"/>
      </w:tblPr>
      <w:tblGrid>
        <w:gridCol w:w="10080"/>
      </w:tblGrid>
      <w:tr w14:paraId="4DD3A130" w14:textId="77777777">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1D25F9" w14:paraId="4D9F8665" w14:textId="58877081">
            <w:pPr>
              <w:tabs>
                <w:tab w:val="left" w:pos="-720"/>
              </w:tabs>
              <w:suppressAutoHyphens/>
              <w:rPr>
                <w:rFonts w:ascii="Times New Roman" w:hAnsi="Times New Roman"/>
                <w:b/>
                <w:sz w:val="28"/>
              </w:rPr>
            </w:pPr>
            <w:r>
              <w:rPr>
                <w:rFonts w:ascii="Times New Roman" w:hAnsi="Times New Roman"/>
                <w:b/>
                <w:sz w:val="28"/>
              </w:rPr>
              <w:t>I.     WIRELINE COMPETITION BUREAU</w:t>
            </w:r>
            <w:r w:rsidR="008B4F1F">
              <w:rPr>
                <w:rFonts w:ascii="Times New Roman" w:hAnsi="Times New Roman"/>
                <w:b/>
                <w:sz w:val="28"/>
              </w:rPr>
              <w:t xml:space="preserve"> </w:t>
            </w:r>
            <w:r>
              <w:rPr>
                <w:rFonts w:ascii="Times New Roman" w:hAnsi="Times New Roman"/>
                <w:b/>
                <w:sz w:val="28"/>
              </w:rPr>
              <w:t>SERVICES</w:t>
            </w:r>
          </w:p>
          <w:p w:rsidR="001D25F9" w14:paraId="7BF3AA27" w14:textId="77777777">
            <w:pPr>
              <w:tabs>
                <w:tab w:val="left" w:pos="-720"/>
              </w:tabs>
              <w:suppressAutoHyphens/>
              <w:spacing w:after="54"/>
              <w:rPr>
                <w:rFonts w:ascii="Times New Roman" w:hAnsi="Times New Roman"/>
                <w:sz w:val="28"/>
              </w:rPr>
            </w:pPr>
          </w:p>
        </w:tc>
      </w:tr>
    </w:tbl>
    <w:p w:rsidR="001D25F9" w14:paraId="4ADB9490" w14:textId="77777777">
      <w:pPr>
        <w:tabs>
          <w:tab w:val="left" w:pos="-720"/>
        </w:tabs>
        <w:suppressAutoHyphens/>
        <w:jc w:val="both"/>
        <w:rPr>
          <w:rFonts w:ascii="Times New Roman" w:hAnsi="Times New Roman"/>
          <w:sz w:val="28"/>
        </w:rPr>
      </w:pPr>
    </w:p>
    <w:p w:rsidR="001D25F9" w14:paraId="64DF4841" w14:textId="77777777">
      <w:pPr>
        <w:tabs>
          <w:tab w:val="left" w:pos="-720"/>
        </w:tabs>
        <w:suppressAutoHyphens/>
        <w:rPr>
          <w:rFonts w:ascii="Times New Roman" w:hAnsi="Times New Roman"/>
        </w:rPr>
      </w:pPr>
    </w:p>
    <w:p w:rsidR="001D25F9" w14:paraId="64E3CDB0" w14:textId="77777777">
      <w:pPr>
        <w:tabs>
          <w:tab w:val="left" w:pos="-720"/>
        </w:tabs>
        <w:suppressAutoHyphens/>
        <w:rPr>
          <w:rFonts w:ascii="Times New Roman" w:hAnsi="Times New Roman"/>
          <w:sz w:val="16"/>
        </w:rPr>
      </w:pPr>
      <w:r>
        <w:rPr>
          <w:rFonts w:ascii="Times New Roman" w:hAnsi="Times New Roman"/>
          <w:sz w:val="16"/>
        </w:rPr>
        <w:t>THE FEDERAL COMMUNICATIONS COMMISSION (FCC) REGULATES INTERSTATE AND  INTERNATIONAL COMMUNICATIONS BY RADIO, TELEVISION , WIRELINE, WIRELESS, SATELLITE AND CABLE.  THE COMMUNICATIONS ACT REQUIRES COMMON CARRIERS TO FURNISH THEIR SERVICES ON REQUEST AND AT JUST, REASONABLE AND NON-DISCRIMINATORY RATES.  THE FCC IS AUTHORIZED TO PROMOTE THE PUBLIC INTEREST IN THESE CHARGES AND PRACTICES OF COMMON CARRIERS BY TITLES I THROUGH III OF THE ACT.  IT DOES SO THROUGH TARIFF REVIEW AND PRESCRIPTIONS, FACILITY AUTHORIZATIONS, ACCOUNTING RULES, INVESTIGATIONS AND OTHER PROCEEDINGS.  THE AGENCY ALSO ALLOCATES RADIO SPECTRUM AND ORBITAL SLOTS FOR VARIOUS TYPES OF COMMON CARRIER SERVICES.</w:t>
      </w:r>
    </w:p>
    <w:p w:rsidR="001D25F9" w14:paraId="1256BE3E" w14:textId="77777777">
      <w:pPr>
        <w:tabs>
          <w:tab w:val="left" w:pos="-720"/>
        </w:tabs>
        <w:suppressAutoHyphens/>
        <w:rPr>
          <w:rFonts w:ascii="Times New Roman" w:hAnsi="Times New Roman"/>
          <w:sz w:val="16"/>
        </w:rPr>
      </w:pPr>
      <w:r>
        <w:rPr>
          <w:rFonts w:ascii="Times New Roman" w:hAnsi="Times New Roman"/>
          <w:b/>
        </w:rPr>
        <w:tab/>
      </w:r>
      <w:r>
        <w:rPr>
          <w:rFonts w:ascii="Times New Roman" w:hAnsi="Times New Roman"/>
          <w:sz w:val="16"/>
        </w:rPr>
        <w:t xml:space="preserve"> </w:t>
      </w:r>
    </w:p>
    <w:p w:rsidR="001D25F9" w14:paraId="24CD1A2E" w14:textId="77777777">
      <w:pPr>
        <w:tabs>
          <w:tab w:val="center" w:pos="4680"/>
        </w:tabs>
        <w:suppressAutoHyphens/>
        <w:rPr>
          <w:rFonts w:ascii="Times New Roman" w:hAnsi="Times New Roman"/>
        </w:rPr>
      </w:pPr>
      <w:r>
        <w:rPr>
          <w:rFonts w:ascii="Times New Roman" w:hAnsi="Times New Roman"/>
          <w:b/>
        </w:rPr>
        <w:tab/>
      </w:r>
      <w:bookmarkStart w:id="6" w:name="_Hlk89869387"/>
      <w:r>
        <w:rPr>
          <w:rFonts w:ascii="Times New Roman" w:hAnsi="Times New Roman"/>
          <w:b/>
        </w:rPr>
        <w:t>SECTION 214 APPLICATIONS</w:t>
      </w:r>
      <w:r w:rsidR="00966B48">
        <w:rPr>
          <w:rFonts w:ascii="Times New Roman" w:hAnsi="Times New Roman"/>
          <w:b/>
        </w:rPr>
        <w:t xml:space="preserve"> AND VOIP NUMBERING APPLICATIONS</w:t>
      </w:r>
    </w:p>
    <w:bookmarkEnd w:id="6"/>
    <w:p w:rsidR="001D25F9" w14:paraId="6B721F64" w14:textId="77777777">
      <w:pPr>
        <w:tabs>
          <w:tab w:val="left" w:pos="-720"/>
        </w:tabs>
        <w:suppressAutoHyphens/>
        <w:rPr>
          <w:rFonts w:ascii="Times New Roman" w:hAnsi="Times New Roman"/>
        </w:rPr>
      </w:pPr>
    </w:p>
    <w:p w:rsidR="001D25F9" w14:paraId="142B2083" w14:textId="4EC7F666">
      <w:pPr>
        <w:tabs>
          <w:tab w:val="left" w:pos="-720"/>
        </w:tabs>
        <w:suppressAutoHyphens/>
        <w:rPr>
          <w:rFonts w:ascii="Times New Roman" w:hAnsi="Times New Roman"/>
          <w:sz w:val="16"/>
        </w:rPr>
      </w:pPr>
      <w:bookmarkStart w:id="7" w:name="_Hlk89869289"/>
      <w:r>
        <w:rPr>
          <w:rFonts w:ascii="Times New Roman" w:hAnsi="Times New Roman"/>
          <w:sz w:val="16"/>
        </w:rPr>
        <w:t xml:space="preserve">SECTION 214 OF THE COMMUNICATIONS ACT REQUIRES COMMON CARRIERS TO OBTAIN A CERTIFICATE THAT THE PUBLIC CONVENIENCE AND NECESSITY REQUIRE OR WILL REQUIRE CONSTRUCTION, </w:t>
      </w:r>
      <w:r w:rsidRPr="00E303D4">
        <w:rPr>
          <w:rFonts w:ascii="Times New Roman" w:hAnsi="Times New Roman"/>
          <w:sz w:val="16"/>
          <w:szCs w:val="16"/>
        </w:rPr>
        <w:t>ACQUISITION</w:t>
      </w:r>
      <w:r>
        <w:rPr>
          <w:rFonts w:ascii="Times New Roman" w:hAnsi="Times New Roman"/>
          <w:sz w:val="16"/>
          <w:szCs w:val="16"/>
        </w:rPr>
        <w:t>,</w:t>
      </w:r>
      <w:r>
        <w:rPr>
          <w:rFonts w:ascii="Times New Roman" w:hAnsi="Times New Roman"/>
          <w:sz w:val="16"/>
        </w:rPr>
        <w:t xml:space="preserve"> AND/OR OPERATION OF A LINE OF COMMUNICATION, OR THE DISCONTINUANCE, REDUCTION OR IMPAIRMENT OF SERVICE</w:t>
      </w:r>
      <w:r w:rsidR="004D427A">
        <w:rPr>
          <w:rFonts w:ascii="Times New Roman" w:hAnsi="Times New Roman"/>
          <w:sz w:val="16"/>
        </w:rPr>
        <w:t xml:space="preserve">; </w:t>
      </w:r>
      <w:r w:rsidR="00966B48">
        <w:rPr>
          <w:rFonts w:ascii="Times New Roman" w:hAnsi="Times New Roman"/>
          <w:sz w:val="16"/>
        </w:rPr>
        <w:t>PURSUANT TO SECTIONS 1,3,4,</w:t>
      </w:r>
      <w:r w:rsidR="004C0C2D">
        <w:rPr>
          <w:rFonts w:ascii="Times New Roman" w:hAnsi="Times New Roman"/>
          <w:sz w:val="16"/>
        </w:rPr>
        <w:t xml:space="preserve"> </w:t>
      </w:r>
      <w:r w:rsidR="00966B48">
        <w:rPr>
          <w:rFonts w:ascii="Times New Roman" w:hAnsi="Times New Roman"/>
          <w:sz w:val="16"/>
        </w:rPr>
        <w:t xml:space="preserve">201-205, </w:t>
      </w:r>
      <w:r w:rsidR="00260990">
        <w:rPr>
          <w:rFonts w:ascii="Times New Roman" w:hAnsi="Times New Roman"/>
          <w:sz w:val="16"/>
        </w:rPr>
        <w:t xml:space="preserve">251, </w:t>
      </w:r>
      <w:r w:rsidR="00966B48">
        <w:rPr>
          <w:rFonts w:ascii="Times New Roman" w:hAnsi="Times New Roman"/>
          <w:sz w:val="16"/>
        </w:rPr>
        <w:t>AND 303 OF THE COMMUNICATIONS ACT, AND PART 52 OF THE COMMISSION’S RULES, THE COMISSION HAS ESTABLISHED AN AUTHORIZATION PROCESS TO ENABLE INTERCONNECTED VOIP PROVIDERS TO OBTAIN NORTH AMERICAN NUMBERING PLAN TEL</w:t>
      </w:r>
      <w:r w:rsidR="00B20787">
        <w:rPr>
          <w:rFonts w:ascii="Times New Roman" w:hAnsi="Times New Roman"/>
          <w:sz w:val="16"/>
        </w:rPr>
        <w:t>EPHONE</w:t>
      </w:r>
      <w:r w:rsidR="00966B48">
        <w:rPr>
          <w:rFonts w:ascii="Times New Roman" w:hAnsi="Times New Roman"/>
          <w:sz w:val="16"/>
        </w:rPr>
        <w:t xml:space="preserve"> NUMBERS DIRECTLY FROM NUMBERING ADMINISTRATORS.  </w:t>
      </w:r>
    </w:p>
    <w:bookmarkEnd w:id="7"/>
    <w:p w:rsidR="001D25F9" w14:paraId="558B0BB1" w14:textId="77777777">
      <w:pPr>
        <w:tabs>
          <w:tab w:val="left" w:pos="-720"/>
        </w:tabs>
        <w:suppressAutoHyphens/>
        <w:rPr>
          <w:rFonts w:ascii="Times New Roman" w:hAnsi="Times New Roman"/>
        </w:rPr>
      </w:pPr>
    </w:p>
    <w:p w:rsidR="001D25F9" w14:paraId="524C77CA" w14:textId="77777777">
      <w:pPr>
        <w:tabs>
          <w:tab w:val="center" w:pos="4680"/>
        </w:tabs>
        <w:suppressAutoHyphens/>
        <w:rPr>
          <w:rFonts w:ascii="Times New Roman" w:hAnsi="Times New Roman"/>
        </w:rPr>
      </w:pPr>
      <w:r>
        <w:rPr>
          <w:rFonts w:ascii="Times New Roman" w:hAnsi="Times New Roman"/>
          <w:b/>
        </w:rPr>
        <w:tab/>
        <w:t>TARIFF FILINGS</w:t>
      </w:r>
    </w:p>
    <w:p w:rsidR="001D25F9" w14:paraId="5A9C6F33" w14:textId="77777777">
      <w:pPr>
        <w:tabs>
          <w:tab w:val="left" w:pos="-720"/>
        </w:tabs>
        <w:suppressAutoHyphens/>
        <w:rPr>
          <w:rFonts w:ascii="Times New Roman" w:hAnsi="Times New Roman"/>
        </w:rPr>
      </w:pPr>
    </w:p>
    <w:p w:rsidR="001D25F9" w:rsidRPr="00E303D4" w14:paraId="3E62EA2B" w14:textId="77777777">
      <w:pPr>
        <w:tabs>
          <w:tab w:val="left" w:pos="-720"/>
        </w:tabs>
        <w:suppressAutoHyphens/>
        <w:rPr>
          <w:rFonts w:ascii="Times New Roman" w:hAnsi="Times New Roman"/>
          <w:sz w:val="16"/>
        </w:rPr>
      </w:pPr>
      <w:r>
        <w:rPr>
          <w:rFonts w:ascii="Times New Roman" w:hAnsi="Times New Roman"/>
          <w:sz w:val="16"/>
        </w:rPr>
        <w:t xml:space="preserve">SECTION 201 OF THE COMMUNICATIONS ACT DIRECTS THE COMMISSION TO DETERMINE WHETHER THE CHARGES AND PRACTICES OF COMMON CARRIERS ARE JUST AND REASONABLE.  AS PART OF THIS PROCESS, CERTAIN CARRIERS ARE REQUIRED </w:t>
      </w:r>
      <w:r w:rsidRPr="00E303D4">
        <w:rPr>
          <w:rFonts w:ascii="Times New Roman" w:hAnsi="Times New Roman"/>
          <w:sz w:val="16"/>
        </w:rPr>
        <w:t>OR PERMITTED</w:t>
      </w:r>
      <w:r>
        <w:rPr>
          <w:rFonts w:ascii="Times New Roman" w:hAnsi="Times New Roman"/>
          <w:sz w:val="16"/>
        </w:rPr>
        <w:t xml:space="preserve"> TO SUBMIT TO THE COMMISSION AND MAKE AVAILABLE TO THE PUBLIC TARIFFS DETAILING THESE CHARGES AND PRACTICES.  THESE TARIFFS CONTAIN SUCH INFORMATION AND ARE FORMATTED IN A MANNER DETERMINED BY THE COMMISSION THROUGH REGULATION AND AS SPECIFIED IN </w:t>
      </w:r>
      <w:r w:rsidRPr="00E303D4">
        <w:rPr>
          <w:rFonts w:ascii="Times New Roman" w:hAnsi="Times New Roman"/>
          <w:sz w:val="16"/>
        </w:rPr>
        <w:t>APPLICABLE COMMISSION</w:t>
      </w:r>
      <w:r>
        <w:rPr>
          <w:rFonts w:ascii="Times New Roman" w:hAnsi="Times New Roman"/>
          <w:sz w:val="16"/>
        </w:rPr>
        <w:t xml:space="preserve"> RULES.  SPECIAL PERMISSION APPLICATIONS CONTAIN REQUESTS FOR A WAIVER OF ANY PORTION OF </w:t>
      </w:r>
      <w:r w:rsidRPr="00E303D4">
        <w:rPr>
          <w:rFonts w:ascii="Times New Roman" w:hAnsi="Times New Roman"/>
          <w:sz w:val="16"/>
        </w:rPr>
        <w:t>THE TARIFFING RULES (e.g., PARTS 61, 64, 69).</w:t>
      </w:r>
    </w:p>
    <w:p w:rsidR="001D25F9" w14:paraId="73BE4A03" w14:textId="77777777">
      <w:pPr>
        <w:tabs>
          <w:tab w:val="left" w:pos="-720"/>
        </w:tabs>
        <w:suppressAutoHyphens/>
        <w:rPr>
          <w:rFonts w:ascii="Times New Roman" w:hAnsi="Times New Roman"/>
        </w:rPr>
      </w:pPr>
    </w:p>
    <w:p w:rsidR="001D25F9" w14:paraId="662A3F7C" w14:textId="77777777">
      <w:pPr>
        <w:tabs>
          <w:tab w:val="center" w:pos="4680"/>
        </w:tabs>
        <w:suppressAutoHyphens/>
        <w:rPr>
          <w:rFonts w:ascii="Times New Roman" w:hAnsi="Times New Roman"/>
        </w:rPr>
      </w:pPr>
      <w:r>
        <w:rPr>
          <w:rFonts w:ascii="Times New Roman" w:hAnsi="Times New Roman"/>
          <w:b/>
        </w:rPr>
        <w:tab/>
        <w:t>ACCOUNTING</w:t>
      </w:r>
    </w:p>
    <w:p w:rsidR="001D25F9" w14:paraId="7DD2758C" w14:textId="77777777">
      <w:pPr>
        <w:tabs>
          <w:tab w:val="left" w:pos="-720"/>
        </w:tabs>
        <w:suppressAutoHyphens/>
        <w:rPr>
          <w:rFonts w:ascii="Times New Roman" w:hAnsi="Times New Roman"/>
        </w:rPr>
      </w:pPr>
    </w:p>
    <w:p w:rsidR="001D25F9" w14:paraId="0DF48595" w14:textId="77777777">
      <w:pPr>
        <w:tabs>
          <w:tab w:val="left" w:pos="-720"/>
        </w:tabs>
        <w:suppressAutoHyphens/>
        <w:rPr>
          <w:rFonts w:ascii="Times New Roman" w:hAnsi="Times New Roman"/>
          <w:sz w:val="16"/>
        </w:rPr>
      </w:pPr>
      <w:r>
        <w:rPr>
          <w:rFonts w:ascii="Times New Roman" w:hAnsi="Times New Roman"/>
          <w:sz w:val="16"/>
        </w:rPr>
        <w:t>THE COMMISSION IS CHARGED WITH RECOMMENDING ANNUAL DEPRECIATION RATES APPLICABLE TO ALL CLASSES OF TELECOMMUNICATIONS PLANT OF DOMESTIC AND OVERSEAS COMMON CARRIERS.  VARIOUS FINANCIAL FILINGS ARE REQUIRED OF CARRIERS SO THAT THE COMMISSION CAN MONITOR COMPLIANCE WITH ITS RULES AND ENSURE THAT THE PUBLIC PAYS JUST AND REASONABLE RATES FOR REGULATED TELECOMMUNICATIONS SERVICES.</w:t>
      </w:r>
    </w:p>
    <w:p w:rsidR="001D25F9" w14:paraId="78B55335" w14:textId="77777777">
      <w:pPr>
        <w:tabs>
          <w:tab w:val="left" w:pos="-720"/>
          <w:tab w:val="left" w:pos="9360"/>
        </w:tabs>
        <w:suppressAutoHyphens/>
        <w:jc w:val="both"/>
        <w:rPr>
          <w:rFonts w:ascii="Times New Roman" w:hAnsi="Times New Roman"/>
          <w:sz w:val="22"/>
          <w:szCs w:val="22"/>
        </w:rPr>
      </w:pPr>
    </w:p>
    <w:p w:rsidR="001D25F9" w:rsidRPr="00EB2C4F" w:rsidP="00024877" w14:paraId="5F460D4A" w14:textId="77777777">
      <w:pPr>
        <w:tabs>
          <w:tab w:val="left" w:pos="-720"/>
          <w:tab w:val="left" w:pos="9360"/>
        </w:tabs>
        <w:suppressAutoHyphens/>
        <w:jc w:val="center"/>
        <w:rPr>
          <w:rFonts w:ascii="Times New Roman" w:hAnsi="Times New Roman"/>
          <w:b/>
          <w:bCs/>
          <w:szCs w:val="24"/>
        </w:rPr>
      </w:pPr>
      <w:r w:rsidRPr="00EB2C4F">
        <w:rPr>
          <w:rFonts w:ascii="Times New Roman" w:hAnsi="Times New Roman"/>
          <w:b/>
          <w:bCs/>
          <w:szCs w:val="24"/>
        </w:rPr>
        <w:t>UNIVERSAL SERVICE FUND AUCTIONS</w:t>
      </w:r>
    </w:p>
    <w:p w:rsidR="00D40260" w:rsidRPr="00901133" w:rsidP="00D40260" w14:paraId="1D78C599" w14:textId="77777777">
      <w:pPr>
        <w:tabs>
          <w:tab w:val="left" w:pos="-720"/>
        </w:tabs>
        <w:suppressAutoHyphens/>
        <w:rPr>
          <w:rFonts w:ascii="Times New Roman" w:hAnsi="Times New Roman"/>
          <w:bCs/>
          <w:sz w:val="16"/>
          <w:szCs w:val="16"/>
        </w:rPr>
      </w:pPr>
      <w:r w:rsidRPr="00024877">
        <w:rPr>
          <w:rFonts w:ascii="Times New Roman" w:hAnsi="Times New Roman"/>
          <w:bCs/>
          <w:sz w:val="16"/>
          <w:szCs w:val="16"/>
        </w:rPr>
        <w:t>PURSUANT TO AUTHORITY IN SECTIONS 4, 214, 254, 303, 403, THE COMMISSION HAS ESTABLISHED AUCTION PROCESSES TO AWARD UNIVERSAL SERVICE SUPPORT.</w:t>
      </w:r>
      <w:r w:rsidRPr="00024877" w:rsidR="0095794F">
        <w:rPr>
          <w:rFonts w:ascii="Times New Roman" w:hAnsi="Times New Roman"/>
          <w:bCs/>
          <w:sz w:val="16"/>
          <w:szCs w:val="16"/>
        </w:rPr>
        <w:br w:type="page"/>
      </w:r>
      <w:r w:rsidRPr="00445CB9" w:rsidR="0095794F">
        <w:rPr>
          <w:rFonts w:ascii="Times New Roman" w:hAnsi="Times New Roman"/>
          <w:bCs/>
          <w:sz w:val="16"/>
          <w:szCs w:val="16"/>
        </w:rPr>
        <w:t xml:space="preserve"> </w:t>
      </w:r>
    </w:p>
    <w:tbl>
      <w:tblPr>
        <w:tblW w:w="0" w:type="auto"/>
        <w:tblInd w:w="120" w:type="dxa"/>
        <w:tblLayout w:type="fixed"/>
        <w:tblCellMar>
          <w:left w:w="120" w:type="dxa"/>
          <w:right w:w="120" w:type="dxa"/>
        </w:tblCellMar>
        <w:tblLook w:val="0000"/>
      </w:tblPr>
      <w:tblGrid>
        <w:gridCol w:w="10080"/>
      </w:tblGrid>
      <w:tr w14:paraId="0B384375" w14:textId="77777777" w:rsidTr="00E25906">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D40260" w:rsidP="00E25906" w14:paraId="3D413FC5" w14:textId="64AC9F4F">
            <w:pPr>
              <w:tabs>
                <w:tab w:val="left" w:pos="-720"/>
              </w:tabs>
              <w:suppressAutoHyphens/>
              <w:spacing w:before="90" w:after="54"/>
              <w:jc w:val="cen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 </w:instrText>
            </w:r>
            <w:r>
              <w:rPr>
                <w:rFonts w:ascii="Times New Roman" w:hAnsi="Times New Roman"/>
                <w:sz w:val="16"/>
              </w:rPr>
              <w:fldChar w:fldCharType="end"/>
            </w:r>
            <w:r>
              <w:rPr>
                <w:rFonts w:ascii="Times New Roman" w:hAnsi="Times New Roman"/>
                <w:b/>
                <w:sz w:val="28"/>
              </w:rPr>
              <w:t>II.      SECTION 8 FEE SCHEDULE AND FILING GUIDE</w:t>
            </w:r>
          </w:p>
        </w:tc>
      </w:tr>
    </w:tbl>
    <w:p w:rsidR="00D40260" w:rsidP="00D40260" w14:paraId="08809FA5" w14:textId="77777777">
      <w:pPr>
        <w:tabs>
          <w:tab w:val="left" w:pos="-720"/>
        </w:tabs>
        <w:suppressAutoHyphens/>
        <w:ind w:left="-1008" w:right="-1008"/>
        <w:rPr>
          <w:rFonts w:ascii="Arial Narrow" w:hAnsi="Arial Narrow"/>
          <w:sz w:val="17"/>
        </w:rPr>
      </w:pPr>
    </w:p>
    <w:p w:rsidR="00D40260" w:rsidP="00D40260" w14:paraId="49794300" w14:textId="77777777">
      <w:pPr>
        <w:tabs>
          <w:tab w:val="left" w:pos="-720"/>
        </w:tabs>
        <w:suppressAutoHyphens/>
        <w:ind w:left="-1008" w:right="-1008"/>
        <w:rPr>
          <w:rFonts w:ascii="Arial Narrow" w:hAnsi="Arial Narrow"/>
          <w:sz w:val="17"/>
        </w:rPr>
      </w:pPr>
    </w:p>
    <w:p w:rsidR="00E83438" w:rsidP="00E90800" w14:paraId="4C0C2A78"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p>
    <w:p w:rsidR="00221592" w:rsidRPr="0059512C" w:rsidP="00221592" w14:paraId="09C624C6" w14:textId="77777777">
      <w:pPr>
        <w:pStyle w:val="ParaNum"/>
        <w:numPr>
          <w:ilvl w:val="0"/>
          <w:numId w:val="0"/>
        </w:numPr>
        <w:rPr>
          <w:szCs w:val="22"/>
        </w:rPr>
      </w:pPr>
    </w:p>
    <w:tbl>
      <w:tblPr>
        <w:tblStyle w:val="TableGrid"/>
        <w:tblW w:w="9265" w:type="dxa"/>
        <w:tblInd w:w="85" w:type="dxa"/>
        <w:tblLook w:val="04A0"/>
      </w:tblPr>
      <w:tblGrid>
        <w:gridCol w:w="3440"/>
        <w:gridCol w:w="1980"/>
        <w:gridCol w:w="2015"/>
        <w:gridCol w:w="1830"/>
      </w:tblGrid>
      <w:tr w14:paraId="5681B01D" w14:textId="77777777" w:rsidTr="00024877">
        <w:tblPrEx>
          <w:tblW w:w="9265" w:type="dxa"/>
          <w:tblInd w:w="85" w:type="dxa"/>
          <w:tblLook w:val="04A0"/>
        </w:tblPrEx>
        <w:tc>
          <w:tcPr>
            <w:tcW w:w="3440" w:type="dxa"/>
          </w:tcPr>
          <w:p w:rsidR="00221592" w:rsidRPr="0059512C" w:rsidP="00D07AC4" w14:paraId="117D77FB" w14:textId="77777777">
            <w:pPr>
              <w:pStyle w:val="ParaNum"/>
              <w:numPr>
                <w:ilvl w:val="0"/>
                <w:numId w:val="0"/>
              </w:numPr>
              <w:rPr>
                <w:b/>
                <w:szCs w:val="22"/>
              </w:rPr>
            </w:pPr>
            <w:bookmarkStart w:id="8" w:name="_Hlk89867864"/>
            <w:r w:rsidRPr="0059512C">
              <w:rPr>
                <w:b/>
                <w:szCs w:val="22"/>
              </w:rPr>
              <w:t>Application</w:t>
            </w:r>
          </w:p>
        </w:tc>
        <w:tc>
          <w:tcPr>
            <w:tcW w:w="1980" w:type="dxa"/>
          </w:tcPr>
          <w:p w:rsidR="00221592" w:rsidP="00D07AC4" w14:paraId="15708691" w14:textId="77777777">
            <w:pPr>
              <w:pStyle w:val="ParaNum"/>
              <w:numPr>
                <w:ilvl w:val="0"/>
                <w:numId w:val="0"/>
              </w:numPr>
              <w:jc w:val="center"/>
              <w:rPr>
                <w:b/>
                <w:szCs w:val="22"/>
              </w:rPr>
            </w:pPr>
            <w:r>
              <w:rPr>
                <w:b/>
                <w:szCs w:val="22"/>
              </w:rPr>
              <w:t>FORMS#</w:t>
            </w:r>
          </w:p>
        </w:tc>
        <w:tc>
          <w:tcPr>
            <w:tcW w:w="2015" w:type="dxa"/>
          </w:tcPr>
          <w:p w:rsidR="00221592" w:rsidRPr="0059512C" w:rsidP="00D07AC4" w14:paraId="18E72CDD" w14:textId="77777777">
            <w:pPr>
              <w:pStyle w:val="ParaNum"/>
              <w:numPr>
                <w:ilvl w:val="0"/>
                <w:numId w:val="0"/>
              </w:numPr>
              <w:jc w:val="center"/>
              <w:rPr>
                <w:b/>
                <w:szCs w:val="22"/>
              </w:rPr>
            </w:pPr>
            <w:r>
              <w:rPr>
                <w:b/>
                <w:szCs w:val="22"/>
              </w:rPr>
              <w:t>FEE AMOUNT</w:t>
            </w:r>
          </w:p>
        </w:tc>
        <w:tc>
          <w:tcPr>
            <w:tcW w:w="1830" w:type="dxa"/>
          </w:tcPr>
          <w:p w:rsidR="00221592" w:rsidP="00D07AC4" w14:paraId="77B0D8FF" w14:textId="77777777">
            <w:pPr>
              <w:pStyle w:val="ParaNum"/>
              <w:numPr>
                <w:ilvl w:val="0"/>
                <w:numId w:val="0"/>
              </w:numPr>
              <w:jc w:val="center"/>
              <w:rPr>
                <w:b/>
                <w:szCs w:val="22"/>
              </w:rPr>
            </w:pPr>
            <w:r>
              <w:rPr>
                <w:b/>
                <w:szCs w:val="22"/>
              </w:rPr>
              <w:t>PAYMENT TYPE CODE</w:t>
            </w:r>
          </w:p>
        </w:tc>
      </w:tr>
      <w:tr w14:paraId="6BC00753" w14:textId="77777777" w:rsidTr="00024877">
        <w:tblPrEx>
          <w:tblW w:w="9265" w:type="dxa"/>
          <w:tblInd w:w="85" w:type="dxa"/>
          <w:tblLook w:val="04A0"/>
        </w:tblPrEx>
        <w:tc>
          <w:tcPr>
            <w:tcW w:w="3440" w:type="dxa"/>
          </w:tcPr>
          <w:p w:rsidR="00221592" w:rsidRPr="0059512C" w:rsidP="00D07AC4" w14:paraId="484E1D94" w14:textId="77777777">
            <w:pPr>
              <w:pStyle w:val="ParaNum"/>
              <w:numPr>
                <w:ilvl w:val="0"/>
                <w:numId w:val="0"/>
              </w:numPr>
              <w:rPr>
                <w:szCs w:val="22"/>
              </w:rPr>
            </w:pPr>
            <w:r w:rsidRPr="0059512C">
              <w:rPr>
                <w:szCs w:val="22"/>
              </w:rPr>
              <w:t>Domestic 214 Applications-Part 63 Transfers of Control</w:t>
            </w:r>
          </w:p>
        </w:tc>
        <w:tc>
          <w:tcPr>
            <w:tcW w:w="1980" w:type="dxa"/>
          </w:tcPr>
          <w:p w:rsidR="00221592" w:rsidRPr="0059512C" w:rsidP="00D07AC4" w14:paraId="77D196D2" w14:textId="77777777">
            <w:pPr>
              <w:pStyle w:val="ParaNum"/>
              <w:numPr>
                <w:ilvl w:val="0"/>
                <w:numId w:val="0"/>
              </w:numPr>
              <w:jc w:val="center"/>
              <w:rPr>
                <w:szCs w:val="22"/>
              </w:rPr>
            </w:pPr>
            <w:r>
              <w:rPr>
                <w:szCs w:val="22"/>
              </w:rPr>
              <w:t>Corres. &amp; 159</w:t>
            </w:r>
          </w:p>
        </w:tc>
        <w:tc>
          <w:tcPr>
            <w:tcW w:w="2015" w:type="dxa"/>
          </w:tcPr>
          <w:p w:rsidR="00221592" w:rsidRPr="0059512C" w:rsidP="00D07AC4" w14:paraId="3E93F13F" w14:textId="3DBD48EE">
            <w:pPr>
              <w:pStyle w:val="ParaNum"/>
              <w:numPr>
                <w:ilvl w:val="0"/>
                <w:numId w:val="0"/>
              </w:numPr>
              <w:jc w:val="center"/>
              <w:rPr>
                <w:szCs w:val="22"/>
              </w:rPr>
            </w:pPr>
            <w:r>
              <w:rPr>
                <w:szCs w:val="22"/>
              </w:rPr>
              <w:t xml:space="preserve">$1,375 </w:t>
            </w:r>
          </w:p>
        </w:tc>
        <w:tc>
          <w:tcPr>
            <w:tcW w:w="1830" w:type="dxa"/>
          </w:tcPr>
          <w:p w:rsidR="00221592" w:rsidRPr="0059512C" w:rsidP="00D07AC4" w14:paraId="4C9ADA93" w14:textId="6BFE9383">
            <w:pPr>
              <w:pStyle w:val="ParaNum"/>
              <w:numPr>
                <w:ilvl w:val="0"/>
                <w:numId w:val="0"/>
              </w:numPr>
              <w:jc w:val="center"/>
              <w:rPr>
                <w:szCs w:val="22"/>
              </w:rPr>
            </w:pPr>
            <w:r>
              <w:rPr>
                <w:szCs w:val="22"/>
              </w:rPr>
              <w:t>CDU</w:t>
            </w:r>
            <w:r>
              <w:rPr>
                <w:rStyle w:val="FootnoteReference"/>
                <w:szCs w:val="22"/>
              </w:rPr>
              <w:footnoteReference w:id="6"/>
            </w:r>
          </w:p>
        </w:tc>
      </w:tr>
      <w:tr w14:paraId="0A3C0F7C" w14:textId="77777777" w:rsidTr="00024877">
        <w:tblPrEx>
          <w:tblW w:w="9265" w:type="dxa"/>
          <w:tblInd w:w="85" w:type="dxa"/>
          <w:tblLook w:val="04A0"/>
        </w:tblPrEx>
        <w:tc>
          <w:tcPr>
            <w:tcW w:w="3440" w:type="dxa"/>
          </w:tcPr>
          <w:p w:rsidR="00221592" w:rsidRPr="0059512C" w:rsidP="00D07AC4" w14:paraId="40E5F7C2" w14:textId="77777777">
            <w:pPr>
              <w:pStyle w:val="ParaNum"/>
              <w:numPr>
                <w:ilvl w:val="0"/>
                <w:numId w:val="0"/>
              </w:numPr>
              <w:rPr>
                <w:szCs w:val="22"/>
              </w:rPr>
            </w:pPr>
            <w:r w:rsidRPr="0059512C">
              <w:rPr>
                <w:szCs w:val="22"/>
              </w:rPr>
              <w:t>Domestic 214 Applications-Special Temporary Authority</w:t>
            </w:r>
          </w:p>
        </w:tc>
        <w:tc>
          <w:tcPr>
            <w:tcW w:w="1980" w:type="dxa"/>
          </w:tcPr>
          <w:p w:rsidR="00221592" w:rsidRPr="0059512C" w:rsidP="00D07AC4" w14:paraId="515EAA03" w14:textId="77777777">
            <w:pPr>
              <w:pStyle w:val="ParaNum"/>
              <w:numPr>
                <w:ilvl w:val="0"/>
                <w:numId w:val="0"/>
              </w:numPr>
              <w:jc w:val="center"/>
              <w:rPr>
                <w:szCs w:val="22"/>
              </w:rPr>
            </w:pPr>
            <w:r>
              <w:rPr>
                <w:szCs w:val="22"/>
              </w:rPr>
              <w:t>Corres. &amp; 159</w:t>
            </w:r>
          </w:p>
        </w:tc>
        <w:tc>
          <w:tcPr>
            <w:tcW w:w="2015" w:type="dxa"/>
          </w:tcPr>
          <w:p w:rsidR="00221592" w:rsidRPr="0059512C" w:rsidP="00D07AC4" w14:paraId="37AD1B71" w14:textId="2015AC23">
            <w:pPr>
              <w:pStyle w:val="ParaNum"/>
              <w:numPr>
                <w:ilvl w:val="0"/>
                <w:numId w:val="0"/>
              </w:numPr>
              <w:jc w:val="center"/>
              <w:rPr>
                <w:szCs w:val="22"/>
              </w:rPr>
            </w:pPr>
            <w:r>
              <w:rPr>
                <w:szCs w:val="22"/>
              </w:rPr>
              <w:t xml:space="preserve">$755 </w:t>
            </w:r>
          </w:p>
        </w:tc>
        <w:tc>
          <w:tcPr>
            <w:tcW w:w="1830" w:type="dxa"/>
          </w:tcPr>
          <w:p w:rsidR="00221592" w:rsidRPr="0059512C" w:rsidP="00D07AC4" w14:paraId="07029C8A" w14:textId="77777777">
            <w:pPr>
              <w:pStyle w:val="ParaNum"/>
              <w:numPr>
                <w:ilvl w:val="0"/>
                <w:numId w:val="0"/>
              </w:numPr>
              <w:jc w:val="center"/>
              <w:rPr>
                <w:szCs w:val="22"/>
              </w:rPr>
            </w:pPr>
            <w:r>
              <w:rPr>
                <w:szCs w:val="22"/>
              </w:rPr>
              <w:t>CDV</w:t>
            </w:r>
          </w:p>
        </w:tc>
      </w:tr>
    </w:tbl>
    <w:p w:rsidR="00221592" w:rsidRPr="0059512C" w:rsidP="00221592" w14:paraId="3D2AC81C" w14:textId="77777777">
      <w:pPr>
        <w:pStyle w:val="ParaNum"/>
        <w:numPr>
          <w:ilvl w:val="0"/>
          <w:numId w:val="0"/>
        </w:numPr>
        <w:rPr>
          <w:szCs w:val="22"/>
        </w:rPr>
      </w:pPr>
    </w:p>
    <w:tbl>
      <w:tblPr>
        <w:tblStyle w:val="TableGrid"/>
        <w:tblW w:w="9265" w:type="dxa"/>
        <w:tblInd w:w="85" w:type="dxa"/>
        <w:tblLook w:val="04A0"/>
      </w:tblPr>
      <w:tblGrid>
        <w:gridCol w:w="3485"/>
        <w:gridCol w:w="1931"/>
        <w:gridCol w:w="2091"/>
        <w:gridCol w:w="1758"/>
      </w:tblGrid>
      <w:tr w14:paraId="5DD1E06A" w14:textId="77777777" w:rsidTr="00024877">
        <w:tblPrEx>
          <w:tblW w:w="9265" w:type="dxa"/>
          <w:tblInd w:w="85" w:type="dxa"/>
          <w:tblLook w:val="04A0"/>
        </w:tblPrEx>
        <w:tc>
          <w:tcPr>
            <w:tcW w:w="3485" w:type="dxa"/>
          </w:tcPr>
          <w:p w:rsidR="00221592" w:rsidRPr="0059512C" w:rsidP="00D07AC4" w14:paraId="2D4BBFA0" w14:textId="77777777">
            <w:pPr>
              <w:pStyle w:val="ParaNum"/>
              <w:numPr>
                <w:ilvl w:val="0"/>
                <w:numId w:val="0"/>
              </w:numPr>
              <w:rPr>
                <w:szCs w:val="22"/>
              </w:rPr>
            </w:pPr>
            <w:r w:rsidRPr="0059512C">
              <w:rPr>
                <w:b/>
                <w:szCs w:val="22"/>
              </w:rPr>
              <w:t>Application</w:t>
            </w:r>
          </w:p>
        </w:tc>
        <w:tc>
          <w:tcPr>
            <w:tcW w:w="1931" w:type="dxa"/>
          </w:tcPr>
          <w:p w:rsidR="00221592" w:rsidP="00D07AC4" w14:paraId="4E0334B7" w14:textId="77777777">
            <w:pPr>
              <w:pStyle w:val="ParaNum"/>
              <w:numPr>
                <w:ilvl w:val="0"/>
                <w:numId w:val="0"/>
              </w:numPr>
              <w:jc w:val="center"/>
              <w:rPr>
                <w:b/>
                <w:szCs w:val="22"/>
              </w:rPr>
            </w:pPr>
            <w:r>
              <w:rPr>
                <w:b/>
                <w:szCs w:val="22"/>
              </w:rPr>
              <w:t>FORMS#</w:t>
            </w:r>
          </w:p>
        </w:tc>
        <w:tc>
          <w:tcPr>
            <w:tcW w:w="2091" w:type="dxa"/>
          </w:tcPr>
          <w:p w:rsidR="00221592" w:rsidRPr="0059512C" w:rsidP="00D07AC4" w14:paraId="6C0A3748" w14:textId="77777777">
            <w:pPr>
              <w:pStyle w:val="ParaNum"/>
              <w:numPr>
                <w:ilvl w:val="0"/>
                <w:numId w:val="0"/>
              </w:numPr>
              <w:jc w:val="center"/>
              <w:rPr>
                <w:szCs w:val="22"/>
              </w:rPr>
            </w:pPr>
            <w:r>
              <w:rPr>
                <w:b/>
                <w:szCs w:val="22"/>
              </w:rPr>
              <w:t>FEE AMOUNT</w:t>
            </w:r>
          </w:p>
        </w:tc>
        <w:tc>
          <w:tcPr>
            <w:tcW w:w="1758" w:type="dxa"/>
          </w:tcPr>
          <w:p w:rsidR="00221592" w:rsidP="00D07AC4" w14:paraId="5EF7A716" w14:textId="77777777">
            <w:pPr>
              <w:pStyle w:val="ParaNum"/>
              <w:numPr>
                <w:ilvl w:val="0"/>
                <w:numId w:val="0"/>
              </w:numPr>
              <w:jc w:val="center"/>
              <w:rPr>
                <w:b/>
                <w:szCs w:val="22"/>
              </w:rPr>
            </w:pPr>
            <w:r>
              <w:rPr>
                <w:b/>
                <w:szCs w:val="22"/>
              </w:rPr>
              <w:t>PAYMENT TYPE CODE</w:t>
            </w:r>
          </w:p>
        </w:tc>
      </w:tr>
      <w:tr w14:paraId="26D312BD" w14:textId="77777777" w:rsidTr="00024877">
        <w:tblPrEx>
          <w:tblW w:w="9265" w:type="dxa"/>
          <w:tblInd w:w="85" w:type="dxa"/>
          <w:tblLook w:val="04A0"/>
        </w:tblPrEx>
        <w:tc>
          <w:tcPr>
            <w:tcW w:w="3485" w:type="dxa"/>
          </w:tcPr>
          <w:p w:rsidR="00221592" w:rsidRPr="0059512C" w:rsidP="00D07AC4" w14:paraId="579B3226" w14:textId="77777777">
            <w:pPr>
              <w:pStyle w:val="ParaNum"/>
              <w:numPr>
                <w:ilvl w:val="0"/>
                <w:numId w:val="0"/>
              </w:numPr>
              <w:rPr>
                <w:szCs w:val="22"/>
              </w:rPr>
            </w:pPr>
            <w:r w:rsidRPr="0059512C">
              <w:rPr>
                <w:szCs w:val="22"/>
              </w:rPr>
              <w:t xml:space="preserve">Domestic 214 Applications-Part 63 Discontinuances  </w:t>
            </w:r>
            <w:r>
              <w:rPr>
                <w:szCs w:val="22"/>
              </w:rPr>
              <w:t>(Non-Standard Review)</w:t>
            </w:r>
            <w:r>
              <w:rPr>
                <w:color w:val="FF0000"/>
              </w:rPr>
              <w:t xml:space="preserve"> </w:t>
            </w:r>
            <w:r w:rsidRPr="0054675B">
              <w:t>(Technology Transition Filings Subject To Section 63.71(f)(2)(i) or Not Subject To Streamlined Automatic Grant, and Filings From Dominant Carriers Subject To 60-Day Automatic Grant)</w:t>
            </w:r>
          </w:p>
        </w:tc>
        <w:tc>
          <w:tcPr>
            <w:tcW w:w="1931" w:type="dxa"/>
          </w:tcPr>
          <w:p w:rsidR="00221592" w:rsidRPr="0059512C" w:rsidP="00D07AC4" w14:paraId="77DFCE5E" w14:textId="77777777">
            <w:pPr>
              <w:pStyle w:val="ParaNum"/>
              <w:numPr>
                <w:ilvl w:val="0"/>
                <w:numId w:val="0"/>
              </w:numPr>
              <w:jc w:val="center"/>
              <w:rPr>
                <w:szCs w:val="22"/>
              </w:rPr>
            </w:pPr>
            <w:r>
              <w:rPr>
                <w:szCs w:val="22"/>
              </w:rPr>
              <w:t>Corres. &amp; 159</w:t>
            </w:r>
          </w:p>
        </w:tc>
        <w:tc>
          <w:tcPr>
            <w:tcW w:w="2091" w:type="dxa"/>
          </w:tcPr>
          <w:p w:rsidR="00221592" w:rsidRPr="0059512C" w:rsidP="00D07AC4" w14:paraId="5FFCE1EF" w14:textId="21FAA327">
            <w:pPr>
              <w:pStyle w:val="ParaNum"/>
              <w:numPr>
                <w:ilvl w:val="0"/>
                <w:numId w:val="0"/>
              </w:numPr>
              <w:jc w:val="center"/>
              <w:rPr>
                <w:szCs w:val="22"/>
              </w:rPr>
            </w:pPr>
            <w:r>
              <w:rPr>
                <w:szCs w:val="22"/>
              </w:rPr>
              <w:t>$1,375</w:t>
            </w:r>
          </w:p>
        </w:tc>
        <w:tc>
          <w:tcPr>
            <w:tcW w:w="1758" w:type="dxa"/>
          </w:tcPr>
          <w:p w:rsidR="00221592" w:rsidRPr="0059512C" w:rsidP="00D07AC4" w14:paraId="03747C59" w14:textId="77777777">
            <w:pPr>
              <w:pStyle w:val="ParaNum"/>
              <w:numPr>
                <w:ilvl w:val="0"/>
                <w:numId w:val="0"/>
              </w:numPr>
              <w:jc w:val="center"/>
              <w:rPr>
                <w:szCs w:val="22"/>
              </w:rPr>
            </w:pPr>
            <w:r>
              <w:rPr>
                <w:szCs w:val="22"/>
              </w:rPr>
              <w:t>CDW</w:t>
            </w:r>
          </w:p>
        </w:tc>
      </w:tr>
      <w:tr w14:paraId="1C1C727B" w14:textId="77777777" w:rsidTr="00024877">
        <w:tblPrEx>
          <w:tblW w:w="9265" w:type="dxa"/>
          <w:tblInd w:w="85" w:type="dxa"/>
          <w:tblLook w:val="04A0"/>
        </w:tblPrEx>
        <w:tc>
          <w:tcPr>
            <w:tcW w:w="3485" w:type="dxa"/>
          </w:tcPr>
          <w:p w:rsidR="00221592" w:rsidRPr="0059512C" w:rsidP="00D07AC4" w14:paraId="0A829D2D" w14:textId="77777777">
            <w:pPr>
              <w:pStyle w:val="ParaNum"/>
              <w:numPr>
                <w:ilvl w:val="0"/>
                <w:numId w:val="0"/>
              </w:numPr>
              <w:rPr>
                <w:szCs w:val="22"/>
              </w:rPr>
            </w:pPr>
            <w:r w:rsidRPr="0059512C">
              <w:rPr>
                <w:szCs w:val="22"/>
              </w:rPr>
              <w:t>Domestic 214 Applications-Part 63 Discontinuances</w:t>
            </w:r>
            <w:r>
              <w:rPr>
                <w:szCs w:val="22"/>
              </w:rPr>
              <w:t xml:space="preserve"> (Standard Streamlined Review) (All Other Domestic 214 Discontinuance Filings)</w:t>
            </w:r>
          </w:p>
        </w:tc>
        <w:tc>
          <w:tcPr>
            <w:tcW w:w="1931" w:type="dxa"/>
          </w:tcPr>
          <w:p w:rsidR="00221592" w:rsidP="00D07AC4" w14:paraId="4FD489E2" w14:textId="77777777">
            <w:pPr>
              <w:pStyle w:val="ParaNum"/>
              <w:numPr>
                <w:ilvl w:val="0"/>
                <w:numId w:val="0"/>
              </w:numPr>
              <w:jc w:val="center"/>
              <w:rPr>
                <w:szCs w:val="22"/>
              </w:rPr>
            </w:pPr>
            <w:r>
              <w:rPr>
                <w:szCs w:val="22"/>
              </w:rPr>
              <w:t>Corres. &amp; 159</w:t>
            </w:r>
          </w:p>
        </w:tc>
        <w:tc>
          <w:tcPr>
            <w:tcW w:w="2091" w:type="dxa"/>
          </w:tcPr>
          <w:p w:rsidR="00221592" w:rsidRPr="0059512C" w:rsidP="00D07AC4" w14:paraId="27BA8855" w14:textId="2751D47A">
            <w:pPr>
              <w:pStyle w:val="ParaNum"/>
              <w:numPr>
                <w:ilvl w:val="0"/>
                <w:numId w:val="0"/>
              </w:numPr>
              <w:jc w:val="center"/>
              <w:rPr>
                <w:szCs w:val="22"/>
              </w:rPr>
            </w:pPr>
            <w:r>
              <w:rPr>
                <w:szCs w:val="22"/>
              </w:rPr>
              <w:t>$375</w:t>
            </w:r>
          </w:p>
        </w:tc>
        <w:tc>
          <w:tcPr>
            <w:tcW w:w="1758" w:type="dxa"/>
          </w:tcPr>
          <w:p w:rsidR="00221592" w:rsidP="00D07AC4" w14:paraId="3A0CE791" w14:textId="77777777">
            <w:pPr>
              <w:pStyle w:val="ParaNum"/>
              <w:numPr>
                <w:ilvl w:val="0"/>
                <w:numId w:val="0"/>
              </w:numPr>
              <w:jc w:val="center"/>
              <w:rPr>
                <w:szCs w:val="22"/>
              </w:rPr>
            </w:pPr>
            <w:r>
              <w:rPr>
                <w:szCs w:val="22"/>
              </w:rPr>
              <w:t>CDX</w:t>
            </w:r>
          </w:p>
        </w:tc>
      </w:tr>
      <w:bookmarkEnd w:id="8"/>
      <w:tr w14:paraId="4B99787D" w14:textId="77777777" w:rsidTr="00024877">
        <w:tblPrEx>
          <w:tblW w:w="9265" w:type="dxa"/>
          <w:tblInd w:w="85" w:type="dxa"/>
          <w:tblLook w:val="04A0"/>
        </w:tblPrEx>
        <w:tc>
          <w:tcPr>
            <w:tcW w:w="3485" w:type="dxa"/>
          </w:tcPr>
          <w:p w:rsidR="00221592" w:rsidRPr="0059512C" w:rsidP="00D07AC4" w14:paraId="0A609322" w14:textId="77777777">
            <w:pPr>
              <w:pStyle w:val="ParaNum"/>
              <w:numPr>
                <w:ilvl w:val="0"/>
                <w:numId w:val="0"/>
              </w:numPr>
              <w:rPr>
                <w:szCs w:val="22"/>
              </w:rPr>
            </w:pPr>
            <w:r>
              <w:rPr>
                <w:szCs w:val="22"/>
              </w:rPr>
              <w:t>VoIP Numbering</w:t>
            </w:r>
          </w:p>
        </w:tc>
        <w:tc>
          <w:tcPr>
            <w:tcW w:w="1931" w:type="dxa"/>
          </w:tcPr>
          <w:p w:rsidR="00221592" w:rsidP="00D07AC4" w14:paraId="35F9268A" w14:textId="77777777">
            <w:pPr>
              <w:pStyle w:val="ParaNum"/>
              <w:numPr>
                <w:ilvl w:val="0"/>
                <w:numId w:val="0"/>
              </w:numPr>
              <w:jc w:val="center"/>
              <w:rPr>
                <w:szCs w:val="22"/>
              </w:rPr>
            </w:pPr>
            <w:r>
              <w:rPr>
                <w:szCs w:val="22"/>
              </w:rPr>
              <w:t>Corres. &amp; 159</w:t>
            </w:r>
          </w:p>
        </w:tc>
        <w:tc>
          <w:tcPr>
            <w:tcW w:w="2091" w:type="dxa"/>
          </w:tcPr>
          <w:p w:rsidR="00221592" w:rsidP="00D07AC4" w14:paraId="324855E6" w14:textId="1F59589C">
            <w:pPr>
              <w:pStyle w:val="ParaNum"/>
              <w:numPr>
                <w:ilvl w:val="0"/>
                <w:numId w:val="0"/>
              </w:numPr>
              <w:jc w:val="center"/>
              <w:rPr>
                <w:szCs w:val="22"/>
              </w:rPr>
            </w:pPr>
            <w:r>
              <w:rPr>
                <w:szCs w:val="22"/>
              </w:rPr>
              <w:t>$1,485</w:t>
            </w:r>
          </w:p>
        </w:tc>
        <w:tc>
          <w:tcPr>
            <w:tcW w:w="1758" w:type="dxa"/>
          </w:tcPr>
          <w:p w:rsidR="00221592" w:rsidP="00D07AC4" w14:paraId="1C142343" w14:textId="77777777">
            <w:pPr>
              <w:pStyle w:val="ParaNum"/>
              <w:numPr>
                <w:ilvl w:val="0"/>
                <w:numId w:val="0"/>
              </w:numPr>
              <w:jc w:val="center"/>
              <w:rPr>
                <w:szCs w:val="22"/>
              </w:rPr>
            </w:pPr>
            <w:r>
              <w:rPr>
                <w:szCs w:val="22"/>
              </w:rPr>
              <w:t>CDY</w:t>
            </w:r>
          </w:p>
        </w:tc>
      </w:tr>
    </w:tbl>
    <w:p w:rsidR="00221592" w:rsidRPr="0059512C" w:rsidP="00221592" w14:paraId="59B02142" w14:textId="77777777">
      <w:pPr>
        <w:pStyle w:val="ParaNum"/>
        <w:numPr>
          <w:ilvl w:val="0"/>
          <w:numId w:val="0"/>
        </w:numPr>
        <w:rPr>
          <w:szCs w:val="22"/>
        </w:rPr>
      </w:pPr>
    </w:p>
    <w:tbl>
      <w:tblPr>
        <w:tblStyle w:val="TableGrid"/>
        <w:tblW w:w="0" w:type="auto"/>
        <w:tblInd w:w="85" w:type="dxa"/>
        <w:tblLook w:val="04A0"/>
      </w:tblPr>
      <w:tblGrid>
        <w:gridCol w:w="3407"/>
        <w:gridCol w:w="1990"/>
        <w:gridCol w:w="2026"/>
        <w:gridCol w:w="1842"/>
      </w:tblGrid>
      <w:tr w14:paraId="0847084E" w14:textId="77777777" w:rsidTr="00024877">
        <w:tblPrEx>
          <w:tblW w:w="0" w:type="auto"/>
          <w:tblInd w:w="85" w:type="dxa"/>
          <w:tblLook w:val="04A0"/>
        </w:tblPrEx>
        <w:tc>
          <w:tcPr>
            <w:tcW w:w="3407" w:type="dxa"/>
          </w:tcPr>
          <w:p w:rsidR="004D427A" w:rsidRPr="0059512C" w:rsidP="00D07AC4" w14:paraId="54F8D69D" w14:textId="77777777">
            <w:pPr>
              <w:pStyle w:val="ParaNum"/>
              <w:keepNext/>
              <w:widowControl/>
              <w:numPr>
                <w:ilvl w:val="0"/>
                <w:numId w:val="0"/>
              </w:numPr>
              <w:rPr>
                <w:b/>
                <w:szCs w:val="22"/>
              </w:rPr>
            </w:pPr>
            <w:r w:rsidRPr="0059512C">
              <w:rPr>
                <w:b/>
                <w:szCs w:val="22"/>
              </w:rPr>
              <w:t>Application</w:t>
            </w:r>
          </w:p>
        </w:tc>
        <w:tc>
          <w:tcPr>
            <w:tcW w:w="1990" w:type="dxa"/>
          </w:tcPr>
          <w:p w:rsidR="004D427A" w:rsidP="00D07AC4" w14:paraId="694E259E" w14:textId="77777777">
            <w:pPr>
              <w:pStyle w:val="ParaNum"/>
              <w:keepNext/>
              <w:widowControl/>
              <w:numPr>
                <w:ilvl w:val="0"/>
                <w:numId w:val="0"/>
              </w:numPr>
              <w:jc w:val="center"/>
              <w:rPr>
                <w:b/>
                <w:szCs w:val="22"/>
              </w:rPr>
            </w:pPr>
            <w:r>
              <w:rPr>
                <w:b/>
                <w:szCs w:val="22"/>
              </w:rPr>
              <w:t>FORMS#</w:t>
            </w:r>
          </w:p>
        </w:tc>
        <w:tc>
          <w:tcPr>
            <w:tcW w:w="2026" w:type="dxa"/>
          </w:tcPr>
          <w:p w:rsidR="004D427A" w:rsidRPr="0059512C" w:rsidP="00D07AC4" w14:paraId="7605FD68" w14:textId="77777777">
            <w:pPr>
              <w:pStyle w:val="ParaNum"/>
              <w:keepNext/>
              <w:widowControl/>
              <w:numPr>
                <w:ilvl w:val="0"/>
                <w:numId w:val="0"/>
              </w:numPr>
              <w:jc w:val="center"/>
              <w:rPr>
                <w:b/>
                <w:szCs w:val="22"/>
              </w:rPr>
            </w:pPr>
            <w:r>
              <w:rPr>
                <w:b/>
                <w:szCs w:val="22"/>
              </w:rPr>
              <w:t>FEE AMOUNT</w:t>
            </w:r>
          </w:p>
        </w:tc>
        <w:tc>
          <w:tcPr>
            <w:tcW w:w="1842" w:type="dxa"/>
          </w:tcPr>
          <w:p w:rsidR="004D427A" w:rsidP="00D07AC4" w14:paraId="5ED764E8" w14:textId="77777777">
            <w:pPr>
              <w:pStyle w:val="ParaNum"/>
              <w:keepNext/>
              <w:widowControl/>
              <w:numPr>
                <w:ilvl w:val="0"/>
                <w:numId w:val="0"/>
              </w:numPr>
              <w:jc w:val="center"/>
              <w:rPr>
                <w:b/>
                <w:szCs w:val="22"/>
              </w:rPr>
            </w:pPr>
            <w:r>
              <w:rPr>
                <w:b/>
                <w:szCs w:val="22"/>
              </w:rPr>
              <w:t>PAYMENT TYPE CODE</w:t>
            </w:r>
          </w:p>
        </w:tc>
      </w:tr>
      <w:tr w14:paraId="47283C03" w14:textId="77777777" w:rsidTr="00024877">
        <w:tblPrEx>
          <w:tblW w:w="0" w:type="auto"/>
          <w:tblInd w:w="85" w:type="dxa"/>
          <w:tblLook w:val="04A0"/>
        </w:tblPrEx>
        <w:tc>
          <w:tcPr>
            <w:tcW w:w="3407" w:type="dxa"/>
          </w:tcPr>
          <w:p w:rsidR="004D427A" w:rsidRPr="0059512C" w:rsidP="00D07AC4" w14:paraId="28163AA8" w14:textId="77777777">
            <w:pPr>
              <w:pStyle w:val="ParaNum"/>
              <w:numPr>
                <w:ilvl w:val="0"/>
                <w:numId w:val="0"/>
              </w:numPr>
              <w:rPr>
                <w:szCs w:val="22"/>
              </w:rPr>
            </w:pPr>
            <w:r>
              <w:rPr>
                <w:szCs w:val="22"/>
              </w:rPr>
              <w:t xml:space="preserve">Standard </w:t>
            </w:r>
            <w:r w:rsidRPr="0059512C">
              <w:rPr>
                <w:szCs w:val="22"/>
              </w:rPr>
              <w:t>Tariff Filing</w:t>
            </w:r>
          </w:p>
        </w:tc>
        <w:tc>
          <w:tcPr>
            <w:tcW w:w="1990" w:type="dxa"/>
          </w:tcPr>
          <w:p w:rsidR="004D427A" w:rsidRPr="0059512C" w:rsidP="00D07AC4" w14:paraId="77D4F9D9" w14:textId="77777777">
            <w:pPr>
              <w:pStyle w:val="ParaNum"/>
              <w:numPr>
                <w:ilvl w:val="0"/>
                <w:numId w:val="0"/>
              </w:numPr>
              <w:jc w:val="center"/>
              <w:rPr>
                <w:szCs w:val="22"/>
              </w:rPr>
            </w:pPr>
            <w:r>
              <w:rPr>
                <w:szCs w:val="22"/>
              </w:rPr>
              <w:t>Corres. &amp; 159</w:t>
            </w:r>
          </w:p>
        </w:tc>
        <w:tc>
          <w:tcPr>
            <w:tcW w:w="2026" w:type="dxa"/>
          </w:tcPr>
          <w:p w:rsidR="004D427A" w:rsidRPr="0059512C" w:rsidP="00D07AC4" w14:paraId="4081EA3A" w14:textId="41A90ACD">
            <w:pPr>
              <w:pStyle w:val="ParaNum"/>
              <w:numPr>
                <w:ilvl w:val="0"/>
                <w:numId w:val="0"/>
              </w:numPr>
              <w:jc w:val="center"/>
              <w:rPr>
                <w:szCs w:val="22"/>
              </w:rPr>
            </w:pPr>
            <w:r w:rsidRPr="0059512C">
              <w:rPr>
                <w:szCs w:val="22"/>
              </w:rPr>
              <w:t>$</w:t>
            </w:r>
            <w:r w:rsidR="001D2CC9">
              <w:rPr>
                <w:szCs w:val="22"/>
              </w:rPr>
              <w:t>1,040</w:t>
            </w:r>
          </w:p>
        </w:tc>
        <w:tc>
          <w:tcPr>
            <w:tcW w:w="1842" w:type="dxa"/>
          </w:tcPr>
          <w:p w:rsidR="004D427A" w:rsidRPr="0059512C" w:rsidP="00D07AC4" w14:paraId="5303783A" w14:textId="77777777">
            <w:pPr>
              <w:pStyle w:val="ParaNum"/>
              <w:numPr>
                <w:ilvl w:val="0"/>
                <w:numId w:val="0"/>
              </w:numPr>
              <w:jc w:val="center"/>
              <w:rPr>
                <w:szCs w:val="22"/>
              </w:rPr>
            </w:pPr>
            <w:r>
              <w:rPr>
                <w:szCs w:val="22"/>
              </w:rPr>
              <w:t>CQK</w:t>
            </w:r>
          </w:p>
        </w:tc>
      </w:tr>
      <w:tr w14:paraId="5856F05E" w14:textId="77777777" w:rsidTr="00024877">
        <w:tblPrEx>
          <w:tblW w:w="0" w:type="auto"/>
          <w:tblInd w:w="85" w:type="dxa"/>
          <w:tblLook w:val="04A0"/>
        </w:tblPrEx>
        <w:tc>
          <w:tcPr>
            <w:tcW w:w="3407" w:type="dxa"/>
          </w:tcPr>
          <w:p w:rsidR="004D427A" w:rsidRPr="0059512C" w:rsidP="00D07AC4" w14:paraId="6D930AFD" w14:textId="77777777">
            <w:pPr>
              <w:pStyle w:val="ParaNum"/>
              <w:numPr>
                <w:ilvl w:val="0"/>
                <w:numId w:val="0"/>
              </w:numPr>
              <w:rPr>
                <w:szCs w:val="22"/>
              </w:rPr>
            </w:pPr>
            <w:r w:rsidRPr="0059512C">
              <w:rPr>
                <w:szCs w:val="22"/>
              </w:rPr>
              <w:t xml:space="preserve">Complex Tariff Filing </w:t>
            </w:r>
            <w:r>
              <w:rPr>
                <w:szCs w:val="22"/>
              </w:rPr>
              <w:t xml:space="preserve">(annual access charge tariffs, new or restructured rate plans) </w:t>
            </w:r>
            <w:r w:rsidRPr="0059512C">
              <w:rPr>
                <w:szCs w:val="22"/>
              </w:rPr>
              <w:t>(Large</w:t>
            </w:r>
            <w:r>
              <w:rPr>
                <w:szCs w:val="22"/>
              </w:rPr>
              <w:t xml:space="preserve"> – all price cap LECs and entities involving more than 100 LECs</w:t>
            </w:r>
            <w:r w:rsidRPr="0059512C">
              <w:rPr>
                <w:szCs w:val="22"/>
              </w:rPr>
              <w:t>)</w:t>
            </w:r>
          </w:p>
        </w:tc>
        <w:tc>
          <w:tcPr>
            <w:tcW w:w="1990" w:type="dxa"/>
          </w:tcPr>
          <w:p w:rsidR="004D427A" w:rsidRPr="0059512C" w:rsidP="00D07AC4" w14:paraId="3D198C30" w14:textId="0F822E8D">
            <w:pPr>
              <w:pStyle w:val="ParaNum"/>
              <w:numPr>
                <w:ilvl w:val="0"/>
                <w:numId w:val="0"/>
              </w:numPr>
              <w:jc w:val="center"/>
              <w:rPr>
                <w:szCs w:val="22"/>
              </w:rPr>
            </w:pPr>
            <w:r w:rsidRPr="001D2CC9">
              <w:rPr>
                <w:szCs w:val="22"/>
              </w:rPr>
              <w:t>Corres. &amp; 159</w:t>
            </w:r>
          </w:p>
        </w:tc>
        <w:tc>
          <w:tcPr>
            <w:tcW w:w="2026" w:type="dxa"/>
          </w:tcPr>
          <w:p w:rsidR="004D427A" w:rsidRPr="0059512C" w:rsidP="00D07AC4" w14:paraId="1823E615" w14:textId="0D1021CF">
            <w:pPr>
              <w:pStyle w:val="ParaNum"/>
              <w:numPr>
                <w:ilvl w:val="0"/>
                <w:numId w:val="0"/>
              </w:numPr>
              <w:jc w:val="center"/>
              <w:rPr>
                <w:szCs w:val="22"/>
              </w:rPr>
            </w:pPr>
            <w:r w:rsidRPr="0059512C">
              <w:rPr>
                <w:szCs w:val="22"/>
              </w:rPr>
              <w:t>$</w:t>
            </w:r>
            <w:r w:rsidR="001D2CC9">
              <w:rPr>
                <w:szCs w:val="22"/>
              </w:rPr>
              <w:t>7,300</w:t>
            </w:r>
          </w:p>
        </w:tc>
        <w:tc>
          <w:tcPr>
            <w:tcW w:w="1842" w:type="dxa"/>
          </w:tcPr>
          <w:p w:rsidR="004D427A" w:rsidRPr="0059512C" w:rsidP="00D07AC4" w14:paraId="343E6289" w14:textId="77777777">
            <w:pPr>
              <w:pStyle w:val="ParaNum"/>
              <w:numPr>
                <w:ilvl w:val="0"/>
                <w:numId w:val="0"/>
              </w:numPr>
              <w:jc w:val="center"/>
              <w:rPr>
                <w:szCs w:val="22"/>
              </w:rPr>
            </w:pPr>
            <w:r>
              <w:rPr>
                <w:szCs w:val="22"/>
              </w:rPr>
              <w:t>CQL</w:t>
            </w:r>
          </w:p>
        </w:tc>
      </w:tr>
      <w:tr w14:paraId="3AC64076" w14:textId="77777777" w:rsidTr="00024877">
        <w:tblPrEx>
          <w:tblW w:w="0" w:type="auto"/>
          <w:tblInd w:w="85" w:type="dxa"/>
          <w:tblLook w:val="04A0"/>
        </w:tblPrEx>
        <w:tc>
          <w:tcPr>
            <w:tcW w:w="3407" w:type="dxa"/>
          </w:tcPr>
          <w:p w:rsidR="004D427A" w:rsidRPr="0059512C" w:rsidP="00D07AC4" w14:paraId="1A5034BF" w14:textId="77777777">
            <w:pPr>
              <w:pStyle w:val="ParaNum"/>
              <w:numPr>
                <w:ilvl w:val="0"/>
                <w:numId w:val="0"/>
              </w:numPr>
              <w:rPr>
                <w:szCs w:val="22"/>
              </w:rPr>
            </w:pPr>
            <w:r w:rsidRPr="0059512C">
              <w:rPr>
                <w:szCs w:val="22"/>
              </w:rPr>
              <w:t>Complex Tariff Filing (</w:t>
            </w:r>
            <w:r>
              <w:rPr>
                <w:szCs w:val="22"/>
              </w:rPr>
              <w:t xml:space="preserve">annual access charge tariffs, new or restructured rate plans) </w:t>
            </w:r>
            <w:r w:rsidRPr="0059512C">
              <w:rPr>
                <w:szCs w:val="22"/>
              </w:rPr>
              <w:t>(Small</w:t>
            </w:r>
            <w:r>
              <w:rPr>
                <w:szCs w:val="22"/>
              </w:rPr>
              <w:t xml:space="preserve"> – other entities</w:t>
            </w:r>
            <w:r w:rsidRPr="0059512C">
              <w:rPr>
                <w:szCs w:val="22"/>
              </w:rPr>
              <w:t>)</w:t>
            </w:r>
          </w:p>
        </w:tc>
        <w:tc>
          <w:tcPr>
            <w:tcW w:w="1990" w:type="dxa"/>
          </w:tcPr>
          <w:p w:rsidR="004D427A" w:rsidRPr="0059512C" w:rsidP="00D07AC4" w14:paraId="12043AC3" w14:textId="212420AE">
            <w:pPr>
              <w:pStyle w:val="ParaNum"/>
              <w:numPr>
                <w:ilvl w:val="0"/>
                <w:numId w:val="0"/>
              </w:numPr>
              <w:jc w:val="center"/>
              <w:rPr>
                <w:szCs w:val="22"/>
              </w:rPr>
            </w:pPr>
            <w:r w:rsidRPr="001D2CC9">
              <w:rPr>
                <w:szCs w:val="22"/>
              </w:rPr>
              <w:t>Corres. &amp; 159</w:t>
            </w:r>
          </w:p>
        </w:tc>
        <w:tc>
          <w:tcPr>
            <w:tcW w:w="2026" w:type="dxa"/>
          </w:tcPr>
          <w:p w:rsidR="004D427A" w:rsidRPr="0059512C" w:rsidP="00D07AC4" w14:paraId="474F073B" w14:textId="3EEDB2AE">
            <w:pPr>
              <w:pStyle w:val="ParaNum"/>
              <w:numPr>
                <w:ilvl w:val="0"/>
                <w:numId w:val="0"/>
              </w:numPr>
              <w:jc w:val="center"/>
              <w:rPr>
                <w:szCs w:val="22"/>
              </w:rPr>
            </w:pPr>
            <w:r w:rsidRPr="0059512C">
              <w:rPr>
                <w:szCs w:val="22"/>
              </w:rPr>
              <w:t>$</w:t>
            </w:r>
            <w:r w:rsidR="001D2CC9">
              <w:rPr>
                <w:szCs w:val="22"/>
              </w:rPr>
              <w:t>3,650</w:t>
            </w:r>
          </w:p>
        </w:tc>
        <w:tc>
          <w:tcPr>
            <w:tcW w:w="1842" w:type="dxa"/>
          </w:tcPr>
          <w:p w:rsidR="004D427A" w:rsidRPr="0059512C" w:rsidP="00D07AC4" w14:paraId="3DD54BB5" w14:textId="77777777">
            <w:pPr>
              <w:pStyle w:val="ParaNum"/>
              <w:numPr>
                <w:ilvl w:val="0"/>
                <w:numId w:val="0"/>
              </w:numPr>
              <w:jc w:val="center"/>
              <w:rPr>
                <w:szCs w:val="22"/>
              </w:rPr>
            </w:pPr>
            <w:r>
              <w:rPr>
                <w:szCs w:val="22"/>
              </w:rPr>
              <w:t>CQM</w:t>
            </w:r>
          </w:p>
        </w:tc>
      </w:tr>
      <w:tr w14:paraId="19AF6AE7" w14:textId="77777777" w:rsidTr="00024877">
        <w:tblPrEx>
          <w:tblW w:w="0" w:type="auto"/>
          <w:tblInd w:w="85" w:type="dxa"/>
          <w:tblLook w:val="04A0"/>
        </w:tblPrEx>
        <w:tc>
          <w:tcPr>
            <w:tcW w:w="3407" w:type="dxa"/>
          </w:tcPr>
          <w:p w:rsidR="004D427A" w:rsidRPr="0059512C" w:rsidP="00D07AC4" w14:paraId="62A3C34F" w14:textId="77777777">
            <w:pPr>
              <w:pStyle w:val="ParaNum"/>
              <w:numPr>
                <w:ilvl w:val="0"/>
                <w:numId w:val="0"/>
              </w:numPr>
              <w:rPr>
                <w:szCs w:val="22"/>
              </w:rPr>
            </w:pPr>
            <w:r w:rsidRPr="0059512C">
              <w:rPr>
                <w:szCs w:val="22"/>
              </w:rPr>
              <w:t>Application for Special Permission for Waiver of Tariff Rules</w:t>
            </w:r>
          </w:p>
        </w:tc>
        <w:tc>
          <w:tcPr>
            <w:tcW w:w="1990" w:type="dxa"/>
          </w:tcPr>
          <w:p w:rsidR="004D427A" w:rsidRPr="0059512C" w:rsidP="00D07AC4" w14:paraId="3F88A2BD" w14:textId="2DD9D5FD">
            <w:pPr>
              <w:pStyle w:val="ParaNum"/>
              <w:numPr>
                <w:ilvl w:val="0"/>
                <w:numId w:val="0"/>
              </w:numPr>
              <w:jc w:val="center"/>
              <w:rPr>
                <w:szCs w:val="22"/>
              </w:rPr>
            </w:pPr>
            <w:r w:rsidRPr="001D2CC9">
              <w:rPr>
                <w:szCs w:val="22"/>
              </w:rPr>
              <w:t>Corres. &amp; 159</w:t>
            </w:r>
          </w:p>
        </w:tc>
        <w:tc>
          <w:tcPr>
            <w:tcW w:w="2026" w:type="dxa"/>
          </w:tcPr>
          <w:p w:rsidR="004D427A" w:rsidRPr="0059512C" w:rsidP="00D07AC4" w14:paraId="77D7FBDB" w14:textId="3FEC84B1">
            <w:pPr>
              <w:pStyle w:val="ParaNum"/>
              <w:numPr>
                <w:ilvl w:val="0"/>
                <w:numId w:val="0"/>
              </w:numPr>
              <w:jc w:val="center"/>
              <w:rPr>
                <w:szCs w:val="22"/>
              </w:rPr>
            </w:pPr>
            <w:r w:rsidRPr="0059512C">
              <w:rPr>
                <w:szCs w:val="22"/>
              </w:rPr>
              <w:t>$</w:t>
            </w:r>
            <w:r w:rsidR="001D2CC9">
              <w:rPr>
                <w:szCs w:val="22"/>
              </w:rPr>
              <w:t>420</w:t>
            </w:r>
          </w:p>
        </w:tc>
        <w:tc>
          <w:tcPr>
            <w:tcW w:w="1842" w:type="dxa"/>
          </w:tcPr>
          <w:p w:rsidR="004D427A" w:rsidRPr="0059512C" w:rsidP="00D07AC4" w14:paraId="33E6008A" w14:textId="77777777">
            <w:pPr>
              <w:pStyle w:val="ParaNum"/>
              <w:numPr>
                <w:ilvl w:val="0"/>
                <w:numId w:val="0"/>
              </w:numPr>
              <w:jc w:val="center"/>
              <w:rPr>
                <w:szCs w:val="22"/>
              </w:rPr>
            </w:pPr>
            <w:r>
              <w:rPr>
                <w:szCs w:val="22"/>
              </w:rPr>
              <w:t>CQN</w:t>
            </w:r>
          </w:p>
        </w:tc>
      </w:tr>
      <w:tr w14:paraId="643EB4B7" w14:textId="77777777" w:rsidTr="00024877">
        <w:tblPrEx>
          <w:tblW w:w="0" w:type="auto"/>
          <w:tblInd w:w="85" w:type="dxa"/>
          <w:tblLook w:val="04A0"/>
        </w:tblPrEx>
        <w:tc>
          <w:tcPr>
            <w:tcW w:w="3407" w:type="dxa"/>
          </w:tcPr>
          <w:p w:rsidR="004D427A" w:rsidRPr="0059512C" w:rsidP="00D07AC4" w14:paraId="79A4DF4E" w14:textId="77777777">
            <w:pPr>
              <w:pStyle w:val="ParaNum"/>
              <w:numPr>
                <w:ilvl w:val="0"/>
                <w:numId w:val="0"/>
              </w:numPr>
              <w:rPr>
                <w:szCs w:val="22"/>
              </w:rPr>
            </w:pPr>
            <w:r>
              <w:rPr>
                <w:szCs w:val="22"/>
              </w:rPr>
              <w:t>Waiver of Accounting Rules</w:t>
            </w:r>
          </w:p>
        </w:tc>
        <w:tc>
          <w:tcPr>
            <w:tcW w:w="1990" w:type="dxa"/>
          </w:tcPr>
          <w:p w:rsidR="004D427A" w:rsidP="00D07AC4" w14:paraId="4517A6CD" w14:textId="1F4929D0">
            <w:pPr>
              <w:pStyle w:val="ParaNum"/>
              <w:numPr>
                <w:ilvl w:val="0"/>
                <w:numId w:val="0"/>
              </w:numPr>
              <w:jc w:val="center"/>
              <w:rPr>
                <w:szCs w:val="22"/>
              </w:rPr>
            </w:pPr>
            <w:r w:rsidRPr="001D2CC9">
              <w:rPr>
                <w:szCs w:val="22"/>
              </w:rPr>
              <w:t>Corres. &amp; 159</w:t>
            </w:r>
          </w:p>
        </w:tc>
        <w:tc>
          <w:tcPr>
            <w:tcW w:w="2026" w:type="dxa"/>
          </w:tcPr>
          <w:p w:rsidR="004D427A" w:rsidRPr="0059512C" w:rsidP="00D07AC4" w14:paraId="3766DCDE" w14:textId="6FAB5F14">
            <w:pPr>
              <w:pStyle w:val="ParaNum"/>
              <w:numPr>
                <w:ilvl w:val="0"/>
                <w:numId w:val="0"/>
              </w:numPr>
              <w:jc w:val="center"/>
              <w:rPr>
                <w:szCs w:val="22"/>
              </w:rPr>
            </w:pPr>
            <w:r>
              <w:rPr>
                <w:szCs w:val="22"/>
              </w:rPr>
              <w:t>$</w:t>
            </w:r>
            <w:r w:rsidR="001D2CC9">
              <w:rPr>
                <w:szCs w:val="22"/>
              </w:rPr>
              <w:t>4,925</w:t>
            </w:r>
          </w:p>
        </w:tc>
        <w:tc>
          <w:tcPr>
            <w:tcW w:w="1842" w:type="dxa"/>
          </w:tcPr>
          <w:p w:rsidR="004D427A" w:rsidP="00D07AC4" w14:paraId="0033F4B0" w14:textId="77777777">
            <w:pPr>
              <w:pStyle w:val="ParaNum"/>
              <w:numPr>
                <w:ilvl w:val="0"/>
                <w:numId w:val="0"/>
              </w:numPr>
              <w:jc w:val="center"/>
              <w:rPr>
                <w:szCs w:val="22"/>
              </w:rPr>
            </w:pPr>
            <w:r>
              <w:rPr>
                <w:szCs w:val="22"/>
              </w:rPr>
              <w:t>CQP</w:t>
            </w:r>
          </w:p>
        </w:tc>
      </w:tr>
    </w:tbl>
    <w:p w:rsidR="00221592" w:rsidP="00221592" w14:paraId="54A7B3D6" w14:textId="77777777">
      <w:pPr>
        <w:pStyle w:val="ParaNum"/>
        <w:numPr>
          <w:ilvl w:val="0"/>
          <w:numId w:val="0"/>
        </w:numPr>
        <w:rPr>
          <w:szCs w:val="22"/>
        </w:rPr>
      </w:pPr>
      <w:r w:rsidRPr="0059512C">
        <w:rPr>
          <w:szCs w:val="22"/>
        </w:rPr>
        <w:t xml:space="preserve"> </w:t>
      </w:r>
    </w:p>
    <w:tbl>
      <w:tblPr>
        <w:tblStyle w:val="TableGrid"/>
        <w:tblW w:w="9270" w:type="dxa"/>
        <w:tblInd w:w="85" w:type="dxa"/>
        <w:tblLook w:val="04A0"/>
      </w:tblPr>
      <w:tblGrid>
        <w:gridCol w:w="4322"/>
        <w:gridCol w:w="1888"/>
        <w:gridCol w:w="1440"/>
        <w:gridCol w:w="1620"/>
      </w:tblGrid>
      <w:tr w14:paraId="56C472C1" w14:textId="77777777" w:rsidTr="00804010">
        <w:tblPrEx>
          <w:tblW w:w="9270" w:type="dxa"/>
          <w:tblInd w:w="85" w:type="dxa"/>
          <w:tblLook w:val="04A0"/>
        </w:tblPrEx>
        <w:tc>
          <w:tcPr>
            <w:tcW w:w="4322" w:type="dxa"/>
          </w:tcPr>
          <w:p w:rsidR="004D427A" w:rsidRPr="0059512C" w:rsidP="00D07AC4" w14:paraId="40AAFB6C" w14:textId="77777777">
            <w:pPr>
              <w:pStyle w:val="ParaNum"/>
              <w:numPr>
                <w:ilvl w:val="0"/>
                <w:numId w:val="0"/>
              </w:numPr>
              <w:rPr>
                <w:szCs w:val="22"/>
              </w:rPr>
            </w:pPr>
            <w:r w:rsidRPr="0059512C">
              <w:rPr>
                <w:b/>
                <w:szCs w:val="22"/>
              </w:rPr>
              <w:t>Application</w:t>
            </w:r>
          </w:p>
        </w:tc>
        <w:tc>
          <w:tcPr>
            <w:tcW w:w="1888" w:type="dxa"/>
          </w:tcPr>
          <w:p w:rsidR="004D427A" w:rsidRPr="00024877" w:rsidP="00D07AC4" w14:paraId="7A7C4089" w14:textId="77777777">
            <w:pPr>
              <w:pStyle w:val="ParaNum"/>
              <w:numPr>
                <w:ilvl w:val="0"/>
                <w:numId w:val="0"/>
              </w:numPr>
              <w:jc w:val="center"/>
              <w:rPr>
                <w:b/>
                <w:bCs/>
                <w:szCs w:val="22"/>
              </w:rPr>
            </w:pPr>
            <w:r w:rsidRPr="00024877">
              <w:rPr>
                <w:b/>
                <w:bCs/>
                <w:szCs w:val="22"/>
              </w:rPr>
              <w:t>FORMS#</w:t>
            </w:r>
          </w:p>
        </w:tc>
        <w:tc>
          <w:tcPr>
            <w:tcW w:w="1440" w:type="dxa"/>
          </w:tcPr>
          <w:p w:rsidR="004D427A" w:rsidP="00D07AC4" w14:paraId="0BC4D3F7" w14:textId="77777777">
            <w:pPr>
              <w:pStyle w:val="ParaNum"/>
              <w:numPr>
                <w:ilvl w:val="0"/>
                <w:numId w:val="0"/>
              </w:numPr>
              <w:jc w:val="center"/>
              <w:rPr>
                <w:b/>
                <w:szCs w:val="22"/>
              </w:rPr>
            </w:pPr>
            <w:r>
              <w:rPr>
                <w:b/>
                <w:szCs w:val="22"/>
              </w:rPr>
              <w:t>FEE AMOUNT</w:t>
            </w:r>
          </w:p>
        </w:tc>
        <w:tc>
          <w:tcPr>
            <w:tcW w:w="1620" w:type="dxa"/>
          </w:tcPr>
          <w:p w:rsidR="004D427A" w:rsidP="00D07AC4" w14:paraId="19045884" w14:textId="77777777">
            <w:pPr>
              <w:pStyle w:val="ParaNum"/>
              <w:numPr>
                <w:ilvl w:val="0"/>
                <w:numId w:val="0"/>
              </w:numPr>
              <w:jc w:val="center"/>
              <w:rPr>
                <w:b/>
                <w:szCs w:val="22"/>
              </w:rPr>
            </w:pPr>
            <w:r>
              <w:rPr>
                <w:b/>
                <w:szCs w:val="22"/>
              </w:rPr>
              <w:t>PAYMENT TYPE CODE</w:t>
            </w:r>
          </w:p>
        </w:tc>
      </w:tr>
      <w:tr w14:paraId="4D2B3FAF" w14:textId="77777777" w:rsidTr="00804010">
        <w:tblPrEx>
          <w:tblW w:w="9270" w:type="dxa"/>
          <w:tblInd w:w="85" w:type="dxa"/>
          <w:tblLook w:val="04A0"/>
        </w:tblPrEx>
        <w:tc>
          <w:tcPr>
            <w:tcW w:w="4322" w:type="dxa"/>
          </w:tcPr>
          <w:p w:rsidR="004D427A" w:rsidRPr="0059512C" w:rsidP="00D07AC4" w14:paraId="497335CC" w14:textId="77777777">
            <w:pPr>
              <w:pStyle w:val="ParaNum"/>
              <w:numPr>
                <w:ilvl w:val="0"/>
                <w:numId w:val="0"/>
              </w:numPr>
              <w:rPr>
                <w:szCs w:val="22"/>
              </w:rPr>
            </w:pPr>
            <w:r>
              <w:t xml:space="preserve">Universal Service Fund Auction (combined long-form and short-form </w:t>
            </w:r>
            <w:r w:rsidRPr="00800EE8">
              <w:t>fee</w:t>
            </w:r>
            <w:r>
              <w:t>, paid only by winning bidder)</w:t>
            </w:r>
          </w:p>
        </w:tc>
        <w:tc>
          <w:tcPr>
            <w:tcW w:w="1888" w:type="dxa"/>
          </w:tcPr>
          <w:p w:rsidR="004D427A" w:rsidRPr="0059512C" w:rsidP="00D07AC4" w14:paraId="63E3AB39" w14:textId="77777777">
            <w:pPr>
              <w:pStyle w:val="ParaNum"/>
              <w:numPr>
                <w:ilvl w:val="0"/>
                <w:numId w:val="0"/>
              </w:numPr>
              <w:jc w:val="center"/>
              <w:rPr>
                <w:szCs w:val="22"/>
              </w:rPr>
            </w:pPr>
          </w:p>
        </w:tc>
        <w:tc>
          <w:tcPr>
            <w:tcW w:w="1440" w:type="dxa"/>
          </w:tcPr>
          <w:p w:rsidR="004D427A" w:rsidRPr="00255B17" w:rsidP="00D07AC4" w14:paraId="302C9AED" w14:textId="1C6B67DF">
            <w:pPr>
              <w:pStyle w:val="ParaNum"/>
              <w:numPr>
                <w:ilvl w:val="0"/>
                <w:numId w:val="0"/>
              </w:numPr>
              <w:jc w:val="center"/>
              <w:rPr>
                <w:szCs w:val="22"/>
              </w:rPr>
            </w:pPr>
            <w:r>
              <w:rPr>
                <w:szCs w:val="22"/>
              </w:rPr>
              <w:t>$3,310</w:t>
            </w:r>
          </w:p>
        </w:tc>
        <w:tc>
          <w:tcPr>
            <w:tcW w:w="1620" w:type="dxa"/>
          </w:tcPr>
          <w:p w:rsidR="004D427A" w:rsidRPr="00255B17" w:rsidP="00D07AC4" w14:paraId="3A403B2F" w14:textId="77777777">
            <w:pPr>
              <w:pStyle w:val="ParaNum"/>
              <w:numPr>
                <w:ilvl w:val="0"/>
                <w:numId w:val="0"/>
              </w:numPr>
              <w:jc w:val="center"/>
              <w:rPr>
                <w:szCs w:val="22"/>
              </w:rPr>
            </w:pPr>
            <w:r w:rsidRPr="00255B17">
              <w:rPr>
                <w:szCs w:val="22"/>
              </w:rPr>
              <w:t>CQQ</w:t>
            </w:r>
          </w:p>
        </w:tc>
      </w:tr>
    </w:tbl>
    <w:p w:rsidR="00E90800" w:rsidP="00221592" w14:paraId="0F36EC9A" w14:textId="77777777">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b/>
          <w:sz w:val="18"/>
          <w:szCs w:val="18"/>
        </w:rPr>
      </w:pPr>
    </w:p>
    <w:p w:rsidR="00E90800" w:rsidP="00024877" w14:paraId="491F831F" w14:textId="77777777">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z w:val="16"/>
        </w:rPr>
      </w:pPr>
      <w:r>
        <w:rPr>
          <w:rFonts w:ascii="Times New Roman" w:hAnsi="Times New Roman"/>
          <w:b/>
          <w:sz w:val="18"/>
          <w:szCs w:val="18"/>
        </w:rPr>
        <w:t>Notes:</w:t>
      </w:r>
      <w:r>
        <w:rPr>
          <w:rFonts w:ascii="Times New Roman" w:hAnsi="Times New Roman"/>
          <w:sz w:val="18"/>
          <w:szCs w:val="18"/>
        </w:rPr>
        <w:t xml:space="preserve">  </w:t>
      </w:r>
    </w:p>
    <w:p w:rsidR="00E90800" w:rsidP="00E90800" w14:paraId="58F6186C" w14:textId="77777777">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r>
        <w:rPr>
          <w:rFonts w:ascii="Times New Roman" w:hAnsi="Times New Roman"/>
          <w:sz w:val="16"/>
        </w:rPr>
        <w:t xml:space="preserve">SECTION 214:  WHERE A COMMON CARRIER MUST FILE A DOMESTIC AND INTERNATIONAL SECTION 214 TRANSFER OF CONTROL APPLICATION AND/OR ANOTHER APPLICATION FOR A RADIO LICENSE THAT IS ALSO CHARGEABLE UNDER SECTION 8 OF THE COMMUNICATIONS ACT, SEPARATE FEES WILL BE REQUIRED FOR ALL APPLICATIONS. </w:t>
      </w:r>
    </w:p>
    <w:p w:rsidR="00E90800" w:rsidP="00E90800" w14:paraId="7413D11B" w14:textId="77777777">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p>
    <w:p w:rsidR="00E90800" w:rsidP="00E90800" w14:paraId="3749EBE6" w14:textId="77777777">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Times New Roman" w:hAnsi="Times New Roman"/>
          <w:sz w:val="16"/>
        </w:rPr>
        <w:t xml:space="preserve">TARIFF FILINGS:  THE REQUIRED FEE MUST EITHER BE PAID ELECTRONICALLY BY CREDIT CARD OR DEBIT CARD FROM A BANK AT THE SAME TIME THE PETITION FOR WAIVER IS FILED ELECTRONICALLY ON THE COMMISSION’S ELECTRONIC TARIFF FILING SYSTEM, OR BY CREDIT CARD IN ACCORDANCE WITH THE REQUIREMENTS OF SECTION 1.1105 OF THE COMMISSION’S RULES. </w:t>
      </w:r>
    </w:p>
    <w:p w:rsidR="00221592" w:rsidP="00D40260" w14:paraId="29EBB065"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221592" w:rsidP="00D40260" w14:paraId="51DAE45D"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55779D2C"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68D59592"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64D7F427"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4BBE6E82"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63A2521B"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6534D0B0"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14:paraId="3636EBF2" w14:textId="77777777">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1D25F9" w14:paraId="74066DFD" w14:textId="77777777">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Arial Narrow" w:hAnsi="Arial Narrow"/>
          <w:noProof/>
          <w:sz w:val="16"/>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p>
    <w:p w:rsidR="001D25F9" w14:paraId="35B68343" w14:textId="77777777">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p>
    <w:sectPr>
      <w:footerReference w:type="default" r:id="rId15"/>
      <w:pgSz w:w="12240" w:h="15840"/>
      <w:pgMar w:top="1296" w:right="446" w:bottom="1296" w:left="44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AF" w14:paraId="0EE470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7C11AF" w14:paraId="6CC8CAFA" w14:textId="77777777">
    <w:pPr>
      <w:spacing w:before="140" w:line="100" w:lineRule="exact"/>
      <w:rPr>
        <w:sz w:val="10"/>
      </w:rPr>
    </w:pPr>
  </w:p>
  <w:p w:rsidR="007C11AF" w14:paraId="6E1FDCD7" w14:textId="77777777"/>
  <w:p w:rsidR="007C11AF" w14:paraId="57682668" w14:textId="77777777">
    <w:r>
      <w:rPr>
        <w:noProof/>
        <w:snapToGrid/>
      </w:rPr>
      <mc:AlternateContent>
        <mc:Choice Requires="wps">
          <w:drawing>
            <wp:anchor distT="0" distB="0" distL="114300" distR="114300" simplePos="0" relativeHeight="251658240" behindDoc="0" locked="0" layoutInCell="0" allowOverlap="1">
              <wp:simplePos x="0" y="0"/>
              <wp:positionH relativeFrom="page">
                <wp:posOffset>285750</wp:posOffset>
              </wp:positionH>
              <wp:positionV relativeFrom="paragraph">
                <wp:posOffset>152400</wp:posOffset>
              </wp:positionV>
              <wp:extent cx="72009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009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C11AF" w14:textId="77777777">
                          <w:pPr>
                            <w:tabs>
                              <w:tab w:val="center" w:pos="5670"/>
                              <w:tab w:val="right" w:pos="11340"/>
                            </w:tabs>
                            <w:rPr>
                              <w:rFonts w:ascii="Times New Roman" w:hAnsi="Times New Roman"/>
                            </w:rPr>
                          </w:pPr>
                          <w: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67pt;height:12pt;margin-top:12pt;margin-left:22.5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7C11AF" w14:paraId="0CCB555F" w14:textId="77777777">
                    <w:pPr>
                      <w:tabs>
                        <w:tab w:val="center" w:pos="5670"/>
                        <w:tab w:val="right" w:pos="11340"/>
                      </w:tabs>
                      <w:rPr>
                        <w:rFonts w:ascii="Times New Roman" w:hAnsi="Times New Roman"/>
                      </w:rPr>
                    </w:pPr>
                    <w: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BC6" w14:paraId="5AF27D76" w14:textId="77777777">
      <w:r>
        <w:separator/>
      </w:r>
    </w:p>
  </w:footnote>
  <w:footnote w:type="continuationSeparator" w:id="1">
    <w:p w:rsidR="00E17BC6" w14:paraId="31C00B80" w14:textId="77777777">
      <w:r>
        <w:continuationSeparator/>
      </w:r>
    </w:p>
  </w:footnote>
  <w:footnote w:id="2">
    <w:p w:rsidR="00C8471C" w:rsidP="00C8471C" w14:paraId="71F1BEE3"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8471C" w:rsidP="00C8471C" w14:paraId="62350B31"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 w:id="4">
    <w:p w:rsidR="00C8471C" w:rsidP="00C8471C" w14:paraId="27FB330A" w14:textId="77777777">
      <w:pPr>
        <w:tabs>
          <w:tab w:val="center" w:pos="4680"/>
        </w:tabs>
        <w:suppressAutoHyphen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 w:id="5">
    <w:p w:rsidR="005A715D" w:rsidRPr="00024877" w:rsidP="005A715D" w14:paraId="6AE1D11C" w14:textId="5F7C952D">
      <w:pPr>
        <w:pStyle w:val="FootnoteText"/>
        <w:rPr>
          <w:rFonts w:ascii="Times New Roman" w:hAnsi="Times New Roman"/>
          <w:sz w:val="20"/>
        </w:rPr>
      </w:pPr>
      <w:r>
        <w:rPr>
          <w:rStyle w:val="FootnoteReference"/>
        </w:rPr>
        <w:footnoteRef/>
      </w:r>
      <w:r w:rsidRPr="00024877">
        <w:rPr>
          <w:rFonts w:ascii="Times New Roman" w:hAnsi="Times New Roman"/>
          <w:sz w:val="20"/>
        </w:rPr>
        <w:t>The ECFS Inboxes are INBOX-63.04 for section 214 transfer of control applications and related STAs; INBOX- 63.71 for section 214 discontinuance applications; and INBOX-52.15 for VoIP numbering authorization applications.</w:t>
      </w:r>
    </w:p>
  </w:footnote>
  <w:footnote w:id="6">
    <w:p w:rsidR="00B20787" w:rsidP="00B20787" w14:paraId="32547FDB" w14:textId="627688B3">
      <w:pPr>
        <w:pStyle w:val="xxxmsonormal"/>
        <w:shd w:val="clear" w:color="auto" w:fill="FFFFFF"/>
      </w:pPr>
      <w:r>
        <w:rPr>
          <w:rStyle w:val="FootnoteReference"/>
        </w:rPr>
        <w:footnoteRef/>
      </w:r>
      <w:r>
        <w:t xml:space="preserve"> </w:t>
      </w:r>
      <w:r w:rsidRPr="009A552E">
        <w:rPr>
          <w:rFonts w:ascii="Times New Roman" w:hAnsi="Times New Roman" w:cs="Times New Roman"/>
          <w:color w:val="000000"/>
          <w:sz w:val="20"/>
          <w:szCs w:val="20"/>
        </w:rPr>
        <w:t>The input for the CORES field labeled “FCC Code 1” is the “Payment Type Code</w:t>
      </w:r>
      <w:r w:rsidRPr="009A552E">
        <w:rPr>
          <w:rFonts w:ascii="Times New Roman" w:hAnsi="Times New Roman"/>
          <w:color w:val="000000"/>
          <w:sz w:val="20"/>
          <w:szCs w:val="20"/>
        </w:rPr>
        <w:t xml:space="preserve">.”  </w:t>
      </w:r>
      <w:r w:rsidRPr="009A552E">
        <w:rPr>
          <w:rFonts w:ascii="Times New Roman" w:hAnsi="Times New Roman" w:cs="Times New Roman"/>
          <w:color w:val="000000"/>
          <w:sz w:val="20"/>
          <w:szCs w:val="20"/>
        </w:rPr>
        <w:t>Applicants may leave the CORES field labeled “Call Sign” blank or input N/A (not applicable).  The input for the CORES field labeled “FCC Code 2” is the filing “Confirmation #” for the application filed through ECFS.</w:t>
      </w:r>
      <w:r>
        <w:rPr>
          <w:rFonts w:ascii="Times New Roman" w:hAnsi="Times New Roman" w:cs="Times New Roman"/>
          <w:color w:val="000000"/>
          <w:sz w:val="24"/>
          <w:szCs w:val="24"/>
        </w:rPr>
        <w:t> </w:t>
      </w:r>
    </w:p>
    <w:p w:rsidR="00B20787" w14:paraId="206DF769" w14:textId="6EB9C9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1">
    <w:nsid w:val="0491702D"/>
    <w:multiLevelType w:val="singleLevel"/>
    <w:tmpl w:val="843088D0"/>
    <w:lvl w:ilvl="0">
      <w:start w:val="6"/>
      <w:numFmt w:val="bullet"/>
      <w:lvlText w:val=""/>
      <w:lvlJc w:val="left"/>
      <w:pPr>
        <w:tabs>
          <w:tab w:val="num" w:pos="1080"/>
        </w:tabs>
        <w:ind w:left="1080" w:hanging="360"/>
      </w:pPr>
      <w:rPr>
        <w:rFonts w:ascii="Symbol" w:hAnsi="Symbol" w:hint="default"/>
      </w:rPr>
    </w:lvl>
  </w:abstractNum>
  <w:abstractNum w:abstractNumId="2">
    <w:nsid w:val="0A4B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A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1A09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0B8F1D7A"/>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6">
    <w:nsid w:val="1C2F7AFB"/>
    <w:multiLevelType w:val="hybridMultilevel"/>
    <w:tmpl w:val="5FD8462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FFE7F43"/>
    <w:multiLevelType w:val="singleLevel"/>
    <w:tmpl w:val="25DCC2F6"/>
    <w:lvl w:ilvl="0">
      <w:start w:val="6"/>
      <w:numFmt w:val="bullet"/>
      <w:lvlText w:val=""/>
      <w:lvlJc w:val="left"/>
      <w:pPr>
        <w:tabs>
          <w:tab w:val="num" w:pos="1140"/>
        </w:tabs>
        <w:ind w:left="1140" w:hanging="360"/>
      </w:pPr>
      <w:rPr>
        <w:rFonts w:ascii="Symbol" w:hAnsi="Symbol" w:hint="default"/>
      </w:rPr>
    </w:lvl>
  </w:abstractNum>
  <w:abstractNum w:abstractNumId="8">
    <w:nsid w:val="230C4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32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FB6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6B01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38474A11"/>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13">
    <w:nsid w:val="39594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B8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5D6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6B4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00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3A3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4A2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B377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7590FB0"/>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24">
    <w:nsid w:val="6BEE5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DA23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A65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2145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7CC31556"/>
    <w:multiLevelType w:val="singleLevel"/>
    <w:tmpl w:val="5C325086"/>
    <w:lvl w:ilvl="0">
      <w:start w:val="1"/>
      <w:numFmt w:val="decimal"/>
      <w:lvlText w:val="%1."/>
      <w:lvlJc w:val="left"/>
      <w:pPr>
        <w:tabs>
          <w:tab w:val="num" w:pos="450"/>
        </w:tabs>
        <w:ind w:left="450" w:hanging="450"/>
      </w:pPr>
      <w:rPr>
        <w:rFonts w:hint="default"/>
      </w:rPr>
    </w:lvl>
  </w:abstractNum>
  <w:abstractNum w:abstractNumId="29">
    <w:nsid w:val="7CF76EF1"/>
    <w:multiLevelType w:val="singleLevel"/>
    <w:tmpl w:val="476202D4"/>
    <w:lvl w:ilvl="0">
      <w:start w:val="0"/>
      <w:numFmt w:val="bullet"/>
      <w:lvlText w:val=""/>
      <w:lvlJc w:val="left"/>
      <w:pPr>
        <w:tabs>
          <w:tab w:val="num" w:pos="1080"/>
        </w:tabs>
        <w:ind w:left="1080" w:hanging="360"/>
      </w:pPr>
      <w:rPr>
        <w:rFonts w:ascii="Symbol" w:hAnsi="Symbol" w:hint="default"/>
      </w:rPr>
    </w:lvl>
  </w:abstractNum>
  <w:num w:numId="1">
    <w:abstractNumId w:val="7"/>
  </w:num>
  <w:num w:numId="2">
    <w:abstractNumId w:val="1"/>
  </w:num>
  <w:num w:numId="3">
    <w:abstractNumId w:val="28"/>
  </w:num>
  <w:num w:numId="4">
    <w:abstractNumId w:val="19"/>
  </w:num>
  <w:num w:numId="5">
    <w:abstractNumId w:val="3"/>
  </w:num>
  <w:num w:numId="6">
    <w:abstractNumId w:val="10"/>
  </w:num>
  <w:num w:numId="7">
    <w:abstractNumId w:val="15"/>
  </w:num>
  <w:num w:numId="8">
    <w:abstractNumId w:val="13"/>
  </w:num>
  <w:num w:numId="9">
    <w:abstractNumId w:val="8"/>
  </w:num>
  <w:num w:numId="10">
    <w:abstractNumId w:val="16"/>
  </w:num>
  <w:num w:numId="11">
    <w:abstractNumId w:val="26"/>
  </w:num>
  <w:num w:numId="12">
    <w:abstractNumId w:val="2"/>
  </w:num>
  <w:num w:numId="13">
    <w:abstractNumId w:val="25"/>
  </w:num>
  <w:num w:numId="14">
    <w:abstractNumId w:val="20"/>
  </w:num>
  <w:num w:numId="15">
    <w:abstractNumId w:val="14"/>
  </w:num>
  <w:num w:numId="16">
    <w:abstractNumId w:val="24"/>
  </w:num>
  <w:num w:numId="17">
    <w:abstractNumId w:val="17"/>
  </w:num>
  <w:num w:numId="18">
    <w:abstractNumId w:val="9"/>
  </w:num>
  <w:num w:numId="19">
    <w:abstractNumId w:val="12"/>
  </w:num>
  <w:num w:numId="20">
    <w:abstractNumId w:val="29"/>
  </w:num>
  <w:num w:numId="21">
    <w:abstractNumId w:val="23"/>
  </w:num>
  <w:num w:numId="22">
    <w:abstractNumId w:val="5"/>
  </w:num>
  <w:num w:numId="23">
    <w:abstractNumId w:val="4"/>
  </w:num>
  <w:num w:numId="24">
    <w:abstractNumId w:val="11"/>
  </w:num>
  <w:num w:numId="25">
    <w:abstractNumId w:val="21"/>
  </w:num>
  <w:num w:numId="26">
    <w:abstractNumId w:val="18"/>
  </w:num>
  <w:num w:numId="27">
    <w:abstractNumId w:val="27"/>
  </w:num>
  <w:num w:numId="28">
    <w:abstractNumId w:val="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FF"/>
    <w:rsid w:val="00024877"/>
    <w:rsid w:val="000A1C8C"/>
    <w:rsid w:val="001D25F9"/>
    <w:rsid w:val="001D2CC9"/>
    <w:rsid w:val="001F01FA"/>
    <w:rsid w:val="00221592"/>
    <w:rsid w:val="00227BE0"/>
    <w:rsid w:val="00255B17"/>
    <w:rsid w:val="00260990"/>
    <w:rsid w:val="003247A6"/>
    <w:rsid w:val="00365EA9"/>
    <w:rsid w:val="00386F71"/>
    <w:rsid w:val="00445CB9"/>
    <w:rsid w:val="00453407"/>
    <w:rsid w:val="004662E1"/>
    <w:rsid w:val="004A623C"/>
    <w:rsid w:val="004C0C2D"/>
    <w:rsid w:val="004D427A"/>
    <w:rsid w:val="0054675B"/>
    <w:rsid w:val="0059512C"/>
    <w:rsid w:val="005A715D"/>
    <w:rsid w:val="005B1B11"/>
    <w:rsid w:val="006D21DA"/>
    <w:rsid w:val="006F0FD3"/>
    <w:rsid w:val="007102D0"/>
    <w:rsid w:val="00774CCC"/>
    <w:rsid w:val="007C11AF"/>
    <w:rsid w:val="007D436F"/>
    <w:rsid w:val="00800EE8"/>
    <w:rsid w:val="00804010"/>
    <w:rsid w:val="008500FF"/>
    <w:rsid w:val="008B4F1F"/>
    <w:rsid w:val="008B7D7E"/>
    <w:rsid w:val="00901133"/>
    <w:rsid w:val="0095794F"/>
    <w:rsid w:val="00966B48"/>
    <w:rsid w:val="009A426B"/>
    <w:rsid w:val="009A552E"/>
    <w:rsid w:val="009C3C43"/>
    <w:rsid w:val="00A023BD"/>
    <w:rsid w:val="00AA5A84"/>
    <w:rsid w:val="00AF12E8"/>
    <w:rsid w:val="00B20787"/>
    <w:rsid w:val="00B4487B"/>
    <w:rsid w:val="00B81787"/>
    <w:rsid w:val="00BB14D7"/>
    <w:rsid w:val="00BE11E9"/>
    <w:rsid w:val="00C8471C"/>
    <w:rsid w:val="00CE171E"/>
    <w:rsid w:val="00CE1859"/>
    <w:rsid w:val="00D07AC4"/>
    <w:rsid w:val="00D40260"/>
    <w:rsid w:val="00D932B1"/>
    <w:rsid w:val="00D94B5E"/>
    <w:rsid w:val="00D954E3"/>
    <w:rsid w:val="00DA5603"/>
    <w:rsid w:val="00E25906"/>
    <w:rsid w:val="00E27805"/>
    <w:rsid w:val="00E303D4"/>
    <w:rsid w:val="00E60262"/>
    <w:rsid w:val="00E83438"/>
    <w:rsid w:val="00E90800"/>
    <w:rsid w:val="00EB2C4F"/>
    <w:rsid w:val="00EC3885"/>
    <w:rsid w:val="00F96F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7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s>
      <w:suppressAutoHyphens/>
      <w:ind w:left="90" w:hanging="720"/>
      <w:jc w:val="both"/>
      <w:outlineLvl w:val="0"/>
    </w:pPr>
    <w:rPr>
      <w:rFonts w:ascii="Times New Roman" w:hAnsi="Times New Roman"/>
      <w:b/>
      <w:sz w:val="29"/>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tyle>
  <w:style w:type="character" w:styleId="FootnoteReference">
    <w:name w:val="footnote reference"/>
    <w:aliases w:val="(NECG) Footnote Reference,Appel note de bas de p,FR,Footnote Reference/,Footnote Reference1,Style 12,Style 124,Style 13,Style 17,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Indent2">
    <w:name w:val="Body Text Indent 2"/>
    <w:basedOn w:val="Normal"/>
    <w:pPr>
      <w:tabs>
        <w:tab w:val="left" w:pos="-720"/>
        <w:tab w:val="left" w:pos="0"/>
      </w:tabs>
      <w:suppressAutoHyphens/>
      <w:ind w:left="720" w:hanging="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character" w:styleId="Hyperlink">
    <w:name w:val="Hyperlink"/>
    <w:rPr>
      <w:color w:val="0000FF"/>
      <w:u w:val="single"/>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1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C8471C"/>
    <w:rPr>
      <w:color w:val="000000"/>
    </w:rPr>
  </w:style>
  <w:style w:type="paragraph" w:customStyle="1" w:styleId="footnotedescription">
    <w:name w:val="footnote description"/>
    <w:next w:val="Normal"/>
    <w:link w:val="footnotedescriptionChar"/>
    <w:rsid w:val="00C8471C"/>
    <w:pPr>
      <w:spacing w:after="115" w:line="254" w:lineRule="auto"/>
    </w:pPr>
    <w:rPr>
      <w:color w:val="000000"/>
    </w:rPr>
  </w:style>
  <w:style w:type="character" w:customStyle="1" w:styleId="footnotemark">
    <w:name w:val="footnote mark"/>
    <w:rsid w:val="00C8471C"/>
    <w:rPr>
      <w:rFonts w:ascii="Times New Roman" w:eastAsia="Times New Roman" w:hAnsi="Times New Roman" w:cs="Times New Roman" w:hint="default"/>
      <w:color w:val="000000"/>
      <w:sz w:val="20"/>
      <w:vertAlign w:val="superscript"/>
    </w:rPr>
  </w:style>
  <w:style w:type="character" w:styleId="CommentReference">
    <w:name w:val="annotation reference"/>
    <w:basedOn w:val="DefaultParagraphFont"/>
    <w:rsid w:val="00D954E3"/>
    <w:rPr>
      <w:sz w:val="16"/>
      <w:szCs w:val="16"/>
    </w:rPr>
  </w:style>
  <w:style w:type="paragraph" w:styleId="CommentText">
    <w:name w:val="annotation text"/>
    <w:basedOn w:val="Normal"/>
    <w:link w:val="CommentTextChar"/>
    <w:rsid w:val="00D954E3"/>
    <w:rPr>
      <w:sz w:val="20"/>
    </w:rPr>
  </w:style>
  <w:style w:type="character" w:customStyle="1" w:styleId="CommentTextChar">
    <w:name w:val="Comment Text Char"/>
    <w:basedOn w:val="DefaultParagraphFont"/>
    <w:link w:val="CommentText"/>
    <w:rsid w:val="00D954E3"/>
    <w:rPr>
      <w:rFonts w:ascii="Courier" w:hAnsi="Courier"/>
      <w:snapToGrid w:val="0"/>
    </w:rPr>
  </w:style>
  <w:style w:type="paragraph" w:styleId="CommentSubject">
    <w:name w:val="annotation subject"/>
    <w:basedOn w:val="CommentText"/>
    <w:next w:val="CommentText"/>
    <w:link w:val="CommentSubjectChar"/>
    <w:rsid w:val="00D954E3"/>
    <w:rPr>
      <w:b/>
      <w:bCs/>
    </w:rPr>
  </w:style>
  <w:style w:type="character" w:customStyle="1" w:styleId="CommentSubjectChar">
    <w:name w:val="Comment Subject Char"/>
    <w:basedOn w:val="CommentTextChar"/>
    <w:link w:val="CommentSubject"/>
    <w:rsid w:val="00D954E3"/>
    <w:rPr>
      <w:rFonts w:ascii="Courier" w:hAnsi="Courier"/>
      <w:b/>
      <w:bCs/>
      <w:snapToGrid w:val="0"/>
    </w:rPr>
  </w:style>
  <w:style w:type="character" w:customStyle="1" w:styleId="UnresolvedMention1">
    <w:name w:val="Unresolved Mention1"/>
    <w:basedOn w:val="DefaultParagraphFont"/>
    <w:rsid w:val="00D954E3"/>
    <w:rPr>
      <w:color w:val="605E5C"/>
      <w:shd w:val="clear" w:color="auto" w:fill="E1DFDD"/>
    </w:rPr>
  </w:style>
  <w:style w:type="character" w:styleId="FollowedHyperlink">
    <w:name w:val="FollowedHyperlink"/>
    <w:basedOn w:val="DefaultParagraphFont"/>
    <w:rsid w:val="005A715D"/>
    <w:rPr>
      <w:color w:val="954F72" w:themeColor="followedHyperlink"/>
      <w:u w:val="single"/>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5A715D"/>
    <w:rPr>
      <w:rFonts w:ascii="Courier" w:hAnsi="Courier"/>
      <w:snapToGrid w:val="0"/>
      <w:sz w:val="24"/>
    </w:rPr>
  </w:style>
  <w:style w:type="character" w:customStyle="1" w:styleId="text-black-small">
    <w:name w:val="text-black-small"/>
    <w:basedOn w:val="DefaultParagraphFont"/>
    <w:rsid w:val="00D932B1"/>
  </w:style>
  <w:style w:type="paragraph" w:customStyle="1" w:styleId="ParaNum">
    <w:name w:val="ParaNum"/>
    <w:basedOn w:val="Normal"/>
    <w:link w:val="ParaNumChar1"/>
    <w:rsid w:val="00221592"/>
    <w:pPr>
      <w:numPr>
        <w:numId w:val="30"/>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locked/>
    <w:rsid w:val="00221592"/>
    <w:rPr>
      <w:snapToGrid w:val="0"/>
      <w:kern w:val="28"/>
      <w:sz w:val="22"/>
    </w:rPr>
  </w:style>
  <w:style w:type="paragraph" w:styleId="Revision">
    <w:name w:val="Revision"/>
    <w:hidden/>
    <w:uiPriority w:val="99"/>
    <w:semiHidden/>
    <w:rsid w:val="001D2CC9"/>
    <w:rPr>
      <w:rFonts w:ascii="Courier" w:hAnsi="Courier"/>
      <w:snapToGrid w:val="0"/>
      <w:sz w:val="24"/>
    </w:rPr>
  </w:style>
  <w:style w:type="character" w:styleId="UnresolvedMention">
    <w:name w:val="Unresolved Mention"/>
    <w:basedOn w:val="DefaultParagraphFont"/>
    <w:rsid w:val="008B4F1F"/>
    <w:rPr>
      <w:color w:val="605E5C"/>
      <w:shd w:val="clear" w:color="auto" w:fill="E1DFDD"/>
    </w:rPr>
  </w:style>
  <w:style w:type="paragraph" w:customStyle="1" w:styleId="xxxmsonormal">
    <w:name w:val="x_x_xmsonormal"/>
    <w:basedOn w:val="Normal"/>
    <w:rsid w:val="00B20787"/>
    <w:pPr>
      <w:widowControl/>
    </w:pPr>
    <w:rPr>
      <w:rFonts w:ascii="Calibri" w:hAnsi="Calibri" w:eastAsiaTheme="minorHAns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etfs/etfsHome.action" TargetMode="External" /><Relationship Id="rId11" Type="http://schemas.openxmlformats.org/officeDocument/2006/relationships/hyperlink" Target="https://www" TargetMode="External" /><Relationship Id="rId12" Type="http://schemas.openxmlformats.org/officeDocument/2006/relationships/hyperlink" Target="mailto:ARINQUIRIES@fcc.gov" TargetMode="External" /><Relationship Id="rId13" Type="http://schemas.openxmlformats.org/officeDocument/2006/relationships/hyperlink" Target="https://www.fcc.gov/available-support-services" TargetMode="External" /><Relationship Id="rId14" Type="http://schemas.openxmlformats.org/officeDocument/2006/relationships/image" Target="media/image1.wmf"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formpage.html" TargetMode="External" /><Relationship Id="rId6" Type="http://schemas.openxmlformats.org/officeDocument/2006/relationships/hyperlink" Target="http://www.fcc.gov/cores" TargetMode="External" /><Relationship Id="rId7" Type="http://schemas.openxmlformats.org/officeDocument/2006/relationships/hyperlink" Target="https://www.fcc.gov/ecfs/"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