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2099449B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>March</w:t>
      </w:r>
      <w:r w:rsidR="001D22DC">
        <w:rPr>
          <w:rFonts w:ascii="Times New Roman" w:hAnsi="Times New Roman"/>
        </w:rPr>
        <w:t xml:space="preserve"> </w:t>
      </w:r>
      <w:r w:rsidR="006755CF">
        <w:rPr>
          <w:rFonts w:ascii="Times New Roman" w:hAnsi="Times New Roman"/>
        </w:rPr>
        <w:t>1</w:t>
      </w:r>
      <w:r w:rsidR="00425146">
        <w:rPr>
          <w:rFonts w:ascii="Times New Roman" w:hAnsi="Times New Roman"/>
        </w:rPr>
        <w:t>4</w:t>
      </w:r>
      <w:r w:rsidR="001D22DC"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1A1553F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bookmarkStart w:id="2" w:name="_Hlk129685386"/>
      <w:r w:rsidRPr="00826E2D">
        <w:rPr>
          <w:rFonts w:ascii="Times New Roman" w:hAnsi="Times New Roman"/>
        </w:rPr>
        <w:t xml:space="preserve">DELETION OF </w:t>
      </w:r>
      <w:r w:rsidR="00EC1177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>ITEM</w:t>
      </w:r>
      <w:r w:rsidR="0042514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B534FE">
        <w:rPr>
          <w:rFonts w:ascii="Times New Roman" w:hAnsi="Times New Roman"/>
        </w:rPr>
        <w:t>MARCH</w:t>
      </w:r>
      <w:r w:rsidR="001D22DC">
        <w:rPr>
          <w:rFonts w:ascii="Times New Roman" w:hAnsi="Times New Roman"/>
        </w:rPr>
        <w:t xml:space="preserve"> </w:t>
      </w:r>
      <w:r w:rsidR="006755CF">
        <w:rPr>
          <w:rFonts w:ascii="Times New Roman" w:hAnsi="Times New Roman"/>
        </w:rPr>
        <w:t>1</w:t>
      </w:r>
      <w:r w:rsidR="001D22DC">
        <w:rPr>
          <w:rFonts w:ascii="Times New Roman" w:hAnsi="Times New Roman"/>
        </w:rPr>
        <w:t>6, 2023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bookmarkEnd w:id="2"/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30F5CF0D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</w:t>
      </w:r>
      <w:r w:rsidR="00425146">
        <w:t>s</w:t>
      </w:r>
      <w:r>
        <w:t xml:space="preserve"> </w:t>
      </w:r>
      <w:r w:rsidR="007B21A4">
        <w:t>w</w:t>
      </w:r>
      <w:r w:rsidR="00CE173E">
        <w:t>ere</w:t>
      </w:r>
      <w:r>
        <w:t xml:space="preserve"> </w:t>
      </w:r>
      <w:r w:rsidR="00FE196C">
        <w:t>adopt</w:t>
      </w:r>
      <w:r>
        <w:t xml:space="preserve">ed by the Commission </w:t>
      </w:r>
      <w:r w:rsidR="00D50A54">
        <w:t xml:space="preserve">on </w:t>
      </w:r>
      <w:r w:rsidR="00B534FE">
        <w:t>March</w:t>
      </w:r>
      <w:r w:rsidR="001D22DC">
        <w:t xml:space="preserve"> </w:t>
      </w:r>
      <w:r w:rsidR="006855B0">
        <w:t>1</w:t>
      </w:r>
      <w:r w:rsidR="00425146">
        <w:t>4</w:t>
      </w:r>
      <w:r w:rsidRPr="00406A00" w:rsidR="00D50A54">
        <w:t>,</w:t>
      </w:r>
      <w:r w:rsidR="00D50A54">
        <w:t xml:space="preserve"> 202</w:t>
      </w:r>
      <w:r w:rsidR="001D22DC">
        <w:t>3</w:t>
      </w:r>
      <w:r w:rsidR="00D50A54">
        <w:t xml:space="preserve"> </w:t>
      </w:r>
      <w:r>
        <w:t xml:space="preserve">and </w:t>
      </w:r>
      <w:r w:rsidRPr="007A1E25">
        <w:t xml:space="preserve">deleted from the list of items scheduled for consideration at the </w:t>
      </w:r>
      <w:r w:rsidR="001D22DC">
        <w:t>Thursday</w:t>
      </w:r>
      <w:r>
        <w:t xml:space="preserve">, </w:t>
      </w:r>
      <w:r w:rsidR="00B534FE">
        <w:t>March</w:t>
      </w:r>
      <w:r w:rsidR="001D22DC">
        <w:t xml:space="preserve"> </w:t>
      </w:r>
      <w:r w:rsidR="006755CF">
        <w:t>1</w:t>
      </w:r>
      <w:r w:rsidR="001D22DC">
        <w:t>6</w:t>
      </w:r>
      <w:r w:rsidR="000D6D97">
        <w:t xml:space="preserve">, </w:t>
      </w:r>
      <w:r>
        <w:t>202</w:t>
      </w:r>
      <w:r w:rsidR="001D22DC">
        <w:t>3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</w:t>
      </w:r>
      <w:r>
        <w:t xml:space="preserve"> item</w:t>
      </w:r>
      <w:r w:rsidR="003028F2">
        <w:t>s</w:t>
      </w:r>
      <w:r w:rsidR="00BA7EA5">
        <w:t xml:space="preserve"> w</w:t>
      </w:r>
      <w:r w:rsidR="003028F2">
        <w:t>ere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1D22DC">
        <w:t>Thursday,</w:t>
      </w:r>
      <w:r w:rsidR="006755CF">
        <w:t xml:space="preserve"> </w:t>
      </w:r>
      <w:r w:rsidR="00D64C21">
        <w:t>March</w:t>
      </w:r>
      <w:r w:rsidR="001D22DC">
        <w:t xml:space="preserve"> 9</w:t>
      </w:r>
      <w:r>
        <w:t>, 202</w:t>
      </w:r>
      <w:r w:rsidR="001D22DC">
        <w:t>3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42514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</w:tcPr>
          <w:bookmarkEnd w:id="0"/>
          <w:p w:rsidR="00425146" w:rsidP="00425146" w14:paraId="78F8E264" w14:textId="2367BFF1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425146" w:rsidP="00425146" w14:paraId="7444CDBC" w14:textId="5E3B34D9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425146" w:rsidP="00425146" w14:paraId="22020CDC" w14:textId="206760CB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1F8DBE02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</w:tcPr>
          <w:p w:rsidR="00425146" w:rsidP="00425146" w14:paraId="7EB60A02" w14:textId="3F3D29F1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425146" w:rsidP="00425146" w14:paraId="28AADA1A" w14:textId="287EE588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ENFORCEMENT</w:t>
            </w:r>
          </w:p>
        </w:tc>
        <w:tc>
          <w:tcPr>
            <w:tcW w:w="5220" w:type="dxa"/>
          </w:tcPr>
          <w:p w:rsidR="00425146" w:rsidRPr="009D0240" w:rsidP="00425146" w14:paraId="27386A39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9D0240">
              <w:rPr>
                <w:rFonts w:ascii="Times New Roman" w:hAnsi="Times New Roman"/>
                <w:bCs/>
              </w:rPr>
              <w:t xml:space="preserve">  Enforcement Bureau Action</w:t>
            </w:r>
          </w:p>
          <w:p w:rsidR="00425146" w:rsidP="00425146" w14:paraId="3D7DD629" w14:textId="3A4FE20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 w:rsidRPr="009D0240">
              <w:rPr>
                <w:rFonts w:ascii="Times New Roman" w:hAnsi="Times New Roman"/>
                <w:bCs/>
              </w:rPr>
              <w:t xml:space="preserve">  The Commission will consider an enforcement action.</w:t>
            </w: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25146" w:rsidP="00425146" w14:paraId="27473910" w14:textId="203CE363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0" w:type="dxa"/>
          </w:tcPr>
          <w:p w:rsidR="00425146" w:rsidRPr="0024134A" w:rsidP="00425146" w14:paraId="7264F420" w14:textId="5AEC19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ENFORCEMENT</w:t>
            </w:r>
          </w:p>
        </w:tc>
        <w:tc>
          <w:tcPr>
            <w:tcW w:w="5220" w:type="dxa"/>
          </w:tcPr>
          <w:p w:rsidR="00425146" w:rsidRPr="009D0240" w:rsidP="00425146" w14:paraId="2EA27524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9D0240">
              <w:rPr>
                <w:rFonts w:ascii="Times New Roman" w:hAnsi="Times New Roman"/>
                <w:bCs/>
              </w:rPr>
              <w:t xml:space="preserve">  Enforcement Bureau Action</w:t>
            </w:r>
          </w:p>
          <w:p w:rsidR="00425146" w:rsidRPr="00B51E30" w:rsidP="00425146" w14:paraId="776409D5" w14:textId="2974B7C0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 w:rsidRPr="009D0240">
              <w:rPr>
                <w:rFonts w:ascii="Times New Roman" w:hAnsi="Times New Roman"/>
                <w:bCs/>
              </w:rPr>
              <w:t xml:space="preserve">  The Commission will consider an enforcement action.</w:t>
            </w: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4154145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54145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3268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028F2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2A27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25146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755CF"/>
    <w:rsid w:val="00680710"/>
    <w:rsid w:val="00680F10"/>
    <w:rsid w:val="00683D78"/>
    <w:rsid w:val="006855B0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01E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86C70"/>
    <w:rsid w:val="009926F0"/>
    <w:rsid w:val="009B163F"/>
    <w:rsid w:val="009B3736"/>
    <w:rsid w:val="009B7625"/>
    <w:rsid w:val="009C51D2"/>
    <w:rsid w:val="009C79B8"/>
    <w:rsid w:val="009D0240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34FE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173E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64C21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1177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96C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